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97D"/>
          <w:sz w:val="36"/>
        </w:rPr>
        <w:t>Banglalink SalesCom — Distribution ROI</w:t>
      </w:r>
    </w:p>
    <w:p>
      <w:pPr>
        <w:jc w:val="center"/>
      </w:pPr>
      <w:r>
        <w:rPr>
          <w:color w:val="2E74B5"/>
          <w:sz w:val="28"/>
        </w:rPr>
        <w:t>Unique KPI Conditions Reference</w:t>
      </w:r>
    </w:p>
    <w:p>
      <w:pPr>
        <w:jc w:val="center"/>
      </w:pPr>
      <w:r>
        <w:rPr>
          <w:i/>
          <w:color w:val="606060"/>
          <w:sz w:val="20"/>
        </w:rPr>
        <w:t>Compiled from all 13 SRFs  |  Apr 2025 – Mar 2026</w:t>
      </w:r>
    </w:p>
    <w:p/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Index</w:t>
      </w:r>
    </w:p>
    <w:p>
      <w:pPr>
        <w:spacing w:after="40"/>
        <w:ind w:left="288"/>
      </w:pPr>
      <w:r>
        <w:rPr>
          <w:b/>
          <w:sz w:val="19"/>
        </w:rPr>
        <w:t>1   Overview &amp; SRF Coverage</w:t>
      </w:r>
    </w:p>
    <w:p>
      <w:pPr>
        <w:spacing w:after="40"/>
        <w:ind w:left="288"/>
      </w:pPr>
      <w:r>
        <w:rPr>
          <w:b/>
          <w:sz w:val="19"/>
        </w:rPr>
        <w:t>2   KPI Era Summary — Two-Phase Model</w:t>
      </w:r>
    </w:p>
    <w:p>
      <w:pPr>
        <w:spacing w:after="40"/>
        <w:ind w:left="288"/>
      </w:pPr>
      <w:r>
        <w:rPr>
          <w:b/>
          <w:sz w:val="19"/>
        </w:rPr>
        <w:t>3   Phase 1: Bundle + Recharge (Apr–Aug 2025)</w:t>
      </w:r>
    </w:p>
    <w:p>
      <w:pPr>
        <w:spacing w:after="40"/>
        <w:ind w:left="720"/>
      </w:pPr>
      <w:r>
        <w:rPr>
          <w:sz w:val="19"/>
        </w:rPr>
        <w:t>3.1     KPI Definitions — Bundle</w:t>
      </w:r>
    </w:p>
    <w:p>
      <w:pPr>
        <w:spacing w:after="40"/>
        <w:ind w:left="720"/>
      </w:pPr>
      <w:r>
        <w:rPr>
          <w:sz w:val="19"/>
        </w:rPr>
        <w:t>3.2     KPI Definitions — Recharge</w:t>
      </w:r>
    </w:p>
    <w:p>
      <w:pPr>
        <w:spacing w:after="40"/>
        <w:ind w:left="720"/>
      </w:pPr>
      <w:r>
        <w:rPr>
          <w:sz w:val="19"/>
        </w:rPr>
        <w:t>3.3     SCR Gate Condition</w:t>
      </w:r>
    </w:p>
    <w:p>
      <w:pPr>
        <w:spacing w:after="40"/>
        <w:ind w:left="720"/>
      </w:pPr>
      <w:r>
        <w:rPr>
          <w:sz w:val="19"/>
        </w:rPr>
        <w:t>3.4     Exception Threshold Evolution (Phase 1)</w:t>
      </w:r>
    </w:p>
    <w:p>
      <w:pPr>
        <w:spacing w:after="40"/>
        <w:ind w:left="720"/>
      </w:pPr>
      <w:r>
        <w:rPr>
          <w:sz w:val="19"/>
        </w:rPr>
        <w:t>3.5     Payment / Incentive Table (Phase 1)</w:t>
      </w:r>
    </w:p>
    <w:p>
      <w:pPr>
        <w:spacing w:after="40"/>
        <w:ind w:left="288"/>
      </w:pPr>
      <w:r>
        <w:rPr>
          <w:b/>
          <w:sz w:val="19"/>
        </w:rPr>
        <w:t>4   Phase 2: SCR + RSO Productivity (Sep 2025–Mar 2026)</w:t>
      </w:r>
    </w:p>
    <w:p>
      <w:pPr>
        <w:spacing w:after="40"/>
        <w:ind w:left="720"/>
      </w:pPr>
      <w:r>
        <w:rPr>
          <w:sz w:val="19"/>
        </w:rPr>
        <w:t>4.1     KPI Definitions — SCR</w:t>
      </w:r>
    </w:p>
    <w:p>
      <w:pPr>
        <w:spacing w:after="40"/>
        <w:ind w:left="720"/>
      </w:pPr>
      <w:r>
        <w:rPr>
          <w:sz w:val="19"/>
        </w:rPr>
        <w:t>4.2     KPI Definitions — RSO Productivity</w:t>
      </w:r>
    </w:p>
    <w:p>
      <w:pPr>
        <w:spacing w:after="40"/>
        <w:ind w:left="720"/>
      </w:pPr>
      <w:r>
        <w:rPr>
          <w:sz w:val="19"/>
        </w:rPr>
        <w:t>4.3     Exception Threshold — Phase 2</w:t>
      </w:r>
    </w:p>
    <w:p>
      <w:pPr>
        <w:spacing w:after="40"/>
        <w:ind w:left="720"/>
      </w:pPr>
      <w:r>
        <w:rPr>
          <w:sz w:val="19"/>
        </w:rPr>
        <w:t>4.4     Payment / Incentive Table (Phase 2)</w:t>
      </w:r>
    </w:p>
    <w:p>
      <w:pPr>
        <w:spacing w:after="40"/>
        <w:ind w:left="288"/>
      </w:pPr>
      <w:r>
        <w:rPr>
          <w:b/>
          <w:sz w:val="19"/>
        </w:rPr>
        <w:t>5   Special Monthly Variants</w:t>
      </w:r>
    </w:p>
    <w:p>
      <w:pPr>
        <w:spacing w:after="40"/>
        <w:ind w:left="720"/>
      </w:pPr>
      <w:r>
        <w:rPr>
          <w:sz w:val="19"/>
        </w:rPr>
        <w:t>5.1     Feb 2026 — SCR Only (Single KPI Month)</w:t>
      </w:r>
    </w:p>
    <w:p>
      <w:pPr>
        <w:spacing w:after="40"/>
        <w:ind w:left="720"/>
      </w:pPr>
      <w:r>
        <w:rPr>
          <w:sz w:val="19"/>
        </w:rPr>
        <w:t>5.2     Mar 2026 — RSO Productivity Sub-Metrics</w:t>
      </w:r>
    </w:p>
    <w:p>
      <w:pPr>
        <w:spacing w:after="40"/>
        <w:ind w:left="720"/>
      </w:pPr>
      <w:r>
        <w:rPr>
          <w:sz w:val="19"/>
        </w:rPr>
        <w:t>5.3     Mar 2026 — Non-GA Market Exception (CHICOX11)</w:t>
      </w:r>
    </w:p>
    <w:p>
      <w:pPr>
        <w:spacing w:after="40"/>
        <w:ind w:left="288"/>
      </w:pPr>
      <w:r>
        <w:rPr>
          <w:b/>
          <w:sz w:val="19"/>
        </w:rPr>
        <w:t>6   Special Distributor Exceptions</w:t>
      </w:r>
    </w:p>
    <w:p>
      <w:pPr>
        <w:spacing w:after="40"/>
        <w:ind w:left="720"/>
      </w:pPr>
      <w:r>
        <w:rPr>
          <w:sz w:val="19"/>
        </w:rPr>
        <w:t>6.1     Jan 2026 — DHKDHK67 (SCR Only)</w:t>
      </w:r>
    </w:p>
    <w:p>
      <w:pPr>
        <w:spacing w:after="40"/>
        <w:ind w:left="288"/>
      </w:pPr>
      <w:r>
        <w:rPr>
          <w:b/>
          <w:sz w:val="19"/>
        </w:rPr>
        <w:t>7   Recharge Definition Evolution</w:t>
      </w:r>
    </w:p>
    <w:p>
      <w:pPr>
        <w:spacing w:after="40"/>
        <w:ind w:left="288"/>
      </w:pPr>
      <w:r>
        <w:rPr>
          <w:b/>
          <w:sz w:val="19"/>
        </w:rPr>
        <w:t>8   General Conditions (All SRFs)</w:t>
      </w:r>
    </w:p>
    <w:p>
      <w:pPr>
        <w:spacing w:after="40"/>
        <w:ind w:left="288"/>
      </w:pPr>
      <w:r>
        <w:rPr>
          <w:b/>
          <w:sz w:val="19"/>
        </w:rPr>
        <w:t>9   Version Comparison Table — All 13 SRFs</w:t>
      </w:r>
    </w:p>
    <w:p>
      <w:pPr>
        <w:spacing w:after="40"/>
        <w:ind w:left="288"/>
      </w:pPr>
      <w:r>
        <w:rPr>
          <w:b/>
          <w:sz w:val="19"/>
        </w:rPr>
        <w:t>10   Maturity Date Summary</w:t>
      </w:r>
    </w:p>
    <w:p>
      <w:pPr>
        <w:spacing w:after="40"/>
        <w:ind w:left="288"/>
      </w:pPr>
      <w:r>
        <w:rPr>
          <w:b/>
          <w:sz w:val="19"/>
        </w:rPr>
        <w:t>11   Glossary</w:t>
      </w:r>
    </w:p>
    <w:p>
      <w:r>
        <w:br w:type="page"/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1. Overview &amp; SRF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Programme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Distribution ROI Support Scheme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SRF Count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13 SRFs (Apr 2025 – Mar 2026)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Metric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Monthly commission/incentive for distribution partners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Coverage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All active distribution channels under Banglalink SalesCom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KPI Eras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Two structural phases with a pivot in Sep 2025</w:t>
            </w:r>
          </w:p>
        </w:tc>
      </w:tr>
    </w:tbl>
    <w:p/>
    <w:p>
      <w:pPr>
        <w:spacing w:after="120"/>
      </w:pPr>
      <w:r>
        <w:rPr>
          <w:b w:val="0"/>
          <w:sz w:val="19"/>
        </w:rPr>
        <w:t>The Distribution ROI folder spans 12 calendar months across two structurally different KPI models. April–August 2025 uses Bundle and Recharge as the two paid KPIs, with SCR acting as a binary gate. From September 2025 onwards, the model pivots: SCR becomes a paid KPI and RSO Productivity replaces Bundle+Recharge. February 2026 is a unique single-KPI month (SCR only). March 2026 reintroduces RSO Productivity but splits it into sub-metrics.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2. KPI Era Summary — Two-Phase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201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KPI 1 (50%)</w:t>
            </w:r>
          </w:p>
        </w:tc>
        <w:tc>
          <w:tcPr>
            <w:tcW w:type="dxa" w:w="244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KPI 2 (50%)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Gate Condition</w:t>
            </w:r>
          </w:p>
        </w:tc>
        <w:tc>
          <w:tcPr>
            <w:tcW w:type="dxa" w:w="230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Exception Threshold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Apr 2025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must be achieved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May–Aug 2025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must be achieved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Sep–Dec 2025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(50%)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Productivity (50%)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 (both paid)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Jan 2026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(50%)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Productivity (50%)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 (both paid)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Feb 2026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(100%)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 (single KPI)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 2026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(50%)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Productivity (50%)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 (both paid)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40% (RSO sub-metrics)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SCR = Stock Coverage Ratio. RSO = Retail Sales Officer. In Phase 1 SCR is a gate (binary pass/fail); in Phase 2 SCR is a paid KPI.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3. Phase 1: Bundle + Recharge (Apr–Aug 2025)</w:t>
      </w:r>
    </w:p>
    <w:p>
      <w:pPr>
        <w:spacing w:after="120"/>
      </w:pPr>
      <w:r>
        <w:rPr>
          <w:b w:val="0"/>
          <w:sz w:val="19"/>
        </w:rPr>
        <w:t>April through August 2025 SRFs share a common two-KPI model: Bundle and Recharge each carry 50% of the total incentive weight. SCR achievement is a prerequisite gate — without it, no KPI incentive is paid regardless of Bundle or Recharge performance.</w:t>
      </w:r>
    </w:p>
    <w:p>
      <w:pPr>
        <w:spacing w:before="160" w:after="80"/>
      </w:pPr>
      <w:r>
        <w:rPr>
          <w:b/>
          <w:color w:val="2E74B5"/>
          <w:sz w:val="24"/>
        </w:rPr>
        <w:t>3.1  KPI Definitions — Bundle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KPI Name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Weight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50% of total incentive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Definition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Data + Voice + MXB bundle sold by Retailer to Customer (excluding SC retailer type)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Scope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Retailer → Customer transactions only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Exclusions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 (Service Centre) retailer type excluded from bundle count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Target Setting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Monthly target per distributor set in SRF attachment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3.2  KPI Definitions — Recharge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KPI Name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Weight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50% of total incentive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Definition (Apr–Jun 2025)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 + SC + DTR + OTF(EV+IRIS), SR→Retailer + DD→Retailer</w:t>
              <w:br/>
              <w:t>BL Franchise Store EV Secondary excluded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Definition (Jul 2025+)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 + SC + DTR + OTF(EV+IRIS) + SUD12AGENT, SR→Retailer + DD→Retailer</w:t>
              <w:br/>
              <w:t>BL Franchise Store EV Secondary excluded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Key Addition (Jul 2025)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SUD12AGENT channel added to recharge definition from July 2025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Exclusions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BL Franchise Store (registered retailer type in DMS)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SUD12AGENT is an additional recharge channel incorporated from July 2025 onwards into the recharge KPI definition.</w:t>
      </w:r>
    </w:p>
    <w:p>
      <w:pPr>
        <w:spacing w:before="160" w:after="80"/>
      </w:pPr>
      <w:r>
        <w:rPr>
          <w:b/>
          <w:color w:val="2E74B5"/>
          <w:sz w:val="24"/>
        </w:rPr>
        <w:t>3.3  SCR Gate Condition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Gate KPI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— Stock Coverage Ratio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Nature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Binary gate — must be achieved to unlock any KPI incentive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If SCR NOT achieved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 Bundle or Recharge incentive paid, regardless of performance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If SCR achieved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 and Recharge incentives are unlocked (subject to exception threshold)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SCR Target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Per-distributor target set in SRF; typically coverage ratio of stock vs. primary lifting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SCR is NOT paid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In Phase 1, SCR itself carries no monetary weight — it is purely a gate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3.4  Exception Threshold Evolution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Month</w:t>
            </w:r>
          </w:p>
        </w:tc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Exception Threshold</w:t>
            </w:r>
          </w:p>
        </w:tc>
        <w:tc>
          <w:tcPr>
            <w:tcW w:type="dxa" w:w="720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Apr 2025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Achieve ≥70% of target → earn 50% of allotted KPI incentive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May 2025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720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Threshold raised — achieve ≥80% of target → earn 50% of allotted KPI incentive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Jun 2025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Same as May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Jul 2025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720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Same as May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Aug 2025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Same as May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Below the exception threshold = 0% incentive for that KPI. At or above exception threshold but below 100% = 50% of allotted incentive. At 100% = 100% of allotted incentive.</w:t>
      </w:r>
    </w:p>
    <w:p>
      <w:pPr>
        <w:spacing w:before="160" w:after="80"/>
      </w:pPr>
      <w:r>
        <w:rPr>
          <w:b/>
          <w:color w:val="2E74B5"/>
          <w:sz w:val="24"/>
        </w:rPr>
        <w:t>3.5  Payment / Incentive Table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6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SCR Gate</w:t>
            </w:r>
          </w:p>
        </w:tc>
        <w:tc>
          <w:tcPr>
            <w:tcW w:type="dxa" w:w="403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KPI Achievement</w:t>
            </w:r>
          </w:p>
        </w:tc>
        <w:tc>
          <w:tcPr>
            <w:tcW w:type="dxa" w:w="504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 Paid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NOT achieved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Any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0% — No payment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Achieved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&lt; Exception threshold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0% of that KPI incentive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Achieved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≥ Exception threshold but &lt; 100%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50% of that KPI incentive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Achieved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= 100% or above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100% of that KPI incentive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Bundle and Recharge are independent — each is calculated separately. SCR gate applies to both together.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4. Phase 2: SCR + RSO Productivity (Sep 2025–Mar 2026)</w:t>
      </w:r>
    </w:p>
    <w:p>
      <w:pPr>
        <w:spacing w:after="120"/>
      </w:pPr>
      <w:r>
        <w:rPr>
          <w:b w:val="0"/>
          <w:sz w:val="19"/>
        </w:rPr>
        <w:t>From September 2025, the KPI model restructures: SCR is promoted from a gate to a paid KPI (50% weight), and RSO Productivity replaces Bundle+Recharge as the second paid KPI (50% weight). The two KPIs are independent — each pays separately.</w:t>
      </w:r>
    </w:p>
    <w:p>
      <w:pPr>
        <w:spacing w:before="160" w:after="80"/>
      </w:pPr>
      <w:r>
        <w:rPr>
          <w:b/>
          <w:color w:val="2E74B5"/>
          <w:sz w:val="24"/>
        </w:rPr>
        <w:t>4.1  KPI Definitions — SCR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KPI Name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— Stock Coverage Ratio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Weight (Phase 2)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50% of total incentive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Nature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Binary — achieved = 100% of allotted incentive; not achieved = 0%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No partial payment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does not use the exception threshold — it is all-or-nothing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Target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Per-distributor monthly target set in SRF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4.2  KPI Definitions — RSO Productivity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KPI Name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Productivity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Weight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50% of total incentive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Base Definition (Sep 2025–Jan 2026)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daily minimum transaction count / GA productivity — measured across all RSOs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Achievement Rule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≥70% of RSOs must meet daily minimum → incentive paid in full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Below threshold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&lt; 70% RSOs meet minimum → 0% incentive for this KPI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Mar 2026 Variant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Split into two sub-metrics (see Section 5.2)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4.3  Exception Threshold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331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SCR Threshold</w:t>
            </w:r>
          </w:p>
        </w:tc>
        <w:tc>
          <w:tcPr>
            <w:tcW w:type="dxa" w:w="504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RSO Productivity Threshold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Sep 2025–Jan 2026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Binary (no threshold)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Feb 2026</w:t>
            </w:r>
          </w:p>
        </w:tc>
        <w:tc>
          <w:tcPr>
            <w:tcW w:type="dxa" w:w="331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Binary (no threshold)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N/A — RSO Productivity dropped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 2026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Binary (no threshold)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40% (GA Best 20 Days) / 70% (C2C vs C2S GAP)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4.4  Payment / Incentive Table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Achievement</w:t>
            </w:r>
          </w:p>
        </w:tc>
        <w:tc>
          <w:tcPr>
            <w:tcW w:type="dxa" w:w="604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 Paid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Achieved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100% of SCR allotted incentive (50% of total)</w:t>
            </w:r>
          </w:p>
        </w:tc>
      </w:tr>
      <w:tr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Not Achieved</w:t>
            </w:r>
          </w:p>
        </w:tc>
        <w:tc>
          <w:tcPr>
            <w:tcW w:type="dxa" w:w="604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0%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Productivity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≥ threshold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100% of RSO allotted incentive (50% of total)</w:t>
            </w:r>
          </w:p>
        </w:tc>
      </w:tr>
      <w:tr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Productivity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&lt; threshold</w:t>
            </w:r>
          </w:p>
        </w:tc>
        <w:tc>
          <w:tcPr>
            <w:tcW w:type="dxa" w:w="604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SCR and RSO Productivity are independent. Failure on one does not affect the other.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5. Special Monthly Variants</w:t>
      </w:r>
    </w:p>
    <w:p>
      <w:pPr>
        <w:spacing w:before="160" w:after="80"/>
      </w:pPr>
      <w:r>
        <w:rPr>
          <w:b/>
          <w:color w:val="2E74B5"/>
          <w:sz w:val="24"/>
        </w:rPr>
        <w:t>5.1  Feb 2026 — SCR Only (Single KPI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Period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February 2026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Active KPIs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only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RSO Productivity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Dropped entirely for this month — not applicable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SCR Weight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100% of total incentive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Payment Rule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achieved = 100% incentive; SCR not achieved = 0%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Reason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Structural simplification for the month; RSO Productivity reappears in Mar 2026</w:t>
            </w:r>
          </w:p>
        </w:tc>
      </w:tr>
    </w:tbl>
    <w:p/>
    <w:p>
      <w:pPr>
        <w:spacing w:before="160" w:after="80"/>
      </w:pPr>
      <w:r>
        <w:rPr>
          <w:b/>
          <w:color w:val="2E74B5"/>
          <w:sz w:val="24"/>
        </w:rPr>
        <w:t>5.2  Mar 2026 — RSO Productivity Sub-Metrics</w:t>
      </w:r>
    </w:p>
    <w:p>
      <w:pPr>
        <w:spacing w:after="120"/>
      </w:pPr>
      <w:r>
        <w:rPr>
          <w:b w:val="0"/>
          <w:sz w:val="19"/>
        </w:rPr>
        <w:t>March 2026 reintroduces RSO Productivity but splits it into two independent sub-metrics, each with its own threshold and weight: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Sub-Metric</w:t>
            </w:r>
          </w:p>
        </w:tc>
        <w:tc>
          <w:tcPr>
            <w:tcW w:type="dxa" w:w="27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Weight within RSO KPI</w:t>
            </w:r>
          </w:p>
        </w:tc>
        <w:tc>
          <w:tcPr>
            <w:tcW w:type="dxa" w:w="201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Achievement Threshold</w:t>
            </w:r>
          </w:p>
        </w:tc>
        <w:tc>
          <w:tcPr>
            <w:tcW w:type="dxa" w:w="388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 Best 20 Days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 of RSO Productivity (50%)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40%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 must have best 20 active days (transactions) in the month</w:t>
            </w:r>
          </w:p>
        </w:tc>
      </w:tr>
      <w:tr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C2C vs C2S GAP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 of RSO Productivity (50%)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Gap between C2C (customer-to-customer) and C2S (customer-to-subscriber) — measures network usage quality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Both sub-metrics must be assessed independently. Each has its own threshold. Mar 2026 also lowers the RSO exception threshold to 40% (for GA Best 20 Days).</w:t>
      </w:r>
    </w:p>
    <w:p>
      <w:pPr>
        <w:spacing w:before="160" w:after="80"/>
      </w:pPr>
      <w:r>
        <w:rPr>
          <w:b/>
          <w:color w:val="2E74B5"/>
          <w:sz w:val="24"/>
        </w:rPr>
        <w:t>5.3  Mar 2026 — Non-GA Market Exception (CHICOX11)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Distributor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CHICOX11 (Non-GA Market)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Exception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 Best 20 Days sub-metric does NOT apply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Applicable RSO Metric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C2C vs C2S GAP only (70% threshold)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Reason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Non-GA market — GA productivity metric is not relevant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SCR KPI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Applies normally (same as all other distributors in Mar 2026)</w:t>
            </w:r>
          </w:p>
        </w:tc>
      </w:tr>
    </w:tbl>
    <w:p/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6. Special Distributor Exceptions</w:t>
      </w:r>
    </w:p>
    <w:p>
      <w:pPr>
        <w:spacing w:before="160" w:after="80"/>
      </w:pPr>
      <w:r>
        <w:rPr>
          <w:b/>
          <w:color w:val="2E74B5"/>
          <w:sz w:val="24"/>
        </w:rPr>
        <w:t>6.1  Jan 2026 — DHKDHK67 (SCR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Distributor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DHKDHK67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Period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January 2026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Exception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Productivity KPI does NOT apply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Active KPI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only — 100% of total support amount allocated to SCR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Reason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Specific distributor exception filed in the Jan 2026 SRF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Payment Rule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achieved = 100% incentive; not achieved = 0%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All other distributors in Jan 2026 have both SCR (50%) and RSO Productivity (50%).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7. Recharge Definition Evolution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03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5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Apr–Jun 2025</w:t>
            </w:r>
          </w:p>
        </w:tc>
        <w:tc>
          <w:tcPr>
            <w:tcW w:type="dxa" w:w="31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Jul 2025 onwards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 (Electronic Voucher)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 (SIM Card)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DTR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OTF (EV+IRIS)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SUD12AGENT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✗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 (Added Jul 2025)</w:t>
            </w:r>
          </w:p>
        </w:tc>
      </w:tr>
      <w:tr>
        <w:tc>
          <w:tcPr>
            <w:tcW w:type="dxa" w:w="403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SR→Retailer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DD→Retailer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BL Franchise Store EV Secondary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Excluded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Excluded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SUD12AGENT is an additional recharge channel added to the definition from July 2025. Phase 2 (SCR+RSO model) no longer uses a Recharge KPI, so this definition is only relevant for Apr–Aug 2025.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8. General Conditions (All SRFs)</w:t>
      </w:r>
    </w:p>
    <w:p>
      <w:pPr>
        <w:spacing w:after="120"/>
      </w:pPr>
      <w:r>
        <w:rPr>
          <w:b w:val="0"/>
          <w:sz w:val="19"/>
        </w:rPr>
        <w:t>The following conditions apply consistently across all Distribution ROI SRFs:</w:t>
      </w:r>
    </w:p>
    <w:p>
      <w:pPr>
        <w:spacing w:before="160" w:after="80"/>
      </w:pPr>
      <w:r>
        <w:rPr>
          <w:b/>
          <w:color w:val="404040"/>
          <w:sz w:val="21"/>
        </w:rPr>
        <w:t>Activation Gate (FCD)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Condition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FCD — First Call Date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SIM must have a First Call Date to be eligible for commission calculation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Applies to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All months, all SRFs in the folder</w:t>
            </w:r>
          </w:p>
        </w:tc>
      </w:tr>
    </w:tbl>
    <w:p/>
    <w:p>
      <w:pPr>
        <w:spacing w:before="160" w:after="80"/>
      </w:pPr>
      <w:r>
        <w:rPr>
          <w:b/>
          <w:color w:val="404040"/>
          <w:sz w:val="21"/>
        </w:rPr>
        <w:t>Disconnection Rule (T-6)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T-6 Disconnection Cutoff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Definition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Report generation date minus 6 days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Effect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Any subscriber disconnected before T-6 is excluded from performance calculation</w:t>
            </w:r>
          </w:p>
        </w:tc>
      </w:tr>
    </w:tbl>
    <w:p/>
    <w:p>
      <w:pPr>
        <w:spacing w:before="160" w:after="80"/>
      </w:pPr>
      <w:r>
        <w:rPr>
          <w:b/>
          <w:color w:val="404040"/>
          <w:sz w:val="21"/>
        </w:rPr>
        <w:t>ETSAF (Settlement)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ETSAF Rate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98% of outstanding amount settled by the 7th of the following month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Applies to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All SRFs — standard settlement condition</w:t>
            </w:r>
          </w:p>
        </w:tc>
      </w:tr>
    </w:tbl>
    <w:p/>
    <w:p>
      <w:pPr>
        <w:spacing w:before="160" w:after="80"/>
      </w:pPr>
      <w:r>
        <w:rPr>
          <w:b/>
          <w:color w:val="404040"/>
          <w:sz w:val="21"/>
        </w:rPr>
        <w:t>GA No Play Rule (Jan 2026+ Format SRFs)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Rule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 No Play — No outgoing call or internet usage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Threshold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Minimum 93% of GAs must have no outgoing call/internet usage in the calendar month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Applicable SRFs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January 2026, February 2026, March 2026 (newer SRF format)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Effect on Calculation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GAs failing the No Play rule are flagged; affects RSO Productivity base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The GA No Play rule appears in newer-format SRFs (Jan–Mar 2026) which have expanded general conditions sections (SRN format). Earlier SRFs (Apr–Dec 2025) do not explicitly state this rule.</w:t>
      </w:r>
    </w:p>
    <w:p>
      <w:pPr>
        <w:spacing w:before="160" w:after="80"/>
      </w:pPr>
      <w:r>
        <w:rPr>
          <w:b/>
          <w:color w:val="404040"/>
          <w:sz w:val="21"/>
        </w:rPr>
        <w:t>BL Franchise Store Exclusion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Exclusion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BL Franchise Store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Condition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Retailers registered as 'BL Franchise Store' in DMS are excluded from commission calculation</w:t>
            </w:r>
          </w:p>
        </w:tc>
      </w:tr>
      <w:tr>
        <w:tc>
          <w:tcPr>
            <w:tcW w:type="dxa" w:w="3600"/>
            <w:shd w:val="clear" w:color="auto" w:fill="D6E4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/>
                <w:i w:val="0"/>
                <w:sz w:val="18"/>
              </w:rPr>
              <w:t>Applies to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 KPI in Phase 1; all KPI counts in Phase 2</w:t>
            </w:r>
          </w:p>
        </w:tc>
      </w:tr>
    </w:tbl>
    <w:p/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9. Version Comparison Table — All 13 SRFs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72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SRF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72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KPI 1</w:t>
            </w:r>
          </w:p>
        </w:tc>
        <w:tc>
          <w:tcPr>
            <w:tcW w:type="dxa" w:w="158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KPI 2</w:t>
            </w:r>
          </w:p>
        </w:tc>
        <w:tc>
          <w:tcPr>
            <w:tcW w:type="dxa" w:w="129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144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Exc. Threshold</w:t>
            </w:r>
          </w:p>
        </w:tc>
        <w:tc>
          <w:tcPr>
            <w:tcW w:type="dxa" w:w="2736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Special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Apr25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Apr 2025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 50%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 50%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Gate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May25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May 2025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 50%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 50%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Gate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Jun25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Jun 2025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 50%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 50%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Gate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Jul25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Jul 2025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 50%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 50%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Gate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SUD12AGENT added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Jul25_KHUMEH04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Jul 2025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 50%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 50%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Gate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Supplementary SRF for KHUMEH04; maturity = 2nd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Aug25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Aug 2025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 50%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 50%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Gate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80%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Sep25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Sep 2025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50%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 50%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Oct25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Oct 2025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50%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 50%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Nov25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Nov 2025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50%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 50%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Dec25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Dec 2025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50%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 50%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Jan26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Jan 2026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50%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 50%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70%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DHKDHK67: SCR only (100%)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Feb26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Feb 2026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100%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Single KPI month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Mar26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 2026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 50%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 50%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40%/70%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Sub-metrics; CHICOX11 exception</w:t>
            </w:r>
          </w:p>
        </w:tc>
      </w:tr>
    </w:tbl>
    <w:p/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10. Maturity Date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04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SRF / Period</w:t>
            </w:r>
          </w:p>
        </w:tc>
        <w:tc>
          <w:tcPr>
            <w:tcW w:type="dxa" w:w="6192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Maturity Date (of Following Month)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Apr 2025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4th</w:t>
            </w:r>
          </w:p>
        </w:tc>
      </w:tr>
      <w:tr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May 2025</w:t>
            </w:r>
          </w:p>
        </w:tc>
        <w:tc>
          <w:tcPr>
            <w:tcW w:type="dxa" w:w="61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2nd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Jun 2025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2nd</w:t>
            </w:r>
          </w:p>
        </w:tc>
      </w:tr>
      <w:tr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Jul 2025 (main)</w:t>
            </w:r>
          </w:p>
        </w:tc>
        <w:tc>
          <w:tcPr>
            <w:tcW w:type="dxa" w:w="61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3rd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Jul 2025 (KHUMEH04 supplementary)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2nd</w:t>
            </w:r>
          </w:p>
        </w:tc>
      </w:tr>
      <w:tr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Aug 2025</w:t>
            </w:r>
          </w:p>
        </w:tc>
        <w:tc>
          <w:tcPr>
            <w:tcW w:type="dxa" w:w="61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3rd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Sep 2025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5th</w:t>
            </w:r>
          </w:p>
        </w:tc>
      </w:tr>
      <w:tr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Oct 2025</w:t>
            </w:r>
          </w:p>
        </w:tc>
        <w:tc>
          <w:tcPr>
            <w:tcW w:type="dxa" w:w="61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5th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Nov 2025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4th</w:t>
            </w:r>
          </w:p>
        </w:tc>
      </w:tr>
      <w:tr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Dec 2025</w:t>
            </w:r>
          </w:p>
        </w:tc>
        <w:tc>
          <w:tcPr>
            <w:tcW w:type="dxa" w:w="61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4th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Jan 2026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4th</w:t>
            </w:r>
          </w:p>
        </w:tc>
      </w:tr>
      <w:tr>
        <w:tc>
          <w:tcPr>
            <w:tcW w:type="dxa" w:w="5040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Feb 2026</w:t>
            </w:r>
          </w:p>
        </w:tc>
        <w:tc>
          <w:tcPr>
            <w:tcW w:type="dxa" w:w="6192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4th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Mar 2026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4th</w:t>
            </w:r>
          </w:p>
        </w:tc>
      </w:tr>
    </w:tbl>
    <w:p/>
    <w:p>
      <w:pPr>
        <w:spacing w:after="80"/>
        <w:ind w:left="432"/>
      </w:pPr>
      <w:r>
        <w:rPr>
          <w:i/>
          <w:color w:val="606060"/>
          <w:sz w:val="17"/>
        </w:rPr>
        <w:t>ℹ  Maturity date = day of the following month by which settlement/reporting is due.</w:t>
      </w:r>
    </w:p>
    <w:p>
      <w:pPr>
        <w:spacing w:before="280" w:after="80"/>
        <w:pBdr>
          <w:bottom w:val="single" w:sz="6" w:space="1" w:color="1F497D"/>
        </w:pBdr>
      </w:pPr>
      <w:r>
        <w:rPr>
          <w:b/>
          <w:color w:val="1F497D"/>
          <w:sz w:val="28"/>
        </w:rPr>
        <w:t>11.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806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Full Form / Meaning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SCR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Stock Coverage Ratio — distribution house-level stock metric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Retail Sales Officer — field sales agent assigned to retailer coverage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Bundle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Data + Voice + MXB bundle sold Retailer → Customer (excl. SC)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Recharge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EV+SC+DTR+OTF(EV+IRIS)[+SUD12AGENT from Jul25], SR→Retailer + DD→Retailer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SUD12AGENT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Additional recharge channel added July 2025 to Recharge definition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FCD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First Call Date — SIM activation gate; must exist to be counted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T-6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Report generation date minus 6 days — disconnection cutoff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ETSAF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98% of amount settled by 7th of following month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Gross Addition — newly activated SIM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 No Play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 outgoing call or internet usage by GA in calendar month (93% threshold)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BL Franchise Store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Retailer type in DMS — excluded from all KPI calculations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DHKDHK67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Specific distributor code — Jan 2026 exception: SCR only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CHICOX11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Non-GA Market distributor — Mar 2026: only C2C vs C2S GAP applies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C2C vs C2S GAP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Customer-to-Customer vs Customer-to-Subscriber gap — RSO Productivity sub-metric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GA Best 20 Days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RSO Productivity sub-metric: GA active transaction days — 40% threshold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MXB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Mixed Bundle — bundled data+voice+MXB product type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EV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Electronic Voucher — digital recharge product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DTR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Direct Top-up Recharge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OTF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Over-The-First recharge (EV+IRIS channel)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SR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Sales Representative channel (SR→Retailer recharge flow)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DD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Direct Distributor channel (DD→Retailer recharge flow)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DMS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Distribution Management System — Banglalink's retailer registry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Phase 1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Apr–Aug 2025: Bundle+Recharge KPI model with SCR gate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Phase 2</w:t>
            </w:r>
          </w:p>
        </w:tc>
        <w:tc>
          <w:tcPr>
            <w:tcW w:type="dxa" w:w="8064"/>
            <w:shd w:val="clear" w:color="auto" w:fill="EBF3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Sep 2025–Mar 2026: SCR+RSO Productivity KPI model (SCR is paid, no gate)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Exception Threshold</w:t>
            </w:r>
          </w:p>
        </w:tc>
        <w:tc>
          <w:tcPr>
            <w:tcW w:type="dxa" w:w="80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Minimum KPI achievement to earn 50% of allotted incentive (varies by month)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