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Banglalink SRF</w:t>
      </w:r>
    </w:p>
    <w:p>
      <w:pPr>
        <w:jc w:val="center"/>
      </w:pPr>
      <w:r>
        <w:rPr>
          <w:b/>
          <w:color w:val="2E75B6"/>
          <w:sz w:val="32"/>
        </w:rPr>
        <w:t>Unique KPI Conditions</w:t>
      </w:r>
    </w:p>
    <w:p>
      <w:pPr>
        <w:jc w:val="center"/>
      </w:pPr>
      <w:r>
        <w:rPr>
          <w:i/>
          <w:sz w:val="22"/>
        </w:rPr>
        <w:t>Campaign Folder: MDOs Variable Incentive</w:t>
      </w:r>
    </w:p>
    <w:p>
      <w:pPr>
        <w:jc w:val="center"/>
      </w:pPr>
      <w:r>
        <w:rPr>
          <w:color w:val="595959"/>
          <w:sz w:val="20"/>
        </w:rPr>
        <w:t>Total SRFs Analyzed: 15  |  Period: Apr 2025 – Mar 2026  |  Prepared: May 2026</w:t>
      </w:r>
    </w:p>
    <w:p/>
    <w:p>
      <w:pPr>
        <w:pBdr>
          <w:bottom w:val="single" w:sz="8" w:space="1" w:color="2E75B6"/>
        </w:pBdr>
        <w:spacing w:before="240" w:after="120"/>
      </w:pPr>
      <w:r>
        <w:rPr>
          <w:b/>
          <w:color w:val="1F4E79"/>
          <w:sz w:val="28"/>
        </w:rPr>
        <w:t>Index</w:t>
      </w:r>
    </w:p>
    <w:tbl>
      <w:tblPr>
        <w:jc w:val="left"/>
        <w:tblLook w:firstColumn="1" w:firstRow="1" w:lastColumn="0" w:lastRow="0" w:noHBand="0" w:noVBand="1" w:val="04A0"/>
        <w:tblW w:w="9072" w:type="dxa"/>
      </w:tblPr>
      <w:tblGrid>
        <w:gridCol w:w="576"/>
        <w:gridCol w:w="8496"/>
      </w:tblGrid>
      <w:tr>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576" w:type="dxa"/>
          </w:tcPr>
          <w:p>
            <w:pPr>
              <w:jc w:val="center"/>
            </w:pPr>
            <w:r/>
            <w:r>
              <w:rPr>
                <w:b/>
                <w:i w:val="0"/>
                <w:color w:val="FFFFFF"/>
                <w:sz w:val="18"/>
              </w:rPr>
              <w:t>#</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8496" w:type="dxa"/>
          </w:tcPr>
          <w:p>
            <w:pPr>
              <w:jc w:val="center"/>
            </w:pPr>
            <w:r/>
            <w:r>
              <w:rPr>
                <w:b/>
                <w:i w:val="0"/>
                <w:color w:val="FFFFFF"/>
                <w:sz w:val="18"/>
              </w:rPr>
              <w:t>Section</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
              <w:rPr>
                <w:b w:val="0"/>
                <w:i w:val="0"/>
                <w:color w:val="1A1A1A"/>
                <w:sz w:val="18"/>
              </w:rPr>
              <w:t>1</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496" w:type="dxa"/>
          </w:tcPr>
          <w:p>
            <w:pPr>
              <w:jc w:val="left"/>
            </w:pPr>
            <w:r/>
            <w:r>
              <w:rPr>
                <w:b w:val="0"/>
                <w:i w:val="0"/>
                <w:color w:val="1A1A1A"/>
                <w:sz w:val="18"/>
              </w:rPr>
              <w:t>Campaign Overview &amp; Recipient</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
              <w:rPr>
                <w:b w:val="0"/>
                <w:i w:val="0"/>
                <w:color w:val="1A1A1A"/>
                <w:sz w:val="18"/>
              </w:rPr>
              <w:t>2</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496" w:type="dxa"/>
          </w:tcPr>
          <w:p>
            <w:pPr>
              <w:jc w:val="left"/>
            </w:pPr>
            <w:r/>
            <w:r>
              <w:rPr>
                <w:b w:val="0"/>
                <w:i w:val="0"/>
                <w:color w:val="1A1A1A"/>
                <w:sz w:val="18"/>
              </w:rPr>
              <w:t>KPI Set Evolution by Epoch (Apr25 → Mar26)</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
              <w:rPr>
                <w:b w:val="0"/>
                <w:i w:val="0"/>
                <w:color w:val="1A1A1A"/>
                <w:sz w:val="18"/>
              </w:rPr>
              <w:t>3</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496" w:type="dxa"/>
          </w:tcPr>
          <w:p>
            <w:pPr>
              <w:jc w:val="left"/>
            </w:pPr>
            <w:r/>
            <w:r>
              <w:rPr>
                <w:b w:val="0"/>
                <w:i w:val="0"/>
                <w:color w:val="1A1A1A"/>
                <w:sz w:val="18"/>
              </w:rPr>
              <w:t>KPI Definitions — Active LSO</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
              <w:rPr>
                <w:b w:val="0"/>
                <w:i w:val="0"/>
                <w:color w:val="1A1A1A"/>
                <w:sz w:val="18"/>
              </w:rPr>
              <w:t>4</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496" w:type="dxa"/>
          </w:tcPr>
          <w:p>
            <w:pPr>
              <w:jc w:val="left"/>
            </w:pPr>
            <w:r/>
            <w:r>
              <w:rPr>
                <w:b w:val="0"/>
                <w:i w:val="0"/>
                <w:color w:val="1A1A1A"/>
                <w:sz w:val="18"/>
              </w:rPr>
              <w:t>KPI Definitions — BSO</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
              <w:rPr>
                <w:b w:val="0"/>
                <w:i w:val="0"/>
                <w:color w:val="1A1A1A"/>
                <w:sz w:val="18"/>
              </w:rPr>
              <w:t>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496" w:type="dxa"/>
          </w:tcPr>
          <w:p>
            <w:pPr>
              <w:jc w:val="left"/>
            </w:pPr>
            <w:r/>
            <w:r>
              <w:rPr>
                <w:b w:val="0"/>
                <w:i w:val="0"/>
                <w:color w:val="1A1A1A"/>
                <w:sz w:val="18"/>
              </w:rPr>
              <w:t>KPI Definitions — SSO (Introduced Jan26)</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
              <w:rPr>
                <w:b w:val="0"/>
                <w:i w:val="0"/>
                <w:color w:val="1A1A1A"/>
                <w:sz w:val="18"/>
              </w:rPr>
              <w:t>6</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496" w:type="dxa"/>
          </w:tcPr>
          <w:p>
            <w:pPr>
              <w:jc w:val="left"/>
            </w:pPr>
            <w:r/>
            <w:r>
              <w:rPr>
                <w:b w:val="0"/>
                <w:i w:val="0"/>
                <w:color w:val="1A1A1A"/>
                <w:sz w:val="18"/>
              </w:rPr>
              <w:t>KPI Definitions — Site Monetization: Phase 1 (Revenue Bucket Movement, Jul–Sep25)</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
              <w:rPr>
                <w:b w:val="0"/>
                <w:i w:val="0"/>
                <w:color w:val="1A1A1A"/>
                <w:sz w:val="18"/>
              </w:rPr>
              <w:t>7</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496" w:type="dxa"/>
          </w:tcPr>
          <w:p>
            <w:pPr>
              <w:jc w:val="left"/>
            </w:pPr>
            <w:r/>
            <w:r>
              <w:rPr>
                <w:b w:val="0"/>
                <w:i w:val="0"/>
                <w:color w:val="1A1A1A"/>
                <w:sz w:val="18"/>
              </w:rPr>
              <w:t>KPI Definitions — Site Monetization: Phase 2 (Absolute LUS Conversion, Oct25 onward)</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
              <w:rPr>
                <w:b w:val="0"/>
                <w:i w:val="0"/>
                <w:color w:val="1A1A1A"/>
                <w:sz w:val="18"/>
              </w:rPr>
              <w:t>8</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496" w:type="dxa"/>
          </w:tcPr>
          <w:p>
            <w:pPr>
              <w:jc w:val="left"/>
            </w:pPr>
            <w:r/>
            <w:r>
              <w:rPr>
                <w:b w:val="0"/>
                <w:i w:val="0"/>
                <w:color w:val="1A1A1A"/>
                <w:sz w:val="18"/>
              </w:rPr>
              <w:t>KPI Definitions — GA (Gross Add)</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
              <w:rPr>
                <w:b w:val="0"/>
                <w:i w:val="0"/>
                <w:color w:val="1A1A1A"/>
                <w:sz w:val="18"/>
              </w:rPr>
              <w:t>9</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496" w:type="dxa"/>
          </w:tcPr>
          <w:p>
            <w:pPr>
              <w:jc w:val="left"/>
            </w:pPr>
            <w:r/>
            <w:r>
              <w:rPr>
                <w:b w:val="0"/>
                <w:i w:val="0"/>
                <w:color w:val="1A1A1A"/>
                <w:sz w:val="18"/>
              </w:rPr>
              <w:t>KPI Definitions — EV Secondary Recharge</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
              <w:rPr>
                <w:b w:val="0"/>
                <w:i w:val="0"/>
                <w:color w:val="1A1A1A"/>
                <w:sz w:val="18"/>
              </w:rPr>
              <w:t>10</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496" w:type="dxa"/>
          </w:tcPr>
          <w:p>
            <w:pPr>
              <w:jc w:val="left"/>
            </w:pPr>
            <w:r/>
            <w:r>
              <w:rPr>
                <w:b w:val="0"/>
                <w:i w:val="0"/>
                <w:color w:val="1A1A1A"/>
                <w:sz w:val="18"/>
              </w:rPr>
              <w:t>KPI Definitions — SC Primary (Lifting)</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
              <w:rPr>
                <w:b w:val="0"/>
                <w:i w:val="0"/>
                <w:color w:val="1A1A1A"/>
                <w:sz w:val="18"/>
              </w:rPr>
              <w:t>11</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496" w:type="dxa"/>
          </w:tcPr>
          <w:p>
            <w:pPr>
              <w:jc w:val="left"/>
            </w:pPr>
            <w:r/>
            <w:r>
              <w:rPr>
                <w:b w:val="0"/>
                <w:i w:val="0"/>
                <w:color w:val="1A1A1A"/>
                <w:sz w:val="18"/>
              </w:rPr>
              <w:t>KPI Definitions — Total Bundles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
              <w:rPr>
                <w:b w:val="0"/>
                <w:i w:val="0"/>
                <w:color w:val="1A1A1A"/>
                <w:sz w:val="18"/>
              </w:rPr>
              <w:t>12</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496" w:type="dxa"/>
          </w:tcPr>
          <w:p>
            <w:pPr>
              <w:jc w:val="left"/>
            </w:pPr>
            <w:r/>
            <w:r>
              <w:rPr>
                <w:b w:val="0"/>
                <w:i w:val="0"/>
                <w:color w:val="1A1A1A"/>
                <w:sz w:val="18"/>
              </w:rPr>
              <w:t>CHICOX09 Special Consideration — Weightage Structures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
              <w:rPr>
                <w:b w:val="0"/>
                <w:i w:val="0"/>
                <w:color w:val="1A1A1A"/>
                <w:sz w:val="18"/>
              </w:rPr>
              <w:t>13</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496" w:type="dxa"/>
          </w:tcPr>
          <w:p>
            <w:pPr>
              <w:jc w:val="left"/>
            </w:pPr>
            <w:r/>
            <w:r>
              <w:rPr>
                <w:b w:val="0"/>
                <w:i w:val="0"/>
                <w:color w:val="1A1A1A"/>
                <w:sz w:val="18"/>
              </w:rPr>
              <w:t>Pro-Rated Calculation for Mid-Month New DDs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
              <w:rPr>
                <w:b w:val="0"/>
                <w:i w:val="0"/>
                <w:color w:val="1A1A1A"/>
                <w:sz w:val="18"/>
              </w:rPr>
              <w:t>14</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496" w:type="dxa"/>
          </w:tcPr>
          <w:p>
            <w:pPr>
              <w:jc w:val="left"/>
            </w:pPr>
            <w:r/>
            <w:r>
              <w:rPr>
                <w:b w:val="0"/>
                <w:i w:val="0"/>
                <w:color w:val="1A1A1A"/>
                <w:sz w:val="18"/>
              </w:rPr>
              <w:t>GA-Only Supplementary SRFs (Oct25_GA, Jan26_GA)</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
              <w:rPr>
                <w:b w:val="0"/>
                <w:i w:val="0"/>
                <w:color w:val="1A1A1A"/>
                <w:sz w:val="18"/>
              </w:rPr>
              <w:t>15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496" w:type="dxa"/>
          </w:tcPr>
          <w:p>
            <w:pPr>
              <w:jc w:val="left"/>
            </w:pPr>
            <w:r/>
            <w:r>
              <w:rPr>
                <w:b w:val="0"/>
                <w:i w:val="0"/>
                <w:color w:val="1A1A1A"/>
                <w:sz w:val="18"/>
              </w:rPr>
              <w:t>DRC Exclusion Conditions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
              <w:rPr>
                <w:b w:val="0"/>
                <w:i w:val="0"/>
                <w:color w:val="1A1A1A"/>
                <w:sz w:val="18"/>
              </w:rPr>
              <w:t>16</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496" w:type="dxa"/>
          </w:tcPr>
          <w:p>
            <w:pPr>
              <w:jc w:val="left"/>
            </w:pPr>
            <w:r/>
            <w:r>
              <w:rPr>
                <w:b w:val="0"/>
                <w:i w:val="0"/>
                <w:color w:val="1A1A1A"/>
                <w:sz w:val="18"/>
              </w:rPr>
              <w:t>Fixed / Invariant General Conditions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
              <w:rPr>
                <w:b w:val="0"/>
                <w:i w:val="0"/>
                <w:color w:val="1A1A1A"/>
                <w:sz w:val="18"/>
              </w:rPr>
              <w:t>17</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496" w:type="dxa"/>
          </w:tcPr>
          <w:p>
            <w:pPr>
              <w:jc w:val="left"/>
            </w:pPr>
            <w:r/>
            <w:r>
              <w:rPr>
                <w:b w:val="0"/>
                <w:i w:val="0"/>
                <w:color w:val="1A1A1A"/>
                <w:sz w:val="18"/>
              </w:rPr>
              <w:t>SRF Reference Summary Table (All 15 SRFs)</w:t>
            </w:r>
          </w:p>
        </w:tc>
      </w:tr>
    </w:tbl>
    <w:p/>
    <w:p>
      <w:r>
        <w:br w:type="page"/>
      </w:r>
    </w:p>
    <w:p>
      <w:pPr>
        <w:pBdr>
          <w:bottom w:val="single" w:sz="8" w:space="1" w:color="2E75B6"/>
        </w:pBdr>
        <w:spacing w:before="240" w:after="120"/>
      </w:pPr>
      <w:r>
        <w:rPr>
          <w:b/>
          <w:color w:val="1F4E79"/>
          <w:sz w:val="28"/>
        </w:rPr>
        <w:t>1. Campaign Overview &amp; Recipient</w:t>
      </w:r>
    </w:p>
    <w:tbl>
      <w:tblPr>
        <w:jc w:val="left"/>
        <w:tblLook w:firstColumn="1" w:firstRow="1" w:lastColumn="0" w:lastRow="0" w:noHBand="0" w:noVBand="1" w:val="04A0"/>
        <w:tblW w:w="9360" w:type="dxa"/>
      </w:tblPr>
      <w:tblGrid>
        <w:gridCol w:w="2880"/>
        <w:gridCol w:w="6480"/>
      </w:tblGrid>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Recipient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MDOs (Market Development Officers) / Distributors (DDs)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Department</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Distribution Planning &amp; Operation</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Report Type</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Regular, Monthly</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Frequency</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Monthly — End of campaign</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Disbursement Slot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Disbursement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Report Title Format</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MDOs Variable incentive_[MonthYear]</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Total SRFs</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15 SRFs covering Apr 2025 – Mar 2026</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Max Reward</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BDT 10,000 (all main SRFs); BDT 1,500 (GA-only supplementary SRFs)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Requester</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Murshida Begum Boby, Distribution Planning &amp; Operation</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DMS Exclusion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Retailers registered as 'BL Franchise Store' in DMS are excluded from all KPIs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DMS Mapping</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Month-end DMS mapping is considered for all SRFs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Rounding</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General mathematical rounding: below 0.5 rounds down; &gt;=0.5 rounds up (all KPIs)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Achievement Basis</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Without DRC (DRC exclusion applied from Jul25 onward; Apr–Jun25 also exclude DRC EV Secondary)</w:t>
            </w:r>
          </w:p>
        </w:tc>
      </w:tr>
    </w:tbl>
    <w:p/>
    <w:p>
      <w:pPr>
        <w:pBdr>
          <w:bottom w:val="single" w:sz="8" w:space="1" w:color="2E75B6"/>
        </w:pBdr>
        <w:spacing w:before="240" w:after="120"/>
      </w:pPr>
      <w:r>
        <w:rPr>
          <w:b/>
          <w:color w:val="1F4E79"/>
          <w:sz w:val="28"/>
        </w:rPr>
        <w:t>2. KPI Set Evolution by Epoch (Apr25 → Mar26)</w:t>
      </w:r>
    </w:p>
    <w:p>
      <w:pPr>
        <w:jc w:val="left"/>
        <w:spacing w:before="0" w:after="80"/>
      </w:pPr>
      <w:r>
        <w:rPr>
          <w:b w:val="0"/>
          <w:i w:val="0"/>
          <w:sz w:val="20"/>
        </w:rPr>
        <w:t>The KPI set for MDOs Variable Incentive evolved significantly over the 12-month period. Four distinct epochs are identifiable based on structural changes to which KPIs are active and how they are defined.</w:t>
      </w:r>
    </w:p>
    <w:tbl>
      <w:tblPr>
        <w:jc w:val="left"/>
        <w:tblLook w:firstColumn="1" w:firstRow="1" w:lastColumn="0" w:lastRow="0" w:noHBand="0" w:noVBand="1" w:val="04A0"/>
        <w:tblW w:w="9360" w:type="dxa"/>
      </w:tblPr>
      <w:tblGrid>
        <w:gridCol w:w="720"/>
        <w:gridCol w:w="1584"/>
        <w:gridCol w:w="3600"/>
        <w:gridCol w:w="3456"/>
      </w:tblGrid>
      <w:tr>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720" w:type="dxa"/>
          </w:tcPr>
          <w:p>
            <w:pPr>
              <w:jc w:val="center"/>
            </w:pPr>
            <w:r/>
            <w:r>
              <w:rPr>
                <w:b/>
                <w:i w:val="0"/>
                <w:color w:val="FFFFFF"/>
                <w:sz w:val="18"/>
              </w:rPr>
              <w:t>Epoch</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584" w:type="dxa"/>
          </w:tcPr>
          <w:p>
            <w:pPr>
              <w:jc w:val="center"/>
            </w:pPr>
            <w:r/>
            <w:r>
              <w:rPr>
                <w:b/>
                <w:i w:val="0"/>
                <w:color w:val="FFFFFF"/>
                <w:sz w:val="18"/>
              </w:rPr>
              <w:t>Period</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600" w:type="dxa"/>
          </w:tcPr>
          <w:p>
            <w:pPr>
              <w:jc w:val="center"/>
            </w:pPr>
            <w:r/>
            <w:r>
              <w:rPr>
                <w:b/>
                <w:i w:val="0"/>
                <w:color w:val="FFFFFF"/>
                <w:sz w:val="18"/>
              </w:rPr>
              <w:t>Active KPIs</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456" w:type="dxa"/>
          </w:tcPr>
          <w:p>
            <w:pPr>
              <w:jc w:val="center"/>
            </w:pPr>
            <w:r/>
            <w:r>
              <w:rPr>
                <w:b/>
                <w:i w:val="0"/>
                <w:color w:val="FFFFFF"/>
                <w:sz w:val="18"/>
              </w:rPr>
              <w:t>Key Changes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720" w:type="dxa"/>
          </w:tcPr>
          <w:p>
            <w:pPr>
              <w:jc w:val="left"/>
            </w:pPr>
            <w:r/>
            <w:r>
              <w:rPr>
                <w:b w:val="0"/>
                <w:i w:val="0"/>
                <w:color w:val="1A1A1A"/>
                <w:sz w:val="18"/>
              </w:rPr>
              <w:t>1</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Apr25 – Jun25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600" w:type="dxa"/>
          </w:tcPr>
          <w:p>
            <w:pPr>
              <w:jc w:val="left"/>
            </w:pPr>
            <w:r/>
            <w:r>
              <w:rPr>
                <w:b w:val="0"/>
                <w:i w:val="0"/>
                <w:color w:val="1A1A1A"/>
                <w:sz w:val="18"/>
              </w:rPr>
              <w:t>EV Secondary (Recharge) + SC Primary + Total Bundles + Active LSO + BSO</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
              <w:rPr>
                <w:b w:val="0"/>
                <w:i w:val="0"/>
                <w:color w:val="1A1A1A"/>
                <w:sz w:val="18"/>
              </w:rPr>
              <w:t>Baseline set. No GA, no Site Monetization. Maturity 1st–3rd of next month.</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720" w:type="dxa"/>
          </w:tcPr>
          <w:p>
            <w:pPr>
              <w:jc w:val="left"/>
            </w:pPr>
            <w:r/>
            <w:r>
              <w:rPr>
                <w:b w:val="0"/>
                <w:i w:val="0"/>
                <w:color w:val="1A1A1A"/>
                <w:sz w:val="18"/>
              </w:rPr>
              <w:t>2</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Jul25 – Sep25</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600" w:type="dxa"/>
          </w:tcPr>
          <w:p>
            <w:pPr>
              <w:jc w:val="left"/>
            </w:pPr>
            <w:r/>
            <w:r>
              <w:rPr>
                <w:b w:val="0"/>
                <w:i w:val="0"/>
                <w:color w:val="1A1A1A"/>
                <w:sz w:val="18"/>
              </w:rPr>
              <w:t>EV Secondary + SC Primary + Total Bundles + Active LSO + BSO + GA + Site Monetization (Revenue Bucket)</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
              <w:rPr>
                <w:b w:val="0"/>
                <w:i w:val="0"/>
                <w:color w:val="1A1A1A"/>
                <w:sz w:val="18"/>
              </w:rPr>
              <w:t>GA and Site Monetization added. Monobrand excluded. CHICOX09 prorated condition added. Maturity 10th.</w:t>
            </w:r>
          </w:p>
        </w:tc>
      </w:tr>
      <w:tr>
        <w:tc>
          <w:tcPr>
            <w:shd w:val="clear" w:color="auto" w:fill="FFF2CC"/>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720" w:type="dxa"/>
          </w:tcPr>
          <w:p>
            <w:pPr>
              <w:jc w:val="left"/>
            </w:pPr>
            <w:r/>
            <w:r>
              <w:rPr>
                <w:b w:val="0"/>
                <w:i w:val="0"/>
                <w:color w:val="1A1A1A"/>
                <w:sz w:val="18"/>
              </w:rPr>
              <w:t>3</w:t>
            </w:r>
          </w:p>
        </w:tc>
        <w:tc>
          <w:tcPr>
            <w:shd w:val="clear" w:color="auto" w:fill="FFF2CC"/>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Oct25 – Dec25</w:t>
            </w:r>
          </w:p>
        </w:tc>
        <w:tc>
          <w:tcPr>
            <w:shd w:val="clear" w:color="auto" w:fill="FFF2CC"/>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600" w:type="dxa"/>
          </w:tcPr>
          <w:p>
            <w:pPr>
              <w:jc w:val="left"/>
            </w:pPr>
            <w:r/>
            <w:r>
              <w:rPr>
                <w:b w:val="0"/>
                <w:i w:val="0"/>
                <w:color w:val="1A1A1A"/>
                <w:sz w:val="18"/>
              </w:rPr>
              <w:t>EV Secondary + SC Primary + Active LSO + BSO + GA + Site Monetization (Absolute LUS Conversion)</w:t>
            </w:r>
          </w:p>
        </w:tc>
        <w:tc>
          <w:tcPr>
            <w:shd w:val="clear" w:color="auto" w:fill="FFF2CC"/>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
              <w:rPr>
                <w:b w:val="0"/>
                <w:i w:val="0"/>
                <w:color w:val="1A1A1A"/>
                <w:sz w:val="18"/>
              </w:rPr>
              <w:t>Site Monetization redefined: absolute LUS→Non-LUS conversion (threshold: Core &gt;=200K, Non-Core &gt;=150K). Nov25 adds CHICOX09 weightage table. DHKGAZ08/MYMTAN18 RSO-wise rule added in Nov25.</w:t>
            </w:r>
          </w:p>
        </w:tc>
      </w:tr>
      <w:tr>
        <w:tc>
          <w:tcPr>
            <w:shd w:val="clear" w:color="auto" w:fill="E2EFDA"/>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720" w:type="dxa"/>
          </w:tcPr>
          <w:p>
            <w:pPr>
              <w:jc w:val="left"/>
            </w:pPr>
            <w:r/>
            <w:r>
              <w:rPr>
                <w:b w:val="0"/>
                <w:i w:val="0"/>
                <w:color w:val="1A1A1A"/>
                <w:sz w:val="18"/>
              </w:rPr>
              <w:t>4</w:t>
            </w:r>
          </w:p>
        </w:tc>
        <w:tc>
          <w:tcPr>
            <w:shd w:val="clear" w:color="auto" w:fill="E2EFDA"/>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Jan26 – Mar26</w:t>
            </w:r>
          </w:p>
        </w:tc>
        <w:tc>
          <w:tcPr>
            <w:shd w:val="clear" w:color="auto" w:fill="E2EFDA"/>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600" w:type="dxa"/>
          </w:tcPr>
          <w:p>
            <w:pPr>
              <w:jc w:val="left"/>
            </w:pPr>
            <w:r/>
            <w:r>
              <w:rPr>
                <w:b w:val="0"/>
                <w:i w:val="0"/>
                <w:color w:val="1A1A1A"/>
                <w:sz w:val="18"/>
              </w:rPr>
              <w:t>EV Secondary + SC Primary + Active LSO + SSO + GA + Site Monetization (Absolute LUS Conversion)</w:t>
            </w:r>
          </w:p>
        </w:tc>
        <w:tc>
          <w:tcPr>
            <w:shd w:val="clear" w:color="auto" w:fill="E2EFDA"/>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
              <w:rPr>
                <w:b w:val="0"/>
                <w:i w:val="0"/>
                <w:color w:val="1A1A1A"/>
                <w:sz w:val="18"/>
              </w:rPr>
              <w:t>BSO replaced by SSO as quality KPI. Active LSO raised: 7 days + BDT 500 C2S. VLR condition added to GA. Usage gate changed to 93% No-Play. CHICOX09 weightage restructured.</w:t>
            </w:r>
          </w:p>
        </w:tc>
      </w:tr>
    </w:tbl>
    <w:p/>
    <w:p>
      <w:pPr>
        <w:ind w:left="360"/>
        <w:spacing w:before="0" w:after="80"/>
      </w:pPr>
      <w:r>
        <w:rPr>
          <w:i/>
          <w:color w:val="595959"/>
          <w:sz w:val="18"/>
        </w:rPr>
        <w:t>Note: Bundle KPI (Total Bundles) was present in Epoch 1 &amp; 2. It disappears from the main KPI list in Nov25 onward (Epoch 3 &amp; 4), though bundle recharge remains defined in the recharge section.</w:t>
      </w:r>
    </w:p>
    <w:p>
      <w:r>
        <w:br w:type="page"/>
      </w:r>
    </w:p>
    <w:p>
      <w:pPr>
        <w:pBdr>
          <w:bottom w:val="single" w:sz="8" w:space="1" w:color="2E75B6"/>
        </w:pBdr>
        <w:spacing w:before="240" w:after="120"/>
      </w:pPr>
      <w:r>
        <w:rPr>
          <w:b/>
          <w:color w:val="1F4E79"/>
          <w:sz w:val="28"/>
        </w:rPr>
        <w:t>3. KPI Definitions — Active LSO</w:t>
      </w:r>
    </w:p>
    <w:p>
      <w:pPr>
        <w:jc w:val="left"/>
        <w:spacing w:before="0" w:after="80"/>
      </w:pPr>
      <w:r>
        <w:rPr>
          <w:b w:val="0"/>
          <w:i w:val="0"/>
          <w:sz w:val="20"/>
        </w:rPr>
        <w:t>The Active LSO definition changed significantly between Epochs 1–3 and Epoch 4. The threshold for both days and C2S value was raised from Jan26 onward, and the Core/Non-Core split was removed.</w:t>
      </w:r>
    </w:p>
    <w:tbl>
      <w:tblPr>
        <w:jc w:val="left"/>
        <w:tblLook w:firstColumn="1" w:firstRow="1" w:lastColumn="0" w:lastRow="0" w:noHBand="0" w:noVBand="1" w:val="04A0"/>
        <w:tblW w:w="9360" w:type="dxa"/>
      </w:tblPr>
      <w:tblGrid>
        <w:gridCol w:w="864"/>
        <w:gridCol w:w="1728"/>
        <w:gridCol w:w="5040"/>
        <w:gridCol w:w="1728"/>
      </w:tblGrid>
      <w:tr>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864" w:type="dxa"/>
          </w:tcPr>
          <w:p>
            <w:pPr>
              <w:jc w:val="center"/>
            </w:pPr>
            <w:r/>
            <w:r>
              <w:rPr>
                <w:b/>
                <w:i w:val="0"/>
                <w:color w:val="FFFFFF"/>
                <w:sz w:val="18"/>
              </w:rPr>
              <w:t>Epoch</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728" w:type="dxa"/>
          </w:tcPr>
          <w:p>
            <w:pPr>
              <w:jc w:val="center"/>
            </w:pPr>
            <w:r/>
            <w:r>
              <w:rPr>
                <w:b/>
                <w:i w:val="0"/>
                <w:color w:val="FFFFFF"/>
                <w:sz w:val="18"/>
              </w:rPr>
              <w:t>Period</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5040" w:type="dxa"/>
          </w:tcPr>
          <w:p>
            <w:pPr>
              <w:jc w:val="center"/>
            </w:pPr>
            <w:r/>
            <w:r>
              <w:rPr>
                <w:b/>
                <w:i w:val="0"/>
                <w:color w:val="FFFFFF"/>
                <w:sz w:val="18"/>
              </w:rPr>
              <w:t>Active LSO Definition</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728" w:type="dxa"/>
          </w:tcPr>
          <w:p>
            <w:pPr>
              <w:jc w:val="center"/>
            </w:pPr>
            <w:r/>
            <w:r>
              <w:rPr>
                <w:b/>
                <w:i w:val="0"/>
                <w:color w:val="FFFFFF"/>
                <w:sz w:val="18"/>
              </w:rPr>
              <w:t>Change?</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 w:type="dxa"/>
          </w:tcPr>
          <w:p>
            <w:pPr>
              <w:jc w:val="left"/>
            </w:pPr>
            <w:r/>
            <w:r>
              <w:rPr>
                <w:b w:val="0"/>
                <w:i w:val="0"/>
                <w:color w:val="1A1A1A"/>
                <w:sz w:val="18"/>
              </w:rPr>
              <w:t>1, 2, 3</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
              <w:rPr>
                <w:b w:val="0"/>
                <w:i w:val="0"/>
                <w:color w:val="1A1A1A"/>
                <w:sz w:val="18"/>
              </w:rPr>
              <w:t>Apr25 – Dec25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040" w:type="dxa"/>
          </w:tcPr>
          <w:p>
            <w:pPr>
              <w:jc w:val="left"/>
            </w:pPr>
            <w:r/>
            <w:r>
              <w:rPr>
                <w:b w:val="0"/>
                <w:i w:val="0"/>
                <w:color w:val="1A1A1A"/>
                <w:sz w:val="18"/>
              </w:rPr>
              <w:t>Core: C2S (Retail to sub) by Retail in min 4 days of a month + BDT 200 C2S Value in total in a month</w:t>
              <w:br/>
              <w:t>Non-Core: C2S by Retail in min 4 days of a month + BDT 100 C2S Value in total in a month</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
              <w:rPr>
                <w:b w:val="0"/>
                <w:i w:val="0"/>
                <w:color w:val="1A1A1A"/>
                <w:sz w:val="18"/>
              </w:rPr>
              <w:t>Baseline</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 w:type="dxa"/>
          </w:tcPr>
          <w:p>
            <w:pPr>
              <w:jc w:val="left"/>
            </w:pPr>
            <w:r/>
            <w:r>
              <w:rPr>
                <w:b w:val="0"/>
                <w:i w:val="0"/>
                <w:color w:val="1A1A1A"/>
                <w:sz w:val="18"/>
              </w:rPr>
              <w:t>4</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
              <w:rPr>
                <w:b w:val="0"/>
                <w:i w:val="0"/>
                <w:color w:val="1A1A1A"/>
                <w:sz w:val="18"/>
              </w:rPr>
              <w:t>Jan26 – Mar26</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040" w:type="dxa"/>
          </w:tcPr>
          <w:p>
            <w:pPr>
              <w:jc w:val="left"/>
            </w:pPr>
            <w:r/>
            <w:r>
              <w:rPr>
                <w:b w:val="0"/>
                <w:i w:val="0"/>
                <w:color w:val="1A1A1A"/>
                <w:sz w:val="18"/>
              </w:rPr>
              <w:t>C2S (Retail to sub) by Retail in min 7 days of a month + BDT 500 C2S Value in total in a month</w:t>
              <w:br/>
              <w:t>(No Core/Non-Core split — single unified threshold)</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
              <w:rPr>
                <w:b w:val="0"/>
                <w:i w:val="0"/>
                <w:color w:val="1A1A1A"/>
                <w:sz w:val="18"/>
              </w:rPr>
              <w:t>CHANGED: days raised 4→7; C2S value raised 200/100→500; Core/Non-Core split removed</w:t>
            </w:r>
          </w:p>
        </w:tc>
      </w:tr>
    </w:tbl>
    <w:p/>
    <w:p>
      <w:pPr>
        <w:ind w:left="360"/>
        <w:spacing w:before="0" w:after="80"/>
      </w:pPr>
      <w:r>
        <w:rPr>
          <w:i/>
          <w:color w:val="595959"/>
          <w:sz w:val="18"/>
        </w:rPr>
        <w:t>Note: The Jan26 change represents a meaningful tightening of the LSO quality standard — retailers now need to transact on 7 days (not 4) with a higher C2S value. DRC exclusion applied to LSO from Jul25 onward.</w:t>
      </w:r>
    </w:p>
    <w:p>
      <w:pPr>
        <w:pBdr>
          <w:bottom w:val="single" w:sz="8" w:space="1" w:color="2E75B6"/>
        </w:pBdr>
        <w:spacing w:before="240" w:after="120"/>
      </w:pPr>
      <w:r>
        <w:rPr>
          <w:b/>
          <w:color w:val="1F4E79"/>
          <w:sz w:val="28"/>
        </w:rPr>
        <w:t>4. KPI Definitions — BSO</w:t>
      </w:r>
    </w:p>
    <w:p>
      <w:pPr>
        <w:jc w:val="left"/>
        <w:spacing w:before="0" w:after="80"/>
      </w:pPr>
      <w:r>
        <w:rPr>
          <w:b w:val="0"/>
          <w:i w:val="0"/>
          <w:sz w:val="20"/>
        </w:rPr>
        <w:t>BSO (Bundle Sales Out / Bundle Subscriber Out) was active from Apr25 through Dec25. From Jan26 onward, BSO was replaced by SSO as the subscriber quality KPI.</w:t>
      </w:r>
    </w:p>
    <w:tbl>
      <w:tblPr>
        <w:jc w:val="left"/>
        <w:tblLook w:firstColumn="1" w:firstRow="1" w:lastColumn="0" w:lastRow="0" w:noHBand="0" w:noVBand="1" w:val="04A0"/>
        <w:tblW w:w="9360" w:type="dxa"/>
      </w:tblPr>
      <w:tblGrid>
        <w:gridCol w:w="2880"/>
        <w:gridCol w:w="6480"/>
      </w:tblGrid>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BSO Definition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BSO 200 TK Bundle Sales in a Month + 4 Days C2S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Active Period</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Apr25 – Dec25 (Epochs 1, 2, 3)</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DRC Exclusion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DRC achievements excluded from Jul25 onward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Replaced by</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SSO (from Jan26, Epoch 4)</w:t>
            </w:r>
          </w:p>
        </w:tc>
      </w:tr>
    </w:tbl>
    <w:p/>
    <w:p>
      <w:pPr>
        <w:pBdr>
          <w:bottom w:val="single" w:sz="8" w:space="1" w:color="2E75B6"/>
        </w:pBdr>
        <w:spacing w:before="240" w:after="120"/>
      </w:pPr>
      <w:r>
        <w:rPr>
          <w:b/>
          <w:color w:val="1F4E79"/>
          <w:sz w:val="28"/>
        </w:rPr>
        <w:t>5. KPI Definitions — SSO (Introduced Jan26)</w:t>
      </w:r>
    </w:p>
    <w:p>
      <w:pPr>
        <w:jc w:val="left"/>
        <w:spacing w:before="0" w:after="80"/>
      </w:pPr>
      <w:r>
        <w:rPr>
          <w:b w:val="0"/>
          <w:i w:val="0"/>
          <w:sz w:val="20"/>
        </w:rPr>
        <w:t>SSO (Subscriber SIM Out / Sales SIM Out) replaced BSO as the subscriber quality metric from Jan26 onward. The SSO definition is contained in an image/table within the PDF and could not be extracted as text; it must be referenced directly from the Jan26 SRF. SSO appears in the prorated tables of Feb26 and Mar26 alongside Active LSO.</w:t>
      </w:r>
    </w:p>
    <w:tbl>
      <w:tblPr>
        <w:jc w:val="left"/>
        <w:tblLook w:firstColumn="1" w:firstRow="1" w:lastColumn="0" w:lastRow="0" w:noHBand="0" w:noVBand="1" w:val="04A0"/>
        <w:tblW w:w="9360" w:type="dxa"/>
      </w:tblPr>
      <w:tblGrid>
        <w:gridCol w:w="2880"/>
        <w:gridCol w:w="6480"/>
      </w:tblGrid>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KPI Name</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SSO (exact acronym from SRF)</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Active Period</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Jan26 – Mar26 (Epoch 4)</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Replaces</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BSO (which was active Apr25–Dec25)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Definition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Contained in image/embedded table in PDF — not extractable as plain text. Refer to Jan26 SRF directly.</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DRC Exclusion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DRC achievements excluded</w:t>
            </w:r>
          </w:p>
        </w:tc>
      </w:tr>
    </w:tbl>
    <w:p/>
    <w:p>
      <w:pPr>
        <w:ind w:left="360"/>
        <w:spacing w:before="0" w:after="80"/>
      </w:pPr>
      <w:r>
        <w:rPr>
          <w:i/>
          <w:color w:val="595959"/>
          <w:sz w:val="18"/>
        </w:rPr>
        <w:t>Note: In Mar26, the SRF explicitly lists KPIs as 'LSO, SSO, site monetization, Recharge and GA' — confirming BSO is fully dropped and SSO is the active quality KPI.</w:t>
      </w:r>
    </w:p>
    <w:p>
      <w:r>
        <w:br w:type="page"/>
      </w:r>
    </w:p>
    <w:p>
      <w:pPr>
        <w:pBdr>
          <w:bottom w:val="single" w:sz="8" w:space="1" w:color="2E75B6"/>
        </w:pBdr>
        <w:spacing w:before="240" w:after="120"/>
      </w:pPr>
      <w:r>
        <w:rPr>
          <w:b/>
          <w:color w:val="1F4E79"/>
          <w:sz w:val="28"/>
        </w:rPr>
        <w:t>6. KPI Definitions — Site Monetization: Phase 1 (Revenue Bucket Movement, Jul–Sep25)</w:t>
      </w:r>
    </w:p>
    <w:p>
      <w:pPr>
        <w:jc w:val="left"/>
        <w:spacing w:before="0" w:after="80"/>
      </w:pPr>
      <w:r>
        <w:rPr>
          <w:b w:val="0"/>
          <w:i w:val="0"/>
          <w:sz w:val="20"/>
        </w:rPr>
        <w:t>Site Monetization was introduced in Jul25 as a 'Revenue Bucket Movement' KPI. It measures growth in service revenue at selected BTS sites above a fixed base month (May 2025).</w:t>
      </w:r>
    </w:p>
    <w:tbl>
      <w:tblPr>
        <w:jc w:val="left"/>
        <w:tblLook w:firstColumn="1" w:firstRow="1" w:lastColumn="0" w:lastRow="0" w:noHBand="0" w:noVBand="1" w:val="04A0"/>
        <w:tblW w:w="9360" w:type="dxa"/>
      </w:tblPr>
      <w:tblGrid>
        <w:gridCol w:w="2880"/>
        <w:gridCol w:w="6480"/>
      </w:tblGrid>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KPI Name</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Site Monetization (LUS Conversion — Revenue Bucket Movement)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Active Period</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Jul25, Aug25, Sep25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Revenue Metric</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Month-end Service Revenue at selected BTS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Base Revenue</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May'25 actual Service Revenue (fixed base for Jul, Aug, Sep 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Growth Target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Service Revenue Achievement minus Base Revenue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Achievement Scope</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Calculated based on selected BTS only</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Payout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Prorated payout from 60%–100% achievement (example: 60% ach → 60% of BDT 1,000; 100% ach → BDT 1,000; &gt;100% capped at BDT 1,000)</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Maturity</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9th of the following month</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Example (Jul25)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Total BTS=5, Service Rev Target=100, Base=90, Growth Target=10, Actual=96 (96%), Growth Ach=6 (60%), Payout=60%, Amount=BDT 600</w:t>
            </w:r>
          </w:p>
        </w:tc>
      </w:tr>
    </w:tbl>
    <w:p/>
    <w:p>
      <w:pPr>
        <w:pBdr>
          <w:bottom w:val="single" w:sz="8" w:space="1" w:color="2E75B6"/>
        </w:pBdr>
        <w:spacing w:before="240" w:after="120"/>
      </w:pPr>
      <w:r>
        <w:rPr>
          <w:b/>
          <w:color w:val="1F4E79"/>
          <w:sz w:val="28"/>
        </w:rPr>
        <w:t>7. KPI Definitions — Site Monetization: Phase 2 (Absolute LUS Conversion, Oct25 onward)</w:t>
      </w:r>
    </w:p>
    <w:p>
      <w:pPr>
        <w:jc w:val="left"/>
        <w:spacing w:before="0" w:after="80"/>
      </w:pPr>
      <w:r>
        <w:rPr>
          <w:b w:val="0"/>
          <w:i w:val="0"/>
          <w:sz w:val="20"/>
        </w:rPr>
        <w:t>From Oct25 onward, Site Monetization was fundamentally redefined. It no longer tracks revenue bucket movement but instead measures the absolute conversion of LUS (Low Usage Sites) to Non-LUS status based on a fixed service revenue threshold.</w:t>
      </w:r>
    </w:p>
    <w:tbl>
      <w:tblPr>
        <w:jc w:val="left"/>
        <w:tblLook w:firstColumn="1" w:firstRow="1" w:lastColumn="0" w:lastRow="0" w:noHBand="0" w:noVBand="1" w:val="04A0"/>
        <w:tblW w:w="9360" w:type="dxa"/>
      </w:tblPr>
      <w:tblGrid>
        <w:gridCol w:w="3311"/>
        <w:gridCol w:w="6048"/>
      </w:tblGrid>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11" w:type="dxa"/>
          </w:tcPr>
          <w:p>
            <w:pPr>
              <w:jc w:val="left"/>
            </w:pPr>
            <w:r/>
            <w:r>
              <w:rPr>
                <w:b/>
                <w:i w:val="0"/>
                <w:color w:val="1A1A1A"/>
                <w:sz w:val="18"/>
              </w:rPr>
              <w:t>KPI Name</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048" w:type="dxa"/>
          </w:tcPr>
          <w:p>
            <w:pPr>
              <w:jc w:val="left"/>
            </w:pPr>
            <w:r/>
            <w:r>
              <w:rPr>
                <w:b w:val="0"/>
                <w:i w:val="0"/>
                <w:color w:val="1A1A1A"/>
                <w:sz w:val="18"/>
              </w:rPr>
              <w:t>Site Monetization (LUS Conversion — Absolute)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11" w:type="dxa"/>
          </w:tcPr>
          <w:p>
            <w:pPr>
              <w:jc w:val="left"/>
            </w:pPr>
            <w:r/>
            <w:r>
              <w:rPr>
                <w:b/>
                <w:i w:val="0"/>
                <w:color w:val="1A1A1A"/>
                <w:sz w:val="18"/>
              </w:rPr>
              <w:t>Active Period</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048" w:type="dxa"/>
          </w:tcPr>
          <w:p>
            <w:pPr>
              <w:jc w:val="left"/>
            </w:pPr>
            <w:r/>
            <w:r>
              <w:rPr>
                <w:b w:val="0"/>
                <w:i w:val="0"/>
                <w:color w:val="1A1A1A"/>
                <w:sz w:val="18"/>
              </w:rPr>
              <w:t>Oct25, Nov25, Dec25, Jan26, Feb26, Mar26</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11" w:type="dxa"/>
          </w:tcPr>
          <w:p>
            <w:pPr>
              <w:jc w:val="left"/>
            </w:pPr>
            <w:r/>
            <w:r>
              <w:rPr>
                <w:b/>
                <w:i w:val="0"/>
                <w:color w:val="1A1A1A"/>
                <w:sz w:val="18"/>
              </w:rPr>
              <w:t>LUS Conversion Threshold — Core</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048" w:type="dxa"/>
          </w:tcPr>
          <w:p>
            <w:pPr>
              <w:jc w:val="left"/>
            </w:pPr>
            <w:r/>
            <w:r>
              <w:rPr>
                <w:b w:val="0"/>
                <w:i w:val="0"/>
                <w:color w:val="1A1A1A"/>
                <w:sz w:val="18"/>
              </w:rPr>
              <w:t>Service Revenue &gt;= BDT 200,000 per month</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11" w:type="dxa"/>
          </w:tcPr>
          <w:p>
            <w:pPr>
              <w:jc w:val="left"/>
            </w:pPr>
            <w:r/>
            <w:r>
              <w:rPr>
                <w:b/>
                <w:i w:val="0"/>
                <w:color w:val="1A1A1A"/>
                <w:sz w:val="18"/>
              </w:rPr>
              <w:t>LUS Conversion Threshold — Non-Core</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048" w:type="dxa"/>
          </w:tcPr>
          <w:p>
            <w:pPr>
              <w:jc w:val="left"/>
            </w:pPr>
            <w:r/>
            <w:r>
              <w:rPr>
                <w:b w:val="0"/>
                <w:i w:val="0"/>
                <w:color w:val="1A1A1A"/>
                <w:sz w:val="18"/>
              </w:rPr>
              <w:t>Service Revenue &gt;= BDT 150,000 per month</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11" w:type="dxa"/>
          </w:tcPr>
          <w:p>
            <w:pPr>
              <w:jc w:val="left"/>
            </w:pPr>
            <w:r/>
            <w:r>
              <w:rPr>
                <w:b/>
                <w:i w:val="0"/>
                <w:color w:val="1A1A1A"/>
                <w:sz w:val="18"/>
              </w:rPr>
              <w:t>Revenue Metric</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048" w:type="dxa"/>
          </w:tcPr>
          <w:p>
            <w:pPr>
              <w:jc w:val="left"/>
            </w:pPr>
            <w:r/>
            <w:r>
              <w:rPr>
                <w:b w:val="0"/>
                <w:i w:val="0"/>
                <w:color w:val="1A1A1A"/>
                <w:sz w:val="18"/>
              </w:rPr>
              <w:t>Month-end Service Revenue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11" w:type="dxa"/>
          </w:tcPr>
          <w:p>
            <w:pPr>
              <w:jc w:val="left"/>
            </w:pPr>
            <w:r/>
            <w:r>
              <w:rPr>
                <w:b/>
                <w:i w:val="0"/>
                <w:color w:val="1A1A1A"/>
                <w:sz w:val="18"/>
              </w:rPr>
              <w:t>BTS Scope</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048" w:type="dxa"/>
          </w:tcPr>
          <w:p>
            <w:pPr>
              <w:jc w:val="left"/>
            </w:pPr>
            <w:r/>
            <w:r>
              <w:rPr>
                <w:b w:val="0"/>
                <w:i w:val="0"/>
                <w:color w:val="1A1A1A"/>
                <w:sz w:val="18"/>
              </w:rPr>
              <w:t>Selected BTS only; BTS-wise DH mapping used; MDO availability considered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11" w:type="dxa"/>
          </w:tcPr>
          <w:p>
            <w:pPr>
              <w:jc w:val="left"/>
            </w:pPr>
            <w:r/>
            <w:r>
              <w:rPr>
                <w:b/>
                <w:i w:val="0"/>
                <w:color w:val="1A1A1A"/>
                <w:sz w:val="18"/>
              </w:rPr>
              <w:t>LUS Reference List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048" w:type="dxa"/>
          </w:tcPr>
          <w:p>
            <w:pPr>
              <w:jc w:val="left"/>
            </w:pPr>
            <w:r/>
            <w:r>
              <w:rPr>
                <w:b w:val="0"/>
                <w:i w:val="0"/>
                <w:color w:val="1A1A1A"/>
                <w:sz w:val="18"/>
              </w:rPr>
              <w:t>Oct'25 LUS list shared by B2C</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11" w:type="dxa"/>
          </w:tcPr>
          <w:p>
            <w:pPr>
              <w:jc w:val="left"/>
            </w:pPr>
            <w:r/>
            <w:r>
              <w:rPr>
                <w:b/>
                <w:i w:val="0"/>
                <w:color w:val="1A1A1A"/>
                <w:sz w:val="18"/>
              </w:rPr>
              <w:t>Payout Basis</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048" w:type="dxa"/>
          </w:tcPr>
          <w:p>
            <w:pPr>
              <w:jc w:val="left"/>
            </w:pPr>
            <w:r/>
            <w:r>
              <w:rPr>
                <w:b w:val="0"/>
                <w:i w:val="0"/>
                <w:color w:val="1A1A1A"/>
                <w:sz w:val="18"/>
              </w:rPr>
              <w:t>Incentive proportional to % LUS sites converted (pro-rated); minimum conversion required to qualify</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11" w:type="dxa"/>
          </w:tcPr>
          <w:p>
            <w:pPr>
              <w:jc w:val="left"/>
            </w:pPr>
            <w:r/>
            <w:r>
              <w:rPr>
                <w:b/>
                <w:i w:val="0"/>
                <w:color w:val="1A1A1A"/>
                <w:sz w:val="18"/>
              </w:rPr>
              <w:t>Maturity</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048" w:type="dxa"/>
          </w:tcPr>
          <w:p>
            <w:pPr>
              <w:jc w:val="left"/>
            </w:pPr>
            <w:r/>
            <w:r>
              <w:rPr>
                <w:b w:val="0"/>
                <w:i w:val="0"/>
                <w:color w:val="1A1A1A"/>
                <w:sz w:val="18"/>
              </w:rPr>
              <w:t>9th of the following month</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311" w:type="dxa"/>
          </w:tcPr>
          <w:p>
            <w:pPr>
              <w:jc w:val="left"/>
            </w:pPr>
            <w:r/>
            <w:r>
              <w:rPr>
                <w:b/>
                <w:i w:val="0"/>
                <w:color w:val="1A1A1A"/>
                <w:sz w:val="18"/>
              </w:rPr>
              <w:t>Example</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048" w:type="dxa"/>
          </w:tcPr>
          <w:p>
            <w:pPr>
              <w:jc w:val="left"/>
            </w:pPr>
            <w:r/>
            <w:r>
              <w:rPr>
                <w:b w:val="0"/>
                <w:i w:val="0"/>
                <w:color w:val="1A1A1A"/>
                <w:sz w:val="18"/>
              </w:rPr>
              <w:t>BTS Count=10, LUS converted=6, LUS converted%=60% → Incentive Payout=BDT 600 (60% of BDT 1,000). If converted%=43% → BDT 0 (below minimum)</w:t>
            </w:r>
          </w:p>
        </w:tc>
      </w:tr>
    </w:tbl>
    <w:p/>
    <w:p>
      <w:pPr>
        <w:spacing w:before="180" w:after="80"/>
      </w:pPr>
      <w:r>
        <w:rPr>
          <w:b/>
          <w:color w:val="2E75B6"/>
          <w:sz w:val="22"/>
        </w:rPr>
        <w:t>CHICOX09 — Site Monetization Weight by Market Type</w:t>
      </w:r>
    </w:p>
    <w:tbl>
      <w:tblPr>
        <w:jc w:val="left"/>
        <w:tblLook w:firstColumn="1" w:firstRow="1" w:lastColumn="0" w:lastRow="0" w:noHBand="0" w:noVBand="1" w:val="04A0"/>
        <w:tblW w:w="10800" w:type="dxa"/>
      </w:tblPr>
      <w:tblGrid>
        <w:gridCol w:w="2880"/>
        <w:gridCol w:w="2592"/>
        <w:gridCol w:w="2880"/>
        <w:gridCol w:w="2448"/>
      </w:tblGrid>
      <w:tr>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880" w:type="dxa"/>
          </w:tcPr>
          <w:p>
            <w:pPr>
              <w:jc w:val="center"/>
            </w:pPr>
            <w:r/>
            <w:r>
              <w:rPr>
                <w:b/>
                <w:i w:val="0"/>
                <w:color w:val="FFFFFF"/>
                <w:sz w:val="18"/>
              </w:rPr>
              <w:t>Market Type</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592" w:type="dxa"/>
          </w:tcPr>
          <w:p>
            <w:pPr>
              <w:jc w:val="center"/>
            </w:pPr>
            <w:r/>
            <w:r>
              <w:rPr>
                <w:b/>
                <w:i w:val="0"/>
                <w:color w:val="FFFFFF"/>
                <w:sz w:val="18"/>
              </w:rPr>
              <w:t>Site Monetization Weight</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880" w:type="dxa"/>
          </w:tcPr>
          <w:p>
            <w:pPr>
              <w:jc w:val="center"/>
            </w:pPr>
            <w:r/>
            <w:r>
              <w:rPr>
                <w:b/>
                <w:i w:val="0"/>
                <w:color w:val="FFFFFF"/>
                <w:sz w:val="18"/>
              </w:rPr>
              <w:t>Incentive Amount (of BDT 10,000)</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448" w:type="dxa"/>
          </w:tcPr>
          <w:p>
            <w:pPr>
              <w:jc w:val="center"/>
            </w:pPr>
            <w:r/>
            <w:r>
              <w:rPr>
                <w:b/>
                <w:i w:val="0"/>
                <w:color w:val="FFFFFF"/>
                <w:sz w:val="18"/>
              </w:rPr>
              <w:t>Notes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val="0"/>
                <w:i w:val="0"/>
                <w:color w:val="1A1A1A"/>
                <w:sz w:val="18"/>
              </w:rPr>
              <w:t>LUS market (CHICOX09)</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
              <w:rPr>
                <w:b w:val="0"/>
                <w:i w:val="0"/>
                <w:color w:val="1A1A1A"/>
                <w:sz w:val="18"/>
              </w:rPr>
              <w:t>20%</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val="0"/>
                <w:i w:val="0"/>
                <w:color w:val="1A1A1A"/>
                <w:sz w:val="18"/>
              </w:rPr>
              <w:t>BDT 2,000</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
              <w:rPr>
                <w:b w:val="0"/>
                <w:i w:val="0"/>
                <w:color w:val="1A1A1A"/>
                <w:sz w:val="18"/>
              </w:rPr>
              <w:t>Active for LUS distributors — weighted at 20%</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val="0"/>
                <w:i w:val="0"/>
                <w:color w:val="1A1A1A"/>
                <w:sz w:val="18"/>
              </w:rPr>
              <w:t>Non-LUS market</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
              <w:rPr>
                <w:b w:val="0"/>
                <w:i w:val="0"/>
                <w:color w:val="1A1A1A"/>
                <w:sz w:val="18"/>
              </w:rPr>
              <w:t>0%</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val="0"/>
                <w:i w:val="0"/>
                <w:color w:val="1A1A1A"/>
                <w:sz w:val="18"/>
              </w:rPr>
              <w:t>BDT 0</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
              <w:rPr>
                <w:b w:val="0"/>
                <w:i w:val="0"/>
                <w:color w:val="1A1A1A"/>
                <w:sz w:val="18"/>
              </w:rPr>
              <w:t>No site monetization incentive for non-LUS distributors</w:t>
            </w:r>
          </w:p>
        </w:tc>
      </w:tr>
    </w:tbl>
    <w:p/>
    <w:p>
      <w:pPr>
        <w:ind w:left="360"/>
        <w:spacing w:before="0" w:after="80"/>
      </w:pPr>
      <w:r>
        <w:rPr>
          <w:i/>
          <w:color w:val="595959"/>
          <w:sz w:val="18"/>
        </w:rPr>
        <w:t>Note: This 0% weighting for Non-LUS means non-LUS MDOs get their full BDT 10,000 allocated to other KPIs (EV, SC, LSO, BSO/SSO), while LUS MDOs have 20% of their max reward tied to site conversion.</w:t>
      </w:r>
    </w:p>
    <w:p>
      <w:r>
        <w:br w:type="page"/>
      </w:r>
    </w:p>
    <w:p>
      <w:pPr>
        <w:pBdr>
          <w:bottom w:val="single" w:sz="8" w:space="1" w:color="2E75B6"/>
        </w:pBdr>
        <w:spacing w:before="240" w:after="120"/>
      </w:pPr>
      <w:r>
        <w:rPr>
          <w:b/>
          <w:color w:val="1F4E79"/>
          <w:sz w:val="28"/>
        </w:rPr>
        <w:t>8. KPI Definitions — GA (Gross Add)</w:t>
      </w:r>
    </w:p>
    <w:p>
      <w:pPr>
        <w:jc w:val="left"/>
        <w:spacing w:before="0" w:after="80"/>
      </w:pPr>
      <w:r>
        <w:rPr>
          <w:b w:val="0"/>
          <w:i w:val="0"/>
          <w:sz w:val="20"/>
        </w:rPr>
        <w:t>GA was not part of the original KPI set (Apr–Jun25) but was added from Jul25 onward. A VLR (Visitor Location Register) condition was added to GA from Jan26 onward.</w:t>
      </w:r>
    </w:p>
    <w:tbl>
      <w:tblPr>
        <w:jc w:val="left"/>
        <w:tblLook w:firstColumn="1" w:firstRow="1" w:lastColumn="0" w:lastRow="0" w:noHBand="0" w:noVBand="1" w:val="04A0"/>
        <w:tblW w:w="9360" w:type="dxa"/>
      </w:tblPr>
      <w:tblGrid>
        <w:gridCol w:w="2880"/>
        <w:gridCol w:w="6480"/>
      </w:tblGrid>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KPI Active From</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Jul25 (added to main SRF from Epoch 2 onward)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MNP &amp; RYZE</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MNP and RYZE connections also counted as GA based on FCD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Disconnection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Disconnected numbers are excluded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DRC Exclusion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GA Achievement calculated without DRC (from Jul25 onward)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Monobrand</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Excluded from GA achievement (from Jul25 onward)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VLR Condition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Introduced from Jan26 (Epoch 4) — VLR conditions will be considered for GA qualification</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VLR Definition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VLR example is embedded as image in SRF — not extractable as text; refer to Jan26 SRF directly</w:t>
            </w:r>
          </w:p>
        </w:tc>
      </w:tr>
    </w:tbl>
    <w:p/>
    <w:p>
      <w:pPr>
        <w:spacing w:before="180" w:after="80"/>
      </w:pPr>
      <w:r>
        <w:rPr>
          <w:b/>
          <w:color w:val="2E75B6"/>
          <w:sz w:val="22"/>
        </w:rPr>
        <w:t>GA-Only Supplementary SRFs</w:t>
      </w:r>
    </w:p>
    <w:p>
      <w:pPr>
        <w:jc w:val="left"/>
        <w:spacing w:before="0" w:after="80"/>
      </w:pPr>
      <w:r>
        <w:rPr>
          <w:b w:val="0"/>
          <w:i w:val="0"/>
          <w:sz w:val="20"/>
        </w:rPr>
        <w:t>Two GA-only standalone SRFs were issued: one for Oct25 and one for Jan26. These are separate from the main monthly SRF and cover only the GA KPI with a different max reward. See Section 14 for full details.</w:t>
      </w:r>
    </w:p>
    <w:p>
      <w:pPr>
        <w:pBdr>
          <w:bottom w:val="single" w:sz="8" w:space="1" w:color="2E75B6"/>
        </w:pBdr>
        <w:spacing w:before="240" w:after="120"/>
      </w:pPr>
      <w:r>
        <w:rPr>
          <w:b/>
          <w:color w:val="1F4E79"/>
          <w:sz w:val="28"/>
        </w:rPr>
        <w:t>9. KPI Definitions — EV Secondary Recharge</w:t>
      </w:r>
    </w:p>
    <w:p>
      <w:pPr>
        <w:jc w:val="left"/>
        <w:spacing w:before="0" w:after="80"/>
      </w:pPr>
      <w:r>
        <w:rPr>
          <w:b w:val="0"/>
          <w:i w:val="0"/>
          <w:sz w:val="20"/>
        </w:rPr>
        <w:t>EV Secondary measures RSO-to-retail recharge. The definition was extended from Jul25 to include SUD12AGENT.</w:t>
      </w:r>
    </w:p>
    <w:tbl>
      <w:tblPr>
        <w:jc w:val="left"/>
        <w:tblLook w:firstColumn="1" w:firstRow="1" w:lastColumn="0" w:lastRow="0" w:noHBand="0" w:noVBand="1" w:val="04A0"/>
        <w:tblW w:w="9360" w:type="dxa"/>
      </w:tblPr>
      <w:tblGrid>
        <w:gridCol w:w="720"/>
        <w:gridCol w:w="1728"/>
        <w:gridCol w:w="5760"/>
        <w:gridCol w:w="1152"/>
      </w:tblGrid>
      <w:tr>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720" w:type="dxa"/>
          </w:tcPr>
          <w:p>
            <w:pPr>
              <w:jc w:val="center"/>
            </w:pPr>
            <w:r/>
            <w:r>
              <w:rPr>
                <w:b/>
                <w:i w:val="0"/>
                <w:color w:val="FFFFFF"/>
                <w:sz w:val="18"/>
              </w:rPr>
              <w:t>Epoch</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728" w:type="dxa"/>
          </w:tcPr>
          <w:p>
            <w:pPr>
              <w:jc w:val="center"/>
            </w:pPr>
            <w:r/>
            <w:r>
              <w:rPr>
                <w:b/>
                <w:i w:val="0"/>
                <w:color w:val="FFFFFF"/>
                <w:sz w:val="18"/>
              </w:rPr>
              <w:t>Period</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5760" w:type="dxa"/>
          </w:tcPr>
          <w:p>
            <w:pPr>
              <w:jc w:val="center"/>
            </w:pPr>
            <w:r/>
            <w:r>
              <w:rPr>
                <w:b/>
                <w:i w:val="0"/>
                <w:color w:val="FFFFFF"/>
                <w:sz w:val="18"/>
              </w:rPr>
              <w:t>EV Secondary Definition</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152" w:type="dxa"/>
          </w:tcPr>
          <w:p>
            <w:pPr>
              <w:jc w:val="center"/>
            </w:pPr>
            <w:r/>
            <w:r>
              <w:rPr>
                <w:b/>
                <w:i w:val="0"/>
                <w:color w:val="FFFFFF"/>
                <w:sz w:val="18"/>
              </w:rPr>
              <w:t>Change?</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720" w:type="dxa"/>
          </w:tcPr>
          <w:p>
            <w:pPr>
              <w:jc w:val="left"/>
            </w:pPr>
            <w:r/>
            <w:r>
              <w:rPr>
                <w:b w:val="0"/>
                <w:i w:val="0"/>
                <w:color w:val="1A1A1A"/>
                <w:sz w:val="18"/>
              </w:rPr>
              <w:t>1</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
              <w:rPr>
                <w:b w:val="0"/>
                <w:i w:val="0"/>
                <w:color w:val="1A1A1A"/>
                <w:sz w:val="18"/>
              </w:rPr>
              <w:t>Apr25–Jun25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0" w:type="dxa"/>
          </w:tcPr>
          <w:p>
            <w:pPr>
              <w:jc w:val="left"/>
            </w:pPr>
            <w:r/>
            <w:r>
              <w:rPr>
                <w:b w:val="0"/>
                <w:i w:val="0"/>
                <w:color w:val="1A1A1A"/>
                <w:sz w:val="18"/>
              </w:rPr>
              <w:t>EV (SR to Retailer R2RT + Distributor to Retailer D2RT) + DTR (Manual and Daily Commission from Salescom) + OTF (EV OTF + IRIS OTF). Less withdrawal. DRC EV Secondary excluded.</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Baseline</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720" w:type="dxa"/>
          </w:tcPr>
          <w:p>
            <w:pPr>
              <w:jc w:val="left"/>
            </w:pPr>
            <w:r/>
            <w:r>
              <w:rPr>
                <w:b w:val="0"/>
                <w:i w:val="0"/>
                <w:color w:val="1A1A1A"/>
                <w:sz w:val="18"/>
              </w:rPr>
              <w:t>2–4</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
              <w:rPr>
                <w:b w:val="0"/>
                <w:i w:val="0"/>
                <w:color w:val="1A1A1A"/>
                <w:sz w:val="18"/>
              </w:rPr>
              <w:t>Jul25–Mar26</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0" w:type="dxa"/>
          </w:tcPr>
          <w:p>
            <w:pPr>
              <w:jc w:val="left"/>
            </w:pPr>
            <w:r/>
            <w:r>
              <w:rPr>
                <w:b w:val="0"/>
                <w:i w:val="0"/>
                <w:color w:val="1A1A1A"/>
                <w:sz w:val="18"/>
              </w:rPr>
              <w:t>EV (SR to Retailer R2RT + Distributor to Retailer D2RT + SUD12AGENT) + DTR + OTF. Less withdrawal. DRC EV Secondary excluded.</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SUD12AGENT ADDED to the EV Secondary definition</w:t>
            </w:r>
          </w:p>
        </w:tc>
      </w:tr>
    </w:tbl>
    <w:p/>
    <w:p>
      <w:pPr>
        <w:pBdr>
          <w:bottom w:val="single" w:sz="8" w:space="1" w:color="2E75B6"/>
        </w:pBdr>
        <w:spacing w:before="240" w:after="120"/>
      </w:pPr>
      <w:r>
        <w:rPr>
          <w:b/>
          <w:color w:val="1F4E79"/>
          <w:sz w:val="28"/>
        </w:rPr>
        <w:t>10. KPI Definitions — SC Primary (Lifting)</w:t>
      </w:r>
    </w:p>
    <w:tbl>
      <w:tblPr>
        <w:jc w:val="left"/>
        <w:tblLook w:firstColumn="1" w:firstRow="1" w:lastColumn="0" w:lastRow="0" w:noHBand="0" w:noVBand="1" w:val="04A0"/>
        <w:tblW w:w="9360" w:type="dxa"/>
      </w:tblPr>
      <w:tblGrid>
        <w:gridCol w:w="2880"/>
        <w:gridCol w:w="6480"/>
      </w:tblGrid>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Definition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Primary lifting: Distributor lifting from the warehouse (BL to DH)</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Also called</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DD lifting; S.C means primary lifting as per DMS entry</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Less Withdrawal</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Withdrawal deducted — taken as usual process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Consistent across</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All 15 SRFs — definition unchanged throughout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Note (Jan26+)</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Jan26 reformats the recharge definition to specify: 'S.C means Retail lifting as per DMS entry' (slightly different wording, same concept)</w:t>
            </w:r>
          </w:p>
        </w:tc>
      </w:tr>
    </w:tbl>
    <w:p/>
    <w:p>
      <w:pPr>
        <w:pBdr>
          <w:bottom w:val="single" w:sz="8" w:space="1" w:color="2E75B6"/>
        </w:pBdr>
        <w:spacing w:before="240" w:after="120"/>
      </w:pPr>
      <w:r>
        <w:rPr>
          <w:b/>
          <w:color w:val="1F4E79"/>
          <w:sz w:val="28"/>
        </w:rPr>
        <w:t>11. KPI Definitions — Total Bundles</w:t>
      </w:r>
    </w:p>
    <w:tbl>
      <w:tblPr>
        <w:jc w:val="left"/>
        <w:tblLook w:firstColumn="1" w:firstRow="1" w:lastColumn="0" w:lastRow="0" w:noHBand="0" w:noVBand="1" w:val="04A0"/>
        <w:tblW w:w="9360" w:type="dxa"/>
      </w:tblPr>
      <w:tblGrid>
        <w:gridCol w:w="2880"/>
        <w:gridCol w:w="6480"/>
      </w:tblGrid>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Definition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Bundle upsell = retailer to customer (Except SC)</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Components</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Total Bundle = Data Pack Upsell + Voice Bundle Upsell + Mix Bundle (MXB) Upsell</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Deno List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Shared by B2C</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DRC Exclusion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DRC achievements excluded from Jul25 onward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Active Period</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Apr25–Oct25 (Epoch 1 &amp; 2); drops from main KPI list from Nov25 onward</w:t>
            </w:r>
          </w:p>
        </w:tc>
      </w:tr>
    </w:tbl>
    <w:p/>
    <w:p>
      <w:pPr>
        <w:ind w:left="360"/>
        <w:spacing w:before="0" w:after="80"/>
      </w:pPr>
      <w:r>
        <w:rPr>
          <w:i/>
          <w:color w:val="595959"/>
          <w:sz w:val="18"/>
        </w:rPr>
        <w:t>Note: From Nov25, Total Bundles is no longer listed as a separate KPI in the SRF KPI list, though bundle recharge types (Data, Voice, Mix) continue to appear in the Recharge section definitions. The CHICOX09 weightage tables from Nov25 onward do not include a 'Bundle' row.</w:t>
      </w:r>
    </w:p>
    <w:p>
      <w:r>
        <w:br w:type="page"/>
      </w:r>
    </w:p>
    <w:p>
      <w:pPr>
        <w:pBdr>
          <w:bottom w:val="single" w:sz="8" w:space="1" w:color="2E75B6"/>
        </w:pBdr>
        <w:spacing w:before="240" w:after="120"/>
      </w:pPr>
      <w:r>
        <w:rPr>
          <w:b/>
          <w:color w:val="1F4E79"/>
          <w:sz w:val="28"/>
        </w:rPr>
        <w:t>12. CHICOX09 Special Consideration — Weightage Structures</w:t>
      </w:r>
    </w:p>
    <w:p>
      <w:pPr>
        <w:jc w:val="left"/>
        <w:spacing w:before="0" w:after="80"/>
      </w:pPr>
      <w:r>
        <w:rPr>
          <w:b w:val="0"/>
          <w:i w:val="0"/>
          <w:sz w:val="20"/>
        </w:rPr>
        <w:t>CHICOX09 is a special condition introduced from Jul25. It defines KPI weightages for the distributor CHICOX09, distinguishing between LUS market and Non-LUS market MDOs. The weightage structure changed between Epoch 3 and Epoch 4.</w:t>
      </w:r>
    </w:p>
    <w:p>
      <w:pPr>
        <w:spacing w:before="180" w:after="80"/>
      </w:pPr>
      <w:r>
        <w:rPr>
          <w:b/>
          <w:color w:val="2E75B6"/>
          <w:sz w:val="22"/>
        </w:rPr>
        <w:t>Structure A — Epoch 3 (Oct25, Nov25, Dec25)</w:t>
      </w:r>
    </w:p>
    <w:tbl>
      <w:tblPr>
        <w:jc w:val="left"/>
        <w:tblLook w:firstColumn="1" w:firstRow="1" w:lastColumn="0" w:lastRow="0" w:noHBand="0" w:noVBand="1" w:val="04A0"/>
        <w:tblW w:w="10080" w:type="dxa"/>
      </w:tblPr>
      <w:tblGrid>
        <w:gridCol w:w="2160"/>
        <w:gridCol w:w="1872"/>
        <w:gridCol w:w="1872"/>
        <w:gridCol w:w="2160"/>
        <w:gridCol w:w="2015"/>
      </w:tblGrid>
      <w:tr>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160" w:type="dxa"/>
          </w:tcPr>
          <w:p>
            <w:pPr>
              <w:jc w:val="center"/>
            </w:pPr>
            <w:r/>
            <w:r>
              <w:rPr>
                <w:b/>
                <w:i w:val="0"/>
                <w:color w:val="FFFFFF"/>
                <w:sz w:val="18"/>
              </w:rPr>
              <w:t>KPI</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872" w:type="dxa"/>
          </w:tcPr>
          <w:p>
            <w:pPr>
              <w:jc w:val="center"/>
            </w:pPr>
            <w:r/>
            <w:r>
              <w:rPr>
                <w:b/>
                <w:i w:val="0"/>
                <w:color w:val="FFFFFF"/>
                <w:sz w:val="18"/>
              </w:rPr>
              <w:t>CHICOX09 / Non-GA Mkt. (LUS) %</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872" w:type="dxa"/>
          </w:tcPr>
          <w:p>
            <w:pPr>
              <w:jc w:val="center"/>
            </w:pPr>
            <w:r/>
            <w:r>
              <w:rPr>
                <w:b/>
                <w:i w:val="0"/>
                <w:color w:val="FFFFFF"/>
                <w:sz w:val="18"/>
              </w:rPr>
              <w:t>Incentive (LUS) BDT</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160" w:type="dxa"/>
          </w:tcPr>
          <w:p>
            <w:pPr>
              <w:jc w:val="center"/>
            </w:pPr>
            <w:r/>
            <w:r>
              <w:rPr>
                <w:b/>
                <w:i w:val="0"/>
                <w:color w:val="FFFFFF"/>
                <w:sz w:val="18"/>
              </w:rPr>
              <w:t>CHICOX09 / Non-GA Mkt. (Non-LUS) %</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015" w:type="dxa"/>
          </w:tcPr>
          <w:p>
            <w:pPr>
              <w:jc w:val="center"/>
            </w:pPr>
            <w:r/>
            <w:r>
              <w:rPr>
                <w:b/>
                <w:i w:val="0"/>
                <w:color w:val="FFFFFF"/>
                <w:sz w:val="18"/>
              </w:rPr>
              <w:t>Incentive (Non-LUS) BDT</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EV Secondary</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35%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3,500</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35%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015" w:type="dxa"/>
          </w:tcPr>
          <w:p>
            <w:pPr>
              <w:jc w:val="left"/>
            </w:pPr>
            <w:r/>
            <w:r>
              <w:rPr>
                <w:b w:val="0"/>
                <w:i w:val="0"/>
                <w:color w:val="1A1A1A"/>
                <w:sz w:val="18"/>
              </w:rPr>
              <w:t>3,500</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SC Primary</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15%</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1,500</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15%</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015" w:type="dxa"/>
          </w:tcPr>
          <w:p>
            <w:pPr>
              <w:jc w:val="left"/>
            </w:pPr>
            <w:r/>
            <w:r>
              <w:rPr>
                <w:b w:val="0"/>
                <w:i w:val="0"/>
                <w:color w:val="1A1A1A"/>
                <w:sz w:val="18"/>
              </w:rPr>
              <w:t>1,500</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Active LSO</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15%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1,500</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25%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015" w:type="dxa"/>
          </w:tcPr>
          <w:p>
            <w:pPr>
              <w:jc w:val="left"/>
            </w:pPr>
            <w:r/>
            <w:r>
              <w:rPr>
                <w:b w:val="0"/>
                <w:i w:val="0"/>
                <w:color w:val="1A1A1A"/>
                <w:sz w:val="18"/>
              </w:rPr>
              <w:t>2,500</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BSO</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15%</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1,500</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25%</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015" w:type="dxa"/>
          </w:tcPr>
          <w:p>
            <w:pPr>
              <w:jc w:val="left"/>
            </w:pPr>
            <w:r/>
            <w:r>
              <w:rPr>
                <w:b w:val="0"/>
                <w:i w:val="0"/>
                <w:color w:val="1A1A1A"/>
                <w:sz w:val="18"/>
              </w:rPr>
              <w:t>2,500</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Site Monetization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20%</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2,000</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0%</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015" w:type="dxa"/>
          </w:tcPr>
          <w:p>
            <w:pPr>
              <w:jc w:val="left"/>
            </w:pPr>
            <w:r/>
            <w:r>
              <w:rPr>
                <w:b w:val="0"/>
                <w:i w:val="0"/>
                <w:color w:val="1A1A1A"/>
                <w:sz w:val="18"/>
              </w:rPr>
              <w:t>0</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TOTAL</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100%</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10,000</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100%</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015" w:type="dxa"/>
          </w:tcPr>
          <w:p>
            <w:pPr>
              <w:jc w:val="left"/>
            </w:pPr>
            <w:r/>
            <w:r>
              <w:rPr>
                <w:b w:val="0"/>
                <w:i w:val="0"/>
                <w:color w:val="1A1A1A"/>
                <w:sz w:val="18"/>
              </w:rPr>
              <w:t>10,000</w:t>
            </w:r>
          </w:p>
        </w:tc>
      </w:tr>
    </w:tbl>
    <w:p/>
    <w:p>
      <w:pPr>
        <w:ind w:left="360"/>
        <w:spacing w:before="0" w:after="80"/>
      </w:pPr>
      <w:r>
        <w:rPr>
          <w:i/>
          <w:color w:val="595959"/>
          <w:sz w:val="18"/>
        </w:rPr>
        <w:t>Note: For Non-LUS MDOs, LSO and BSO get higher weight (25% each) because Site Monetization drops to 0%. EV Secondary and SC Primary remain the same.</w:t>
      </w:r>
    </w:p>
    <w:p>
      <w:pPr>
        <w:spacing w:before="180" w:after="80"/>
      </w:pPr>
      <w:r>
        <w:rPr>
          <w:b/>
          <w:color w:val="2E75B6"/>
          <w:sz w:val="22"/>
        </w:rPr>
        <w:t>Structure B — Epoch 4 (Jan26, Feb26, Mar26)</w:t>
      </w:r>
    </w:p>
    <w:tbl>
      <w:tblPr>
        <w:jc w:val="left"/>
        <w:tblLook w:firstColumn="1" w:firstRow="1" w:lastColumn="0" w:lastRow="0" w:noHBand="0" w:noVBand="1" w:val="04A0"/>
        <w:tblW w:w="10080" w:type="dxa"/>
      </w:tblPr>
      <w:tblGrid>
        <w:gridCol w:w="2160"/>
        <w:gridCol w:w="1872"/>
        <w:gridCol w:w="1872"/>
        <w:gridCol w:w="2160"/>
        <w:gridCol w:w="2015"/>
      </w:tblGrid>
      <w:tr>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160" w:type="dxa"/>
          </w:tcPr>
          <w:p>
            <w:pPr>
              <w:jc w:val="center"/>
            </w:pPr>
            <w:r/>
            <w:r>
              <w:rPr>
                <w:b/>
                <w:i w:val="0"/>
                <w:color w:val="FFFFFF"/>
                <w:sz w:val="18"/>
              </w:rPr>
              <w:t>KPI</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872" w:type="dxa"/>
          </w:tcPr>
          <w:p>
            <w:pPr>
              <w:jc w:val="center"/>
            </w:pPr>
            <w:r/>
            <w:r>
              <w:rPr>
                <w:b/>
                <w:i w:val="0"/>
                <w:color w:val="FFFFFF"/>
                <w:sz w:val="18"/>
              </w:rPr>
              <w:t>CHICOX09 / Non-GA Mkt. (LUS) %</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872" w:type="dxa"/>
          </w:tcPr>
          <w:p>
            <w:pPr>
              <w:jc w:val="center"/>
            </w:pPr>
            <w:r/>
            <w:r>
              <w:rPr>
                <w:b/>
                <w:i w:val="0"/>
                <w:color w:val="FFFFFF"/>
                <w:sz w:val="18"/>
              </w:rPr>
              <w:t>Incentive (LUS) BDT</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160" w:type="dxa"/>
          </w:tcPr>
          <w:p>
            <w:pPr>
              <w:jc w:val="center"/>
            </w:pPr>
            <w:r/>
            <w:r>
              <w:rPr>
                <w:b/>
                <w:i w:val="0"/>
                <w:color w:val="FFFFFF"/>
                <w:sz w:val="18"/>
              </w:rPr>
              <w:t>CHICOX09 / Non-GA Mkt. (Non-LUS) %</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015" w:type="dxa"/>
          </w:tcPr>
          <w:p>
            <w:pPr>
              <w:jc w:val="center"/>
            </w:pPr>
            <w:r/>
            <w:r>
              <w:rPr>
                <w:b/>
                <w:i w:val="0"/>
                <w:color w:val="FFFFFF"/>
                <w:sz w:val="18"/>
              </w:rPr>
              <w:t>Incentive (Non-LUS) BDT</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EV Secondary</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35%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3,500</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45%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015" w:type="dxa"/>
          </w:tcPr>
          <w:p>
            <w:pPr>
              <w:jc w:val="left"/>
            </w:pPr>
            <w:r/>
            <w:r>
              <w:rPr>
                <w:b w:val="0"/>
                <w:i w:val="0"/>
                <w:color w:val="1A1A1A"/>
                <w:sz w:val="18"/>
              </w:rPr>
              <w:t>4,500</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SC Primary</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15%</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1,500</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20%</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015" w:type="dxa"/>
          </w:tcPr>
          <w:p>
            <w:pPr>
              <w:jc w:val="left"/>
            </w:pPr>
            <w:r/>
            <w:r>
              <w:rPr>
                <w:b w:val="0"/>
                <w:i w:val="0"/>
                <w:color w:val="1A1A1A"/>
                <w:sz w:val="18"/>
              </w:rPr>
              <w:t>2,000</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Active LSO</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30%</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3,000</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35%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015" w:type="dxa"/>
          </w:tcPr>
          <w:p>
            <w:pPr>
              <w:jc w:val="left"/>
            </w:pPr>
            <w:r/>
            <w:r>
              <w:rPr>
                <w:b w:val="0"/>
                <w:i w:val="0"/>
                <w:color w:val="1A1A1A"/>
                <w:sz w:val="18"/>
              </w:rPr>
              <w:t>3,500</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Site Monetization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20%</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2,000</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0%</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015" w:type="dxa"/>
          </w:tcPr>
          <w:p>
            <w:pPr>
              <w:jc w:val="left"/>
            </w:pPr>
            <w:r/>
            <w:r>
              <w:rPr>
                <w:b w:val="0"/>
                <w:i w:val="0"/>
                <w:color w:val="1A1A1A"/>
                <w:sz w:val="18"/>
              </w:rPr>
              <w:t>0</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TOTAL</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100%</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10,000</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100%</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015" w:type="dxa"/>
          </w:tcPr>
          <w:p>
            <w:pPr>
              <w:jc w:val="left"/>
            </w:pPr>
            <w:r/>
            <w:r>
              <w:rPr>
                <w:b w:val="0"/>
                <w:i w:val="0"/>
                <w:color w:val="1A1A1A"/>
                <w:sz w:val="18"/>
              </w:rPr>
              <w:t>10,000</w:t>
            </w:r>
          </w:p>
        </w:tc>
      </w:tr>
    </w:tbl>
    <w:p/>
    <w:p>
      <w:pPr>
        <w:ind w:left="360"/>
        <w:spacing w:before="0" w:after="80"/>
      </w:pPr>
      <w:r>
        <w:rPr>
          <w:i/>
          <w:color w:val="595959"/>
          <w:sz w:val="18"/>
        </w:rPr>
        <w:t>Note: BSO removed from the weightage table in Jan26 (replaced by SSO). Active LSO weight raised from 15% to 30% (LUS) and 25% to 35% (Non-LUS). EV Secondary Non-LUS weight raised from 35% to 45%. SC Primary Non-LUS raised from 15% to 20%.</w:t>
      </w:r>
    </w:p>
    <w:p>
      <w:pPr>
        <w:spacing w:before="180" w:after="80"/>
      </w:pPr>
      <w:r>
        <w:rPr>
          <w:b/>
          <w:color w:val="2E75B6"/>
          <w:sz w:val="22"/>
        </w:rPr>
        <w:t>Key Changes: Structure A to Structure B</w:t>
      </w:r>
    </w:p>
    <w:tbl>
      <w:tblPr>
        <w:jc w:val="left"/>
        <w:tblLook w:firstColumn="1" w:firstRow="1" w:lastColumn="0" w:lastRow="0" w:noHBand="0" w:noVBand="1" w:val="04A0"/>
        <w:tblW w:w="10800" w:type="dxa"/>
      </w:tblPr>
      <w:tblGrid>
        <w:gridCol w:w="2160"/>
        <w:gridCol w:w="1296"/>
        <w:gridCol w:w="1296"/>
        <w:gridCol w:w="1728"/>
        <w:gridCol w:w="1728"/>
        <w:gridCol w:w="2592"/>
      </w:tblGrid>
      <w:tr>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160" w:type="dxa"/>
          </w:tcPr>
          <w:p>
            <w:pPr>
              <w:jc w:val="center"/>
            </w:pPr>
            <w:r/>
            <w:r>
              <w:rPr>
                <w:b/>
                <w:i w:val="0"/>
                <w:color w:val="FFFFFF"/>
                <w:sz w:val="18"/>
              </w:rPr>
              <w:t>KPI</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296" w:type="dxa"/>
          </w:tcPr>
          <w:p>
            <w:pPr>
              <w:jc w:val="center"/>
            </w:pPr>
            <w:r/>
            <w:r>
              <w:rPr>
                <w:b/>
                <w:i w:val="0"/>
                <w:color w:val="FFFFFF"/>
                <w:sz w:val="18"/>
              </w:rPr>
              <w:t>Epoch 3 LUS %</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296" w:type="dxa"/>
          </w:tcPr>
          <w:p>
            <w:pPr>
              <w:jc w:val="center"/>
            </w:pPr>
            <w:r/>
            <w:r>
              <w:rPr>
                <w:b/>
                <w:i w:val="0"/>
                <w:color w:val="FFFFFF"/>
                <w:sz w:val="18"/>
              </w:rPr>
              <w:t>Epoch 4 LUS %</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728" w:type="dxa"/>
          </w:tcPr>
          <w:p>
            <w:pPr>
              <w:jc w:val="center"/>
            </w:pPr>
            <w:r/>
            <w:r>
              <w:rPr>
                <w:b/>
                <w:i w:val="0"/>
                <w:color w:val="FFFFFF"/>
                <w:sz w:val="18"/>
              </w:rPr>
              <w:t>Epoch 3 Non-LUS %</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728" w:type="dxa"/>
          </w:tcPr>
          <w:p>
            <w:pPr>
              <w:jc w:val="center"/>
            </w:pPr>
            <w:r/>
            <w:r>
              <w:rPr>
                <w:b/>
                <w:i w:val="0"/>
                <w:color w:val="FFFFFF"/>
                <w:sz w:val="18"/>
              </w:rPr>
              <w:t>Epoch 4 Non-LUS %</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592" w:type="dxa"/>
          </w:tcPr>
          <w:p>
            <w:pPr>
              <w:jc w:val="center"/>
            </w:pPr>
            <w:r/>
            <w:r>
              <w:rPr>
                <w:b/>
                <w:i w:val="0"/>
                <w:color w:val="FFFFFF"/>
                <w:sz w:val="18"/>
              </w:rPr>
              <w:t>Change</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EV Secondary</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35%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35%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
              <w:rPr>
                <w:b w:val="0"/>
                <w:i w:val="0"/>
                <w:color w:val="1A1A1A"/>
                <w:sz w:val="18"/>
              </w:rPr>
              <w:t>35%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
              <w:rPr>
                <w:b w:val="0"/>
                <w:i w:val="0"/>
                <w:color w:val="1A1A1A"/>
                <w:sz w:val="18"/>
              </w:rPr>
              <w:t>45%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
              <w:rPr>
                <w:b w:val="0"/>
                <w:i w:val="0"/>
                <w:color w:val="1A1A1A"/>
                <w:sz w:val="18"/>
              </w:rPr>
              <w:t>Non-LUS: +10%</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SC Primary</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15%</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15%</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
              <w:rPr>
                <w:b w:val="0"/>
                <w:i w:val="0"/>
                <w:color w:val="1A1A1A"/>
                <w:sz w:val="18"/>
              </w:rPr>
              <w:t>15%</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
              <w:rPr>
                <w:b w:val="0"/>
                <w:i w:val="0"/>
                <w:color w:val="1A1A1A"/>
                <w:sz w:val="18"/>
              </w:rPr>
              <w:t>20%</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
              <w:rPr>
                <w:b w:val="0"/>
                <w:i w:val="0"/>
                <w:color w:val="1A1A1A"/>
                <w:sz w:val="18"/>
              </w:rPr>
              <w:t>Non-LUS: +5%</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Active LSO</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15%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30%</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
              <w:rPr>
                <w:b w:val="0"/>
                <w:i w:val="0"/>
                <w:color w:val="1A1A1A"/>
                <w:sz w:val="18"/>
              </w:rPr>
              <w:t>25%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
              <w:rPr>
                <w:b w:val="0"/>
                <w:i w:val="0"/>
                <w:color w:val="1A1A1A"/>
                <w:sz w:val="18"/>
              </w:rPr>
              <w:t>35%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
              <w:rPr>
                <w:b w:val="0"/>
                <w:i w:val="0"/>
                <w:color w:val="1A1A1A"/>
                <w:sz w:val="18"/>
              </w:rPr>
              <w:t>Both up: LUS +15%, Non-LUS +10%</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BSO</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15%</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
              <w:rPr>
                <w:b w:val="0"/>
                <w:i w:val="0"/>
                <w:color w:val="1A1A1A"/>
                <w:sz w:val="18"/>
              </w:rPr>
              <w:t>25%</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
              <w:rPr>
                <w:b w:val="0"/>
                <w:i w:val="0"/>
                <w:color w:val="1A1A1A"/>
                <w:sz w:val="18"/>
              </w:rPr>
              <w:t>—</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
              <w:rPr>
                <w:b w:val="0"/>
                <w:i w:val="0"/>
                <w:color w:val="1A1A1A"/>
                <w:sz w:val="18"/>
              </w:rPr>
              <w:t>REMOVED (replaced by SSO)</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SSO</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N/A</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
              <w:rPr>
                <w:b w:val="0"/>
                <w:i w:val="0"/>
                <w:color w:val="1A1A1A"/>
                <w:sz w:val="18"/>
              </w:rPr>
              <w: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
              <w:rPr>
                <w:b w:val="0"/>
                <w:i w:val="0"/>
                <w:color w:val="1A1A1A"/>
                <w:sz w:val="18"/>
              </w:rPr>
              <w:t>N/A</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
              <w:rPr>
                <w:b w:val="0"/>
                <w:i w:val="0"/>
                <w:color w:val="1A1A1A"/>
                <w:sz w:val="18"/>
              </w:rPr>
              <w:t>ADDED (definition in image, not extractable)</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Site Monetization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20%</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20%</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
              <w:rPr>
                <w:b w:val="0"/>
                <w:i w:val="0"/>
                <w:color w:val="1A1A1A"/>
                <w:sz w:val="18"/>
              </w:rPr>
              <w:t>0%</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
              <w:rPr>
                <w:b w:val="0"/>
                <w:i w:val="0"/>
                <w:color w:val="1A1A1A"/>
                <w:sz w:val="18"/>
              </w:rPr>
              <w:t>0%</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
              <w:rPr>
                <w:b w:val="0"/>
                <w:i w:val="0"/>
                <w:color w:val="1A1A1A"/>
                <w:sz w:val="18"/>
              </w:rPr>
              <w:t>No change</w:t>
            </w:r>
          </w:p>
        </w:tc>
      </w:tr>
    </w:tbl>
    <w:p/>
    <w:p>
      <w:r>
        <w:br w:type="page"/>
      </w:r>
    </w:p>
    <w:p>
      <w:pPr>
        <w:pBdr>
          <w:bottom w:val="single" w:sz="8" w:space="1" w:color="2E75B6"/>
        </w:pBdr>
        <w:spacing w:before="240" w:after="120"/>
      </w:pPr>
      <w:r>
        <w:rPr>
          <w:b/>
          <w:color w:val="1F4E79"/>
          <w:sz w:val="28"/>
        </w:rPr>
        <w:t>13. Pro-Rated Calculation for Mid-Month New DDs</w:t>
      </w:r>
    </w:p>
    <w:p>
      <w:pPr>
        <w:jc w:val="left"/>
        <w:spacing w:before="0" w:after="80"/>
      </w:pPr>
      <w:r>
        <w:rPr>
          <w:b w:val="0"/>
          <w:i w:val="0"/>
          <w:sz w:val="20"/>
        </w:rPr>
        <w:t>When a distributor (DD) is newly onboarded or activated mid-month, a pro-rated special consideration applies. All KPI achievements and incentive amounts are calculated proportionally for the active period only. This condition appears in most SRFs from Apr25 onward.</w:t>
      </w:r>
    </w:p>
    <w:tbl>
      <w:tblPr>
        <w:jc w:val="left"/>
        <w:tblLook w:firstColumn="1" w:firstRow="1" w:lastColumn="0" w:lastRow="0" w:noHBand="0" w:noVBand="1" w:val="04A0"/>
        <w:tblW w:w="9360" w:type="dxa"/>
      </w:tblPr>
      <w:tblGrid>
        <w:gridCol w:w="2880"/>
        <w:gridCol w:w="6480"/>
      </w:tblGrid>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Condition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Achievements and incentives calculated on a pro-rated basis for the given active timeline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Modality Change</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No other change in incentive modality — only the timeline and amounts are pro-rated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Format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DD Code, Region, Achievement Count Timeline (start–end dates), KPI-wise incentive amounts, Total Incentive Eligibility</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Example (Jun25)</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KHUJHE08 (Kushtia): Active 6/15/2025–6/30/2025 → EV Secondary 1,600 + SC Primary 800 + Bundle 1,867 + LSO 533 + BSO 533 = Total 5,333</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Example (Jul25)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SYLBRA04 (Brahman Baria): Active 7/7/2025–7/31/2025 → includes Site Monetization + GA</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Example (Jan26)</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RAJGAI07 (Bogura): Active 1/19/2026–1/31/2026 → VLR condition applies to GA</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Applies To</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All main monthly SRFs where a DD was not active for the full month</w:t>
            </w:r>
          </w:p>
        </w:tc>
      </w:tr>
    </w:tbl>
    <w:p/>
    <w:p>
      <w:pPr>
        <w:pBdr>
          <w:bottom w:val="single" w:sz="8" w:space="1" w:color="2E75B6"/>
        </w:pBdr>
        <w:spacing w:before="240" w:after="120"/>
      </w:pPr>
      <w:r>
        <w:rPr>
          <w:b/>
          <w:color w:val="1F4E79"/>
          <w:sz w:val="28"/>
        </w:rPr>
        <w:t>14. GA-Only Supplementary SRFs (Oct25_GA, Jan26_GA)</w:t>
      </w:r>
    </w:p>
    <w:p>
      <w:pPr>
        <w:jc w:val="left"/>
        <w:spacing w:before="0" w:after="80"/>
      </w:pPr>
      <w:r>
        <w:rPr>
          <w:b w:val="0"/>
          <w:i w:val="0"/>
          <w:sz w:val="20"/>
        </w:rPr>
        <w:t>Two standalone GA-only SRFs were issued separately from the main monthly SRFs. These cover specific distributors or scenarios where only the GA KPI applies with a different max reward.</w:t>
      </w:r>
    </w:p>
    <w:p>
      <w:pPr>
        <w:spacing w:before="180" w:after="80"/>
      </w:pPr>
      <w:r>
        <w:rPr>
          <w:b/>
          <w:color w:val="2E75B6"/>
          <w:sz w:val="22"/>
        </w:rPr>
        <w:t>MDOs Variable incentive_GA_Oct25</w:t>
      </w:r>
    </w:p>
    <w:tbl>
      <w:tblPr>
        <w:jc w:val="left"/>
        <w:tblLook w:firstColumn="1" w:firstRow="1" w:lastColumn="0" w:lastRow="0" w:noHBand="0" w:noVBand="1" w:val="04A0"/>
        <w:tblW w:w="9360" w:type="dxa"/>
      </w:tblPr>
      <w:tblGrid>
        <w:gridCol w:w="2880"/>
        <w:gridCol w:w="6480"/>
      </w:tblGrid>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Period</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1–31 Oct 2025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KPI</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GA only</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Max Reward</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BDT 1,500 (vs BDT 10,000 in main Oct25 SRF)</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GA Conditions</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MNP &amp; RYZE counted; Disconnected numbers excluded; without DRC; without Monobrand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CHICOX09</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No CHICOX09 special consideration</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Maturity</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10th of following month</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Incentive Modality</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In image/table format in PDF — not extractable as text</w:t>
            </w:r>
          </w:p>
        </w:tc>
      </w:tr>
    </w:tbl>
    <w:p/>
    <w:p>
      <w:pPr>
        <w:spacing w:before="180" w:after="80"/>
      </w:pPr>
      <w:r>
        <w:rPr>
          <w:b/>
          <w:color w:val="2E75B6"/>
          <w:sz w:val="22"/>
        </w:rPr>
        <w:t>MDOs Variable incentive_GA_Jan26</w:t>
      </w:r>
    </w:p>
    <w:tbl>
      <w:tblPr>
        <w:jc w:val="left"/>
        <w:tblLook w:firstColumn="1" w:firstRow="1" w:lastColumn="0" w:lastRow="0" w:noHBand="0" w:noVBand="1" w:val="04A0"/>
        <w:tblW w:w="9360" w:type="dxa"/>
      </w:tblPr>
      <w:tblGrid>
        <w:gridCol w:w="2880"/>
        <w:gridCol w:w="6480"/>
      </w:tblGrid>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Period</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1–31 Jan 2026</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KPI</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GA only</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Max Reward</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BDT 10,000 (same as main Jan26 SRF — this supplements the main SRF for a specific DD)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GA Conditions</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MNP &amp; RYZE counted; Disconnected numbers excluded; VLR conditions considered; without DRC</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CHICOX09</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No CHICOX09 special consideration in this supplementary SRF</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Pro-rated DD</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RAJGAI07 (Bogura): Active 1/19/2026–1/31/2026 → pro-rated incentive amounts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Maturity</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10th of following month</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Purpose</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Issued to cover the GA KPI for a newly onboarded DD not yet in the main Jan26 SRF</w:t>
            </w:r>
          </w:p>
        </w:tc>
      </w:tr>
    </w:tbl>
    <w:p/>
    <w:p>
      <w:pPr>
        <w:ind w:left="360"/>
        <w:spacing w:before="0" w:after="80"/>
      </w:pPr>
      <w:r>
        <w:rPr>
          <w:i/>
          <w:color w:val="595959"/>
          <w:sz w:val="18"/>
        </w:rPr>
        <w:t>Note: The Jan26_DHKDHK67 SRF is another supplementary SRF for the same Jan26 period, issued specifically for distributor DHKDHK67 with the same conditions as the main Jan26 SRF.</w:t>
      </w:r>
    </w:p>
    <w:p>
      <w:r>
        <w:br w:type="page"/>
      </w:r>
    </w:p>
    <w:p>
      <w:pPr>
        <w:pBdr>
          <w:bottom w:val="single" w:sz="8" w:space="1" w:color="2E75B6"/>
        </w:pBdr>
        <w:spacing w:before="240" w:after="120"/>
      </w:pPr>
      <w:r>
        <w:rPr>
          <w:b/>
          <w:color w:val="1F4E79"/>
          <w:sz w:val="28"/>
        </w:rPr>
        <w:t>15. DRC Exclusion Conditions</w:t>
      </w:r>
    </w:p>
    <w:p>
      <w:pPr>
        <w:jc w:val="left"/>
        <w:spacing w:before="0" w:after="80"/>
      </w:pPr>
      <w:r>
        <w:rPr>
          <w:b w:val="0"/>
          <w:i w:val="0"/>
          <w:sz w:val="20"/>
        </w:rPr>
        <w:t>DRC (presumably a market segment or transaction type) is excluded from achievement calculations. The scope of exclusion expanded over time.</w:t>
      </w:r>
    </w:p>
    <w:tbl>
      <w:tblPr>
        <w:jc w:val="left"/>
        <w:tblLook w:firstColumn="1" w:firstRow="1" w:lastColumn="0" w:lastRow="0" w:noHBand="0" w:noVBand="1" w:val="04A0"/>
        <w:tblW w:w="9360" w:type="dxa"/>
      </w:tblPr>
      <w:tblGrid>
        <w:gridCol w:w="720"/>
        <w:gridCol w:w="1728"/>
        <w:gridCol w:w="6912"/>
      </w:tblGrid>
      <w:tr>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720" w:type="dxa"/>
          </w:tcPr>
          <w:p>
            <w:pPr>
              <w:jc w:val="center"/>
            </w:pPr>
            <w:r/>
            <w:r>
              <w:rPr>
                <w:b/>
                <w:i w:val="0"/>
                <w:color w:val="FFFFFF"/>
                <w:sz w:val="18"/>
              </w:rPr>
              <w:t>Epoch</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728" w:type="dxa"/>
          </w:tcPr>
          <w:p>
            <w:pPr>
              <w:jc w:val="center"/>
            </w:pPr>
            <w:r/>
            <w:r>
              <w:rPr>
                <w:b/>
                <w:i w:val="0"/>
                <w:color w:val="FFFFFF"/>
                <w:sz w:val="18"/>
              </w:rPr>
              <w:t>Period</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6912" w:type="dxa"/>
          </w:tcPr>
          <w:p>
            <w:pPr>
              <w:jc w:val="center"/>
            </w:pPr>
            <w:r/>
            <w:r>
              <w:rPr>
                <w:b/>
                <w:i w:val="0"/>
                <w:color w:val="FFFFFF"/>
                <w:sz w:val="18"/>
              </w:rPr>
              <w:t>DRC Exclusion Scope</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720" w:type="dxa"/>
          </w:tcPr>
          <w:p>
            <w:pPr>
              <w:jc w:val="left"/>
            </w:pPr>
            <w:r/>
            <w:r>
              <w:rPr>
                <w:b w:val="0"/>
                <w:i w:val="0"/>
                <w:color w:val="1A1A1A"/>
                <w:sz w:val="18"/>
              </w:rPr>
              <w:t>1</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
              <w:rPr>
                <w:b w:val="0"/>
                <w:i w:val="0"/>
                <w:color w:val="1A1A1A"/>
                <w:sz w:val="18"/>
              </w:rPr>
              <w:t>Apr25–Jun25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912" w:type="dxa"/>
          </w:tcPr>
          <w:p>
            <w:pPr>
              <w:jc w:val="left"/>
            </w:pPr>
            <w:r/>
            <w:r>
              <w:rPr>
                <w:b w:val="0"/>
                <w:i w:val="0"/>
                <w:color w:val="1A1A1A"/>
                <w:sz w:val="18"/>
              </w:rPr>
              <w:t>DRC EV Secondary excluded only. DRC list shared by B2C. No DRC exclusion stated for LSO, BSO, Bundle.</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720" w:type="dxa"/>
          </w:tcPr>
          <w:p>
            <w:pPr>
              <w:jc w:val="left"/>
            </w:pPr>
            <w:r/>
            <w:r>
              <w:rPr>
                <w:b w:val="0"/>
                <w:i w:val="0"/>
                <w:color w:val="1A1A1A"/>
                <w:sz w:val="18"/>
              </w:rPr>
              <w:t>2</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
              <w:rPr>
                <w:b w:val="0"/>
                <w:i w:val="0"/>
                <w:color w:val="1A1A1A"/>
                <w:sz w:val="18"/>
              </w:rPr>
              <w:t>Jul25–Sep25</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912" w:type="dxa"/>
          </w:tcPr>
          <w:p>
            <w:pPr>
              <w:jc w:val="left"/>
            </w:pPr>
            <w:r/>
            <w:r>
              <w:rPr>
                <w:b w:val="0"/>
                <w:i w:val="0"/>
                <w:color w:val="1A1A1A"/>
                <w:sz w:val="18"/>
              </w:rPr>
              <w:t>DRC excluded from: EV Secondary, GA, Total Bundles, Active LSO, BSO. (Explicitly stated for each KPI in Jul25+)</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720" w:type="dxa"/>
          </w:tcPr>
          <w:p>
            <w:pPr>
              <w:jc w:val="left"/>
            </w:pPr>
            <w:r/>
            <w:r>
              <w:rPr>
                <w:b w:val="0"/>
                <w:i w:val="0"/>
                <w:color w:val="1A1A1A"/>
                <w:sz w:val="18"/>
              </w:rPr>
              <w:t>3–4</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728" w:type="dxa"/>
          </w:tcPr>
          <w:p>
            <w:pPr>
              <w:jc w:val="left"/>
            </w:pPr>
            <w:r/>
            <w:r>
              <w:rPr>
                <w:b w:val="0"/>
                <w:i w:val="0"/>
                <w:color w:val="1A1A1A"/>
                <w:sz w:val="18"/>
              </w:rPr>
              <w:t>Oct25–Mar26</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912" w:type="dxa"/>
          </w:tcPr>
          <w:p>
            <w:pPr>
              <w:jc w:val="left"/>
            </w:pPr>
            <w:r/>
            <w:r>
              <w:rPr>
                <w:b w:val="0"/>
                <w:i w:val="0"/>
                <w:color w:val="1A1A1A"/>
                <w:sz w:val="18"/>
              </w:rPr>
              <w:t>DRC excluded from all KPIs. Achievement calculated 'without DRC &amp; monobrand' stated globally at top of SRF.</w:t>
            </w:r>
          </w:p>
        </w:tc>
      </w:tr>
    </w:tbl>
    <w:p/>
    <w:p>
      <w:pPr>
        <w:ind w:left="360"/>
        <w:spacing w:before="0" w:after="80"/>
      </w:pPr>
      <w:r>
        <w:rPr>
          <w:i/>
          <w:color w:val="595959"/>
          <w:sz w:val="18"/>
        </w:rPr>
        <w:t>Note: Monobrand exclusion was added alongside DRC from Jul25 ('All Achievement will be calculated without DRC &amp; monobrand'). Prior to Jul25, monobrand was not mentioned.</w:t>
      </w:r>
    </w:p>
    <w:p>
      <w:pPr>
        <w:pBdr>
          <w:bottom w:val="single" w:sz="8" w:space="1" w:color="2E75B6"/>
        </w:pBdr>
        <w:spacing w:before="240" w:after="120"/>
      </w:pPr>
      <w:r>
        <w:rPr>
          <w:b/>
          <w:color w:val="1F4E79"/>
          <w:sz w:val="28"/>
        </w:rPr>
        <w:t>16. Fixed / Invariant General Conditions</w:t>
      </w:r>
    </w:p>
    <w:p>
      <w:pPr>
        <w:jc w:val="left"/>
        <w:spacing w:before="0" w:after="80"/>
      </w:pPr>
      <w:r>
        <w:rPr>
          <w:b w:val="0"/>
          <w:i w:val="0"/>
          <w:sz w:val="20"/>
        </w:rPr>
        <w:t>The following conditions are consistent across all 15 SRFs or across a clearly defined period.</w:t>
      </w:r>
    </w:p>
    <w:tbl>
      <w:tblPr>
        <w:jc w:val="left"/>
        <w:tblLook w:firstColumn="1" w:firstRow="1" w:lastColumn="0" w:lastRow="0" w:noHBand="0" w:noVBand="1" w:val="04A0"/>
        <w:tblW w:w="9360" w:type="dxa"/>
      </w:tblPr>
      <w:tblGrid>
        <w:gridCol w:w="2160"/>
        <w:gridCol w:w="4176"/>
        <w:gridCol w:w="3024"/>
      </w:tblGrid>
      <w:tr>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160" w:type="dxa"/>
          </w:tcPr>
          <w:p>
            <w:pPr>
              <w:jc w:val="center"/>
            </w:pPr>
            <w:r/>
            <w:r>
              <w:rPr>
                <w:b/>
                <w:i w:val="0"/>
                <w:color w:val="FFFFFF"/>
                <w:sz w:val="18"/>
              </w:rPr>
              <w:t>Factor</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4176" w:type="dxa"/>
          </w:tcPr>
          <w:p>
            <w:pPr>
              <w:jc w:val="center"/>
            </w:pPr>
            <w:r/>
            <w:r>
              <w:rPr>
                <w:b/>
                <w:i w:val="0"/>
                <w:color w:val="FFFFFF"/>
                <w:sz w:val="18"/>
              </w:rPr>
              <w:t>Condition</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024" w:type="dxa"/>
          </w:tcPr>
          <w:p>
            <w:pPr>
              <w:jc w:val="center"/>
            </w:pPr>
            <w:r/>
            <w:r>
              <w:rPr>
                <w:b/>
                <w:i w:val="0"/>
                <w:color w:val="FFFFFF"/>
                <w:sz w:val="18"/>
              </w:rPr>
              <w:t>Exceptions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Activation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176" w:type="dxa"/>
          </w:tcPr>
          <w:p>
            <w:pPr>
              <w:jc w:val="left"/>
            </w:pPr>
            <w:r/>
            <w:r>
              <w:rPr>
                <w:b w:val="0"/>
                <w:i w:val="0"/>
                <w:color w:val="1A1A1A"/>
                <w:sz w:val="18"/>
              </w:rPr>
              <w:t>FCD (First Call Date) during the promotion period</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
              <w:rPr>
                <w:b w:val="0"/>
                <w:i w:val="0"/>
                <w:color w:val="1A1A1A"/>
                <w:sz w:val="18"/>
              </w:rPr>
              <w:t>Consistent across all</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SAF</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176" w:type="dxa"/>
          </w:tcPr>
          <w:p>
            <w:pPr>
              <w:jc w:val="left"/>
            </w:pPr>
            <w:r/>
            <w:r>
              <w:rPr>
                <w:b w:val="0"/>
                <w:i w:val="0"/>
                <w:color w:val="1A1A1A"/>
                <w:sz w:val="18"/>
              </w:rPr>
              <w:t>98% of ETSAF (against total GA before disconnection) must be vetted and accepted by Banglalink within 7th of next month</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
              <w:rPr>
                <w:b w:val="0"/>
                <w:i w:val="0"/>
                <w:color w:val="1A1A1A"/>
                <w:sz w:val="18"/>
              </w:rPr>
              <w:t>Epoch 1–3 phrasing: 'against total GA number before disconnection'; Epoch 4: 'Total against activation before Disconnection' — same concept</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Product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176" w:type="dxa"/>
          </w:tcPr>
          <w:p>
            <w:pPr>
              <w:jc w:val="left"/>
            </w:pPr>
            <w:r/>
            <w:r>
              <w:rPr>
                <w:b w:val="0"/>
                <w:i w:val="0"/>
                <w:color w:val="1A1A1A"/>
                <w:sz w:val="18"/>
              </w:rPr>
              <w:t>All Prepaid &amp; for MNP all connections</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
              <w:rPr>
                <w:b w:val="0"/>
                <w:i w:val="0"/>
                <w:color w:val="1A1A1A"/>
                <w:sz w:val="18"/>
              </w:rPr>
              <w:t>Epoch 1–3: 'itop'up, SC, Data Pack Upsell, GA, Mixed Bundle, Voice Bundle'</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Disconnection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176" w:type="dxa"/>
          </w:tcPr>
          <w:p>
            <w:pPr>
              <w:jc w:val="left"/>
            </w:pPr>
            <w:r/>
            <w:r>
              <w:rPr>
                <w:b w:val="0"/>
                <w:i w:val="0"/>
                <w:color w:val="1A1A1A"/>
                <w:sz w:val="18"/>
              </w:rPr>
              <w:t>Between FCD and latest data up to report generation date (T-6)</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
              <w:rPr>
                <w:b w:val="0"/>
                <w:i w:val="0"/>
                <w:color w:val="1A1A1A"/>
                <w:sz w:val="18"/>
              </w:rPr>
              <w:t>Consistent across all</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Lifting/Issue</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176" w:type="dxa"/>
          </w:tcPr>
          <w:p>
            <w:pPr>
              <w:jc w:val="left"/>
            </w:pPr>
            <w:r/>
            <w:r>
              <w:rPr>
                <w:b w:val="0"/>
                <w:i w:val="0"/>
                <w:color w:val="1A1A1A"/>
                <w:sz w:val="18"/>
              </w:rPr>
              <w:t>Primary KPI: ITop-Up &amp; SC lifting (BL to Distributor); DD lifting</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
              <w:rPr>
                <w:b w:val="0"/>
                <w:i w:val="0"/>
                <w:color w:val="1A1A1A"/>
                <w:sz w:val="18"/>
              </w:rPr>
              <w:t>Consistent in Epochs 1–3; field blank in Epoch 4</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Usage Gate</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176" w:type="dxa"/>
          </w:tcPr>
          <w:p>
            <w:pPr>
              <w:jc w:val="left"/>
            </w:pPr>
            <w:r/>
            <w:r>
              <w:rPr>
                <w:b w:val="0"/>
                <w:i w:val="0"/>
                <w:color w:val="1A1A1A"/>
                <w:sz w:val="18"/>
              </w:rPr>
              <w:t>At least 95% of total GA must have &gt;BDT 5 usage within 7 days of Activation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
              <w:rPr>
                <w:b w:val="0"/>
                <w:i w:val="0"/>
                <w:color w:val="1A1A1A"/>
                <w:sz w:val="18"/>
              </w:rPr>
              <w:t>Epoch 4 (Jan26+): 'No Play (outgoing call or internet usage in min 93% GA)' — gate CHANGED to 93%; 7-day window removed</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Report Slot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176" w:type="dxa"/>
          </w:tcPr>
          <w:p>
            <w:pPr>
              <w:jc w:val="left"/>
            </w:pPr>
            <w:r/>
            <w:r>
              <w:rPr>
                <w:b w:val="0"/>
                <w:i w:val="0"/>
                <w:color w:val="1A1A1A"/>
                <w:sz w:val="18"/>
              </w:rPr>
              <w:t>Disbursement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
              <w:rPr>
                <w:b w:val="0"/>
                <w:i w:val="0"/>
                <w:color w:val="1A1A1A"/>
                <w:sz w:val="18"/>
              </w:rPr>
              <w:t>Consistent across all</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DMS Exclusion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176" w:type="dxa"/>
          </w:tcPr>
          <w:p>
            <w:pPr>
              <w:jc w:val="left"/>
            </w:pPr>
            <w:r/>
            <w:r>
              <w:rPr>
                <w:b w:val="0"/>
                <w:i w:val="0"/>
                <w:color w:val="1A1A1A"/>
                <w:sz w:val="18"/>
              </w:rPr>
              <w:t>BL Franchise Store retailers excluded</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
              <w:rPr>
                <w:b w:val="0"/>
                <w:i w:val="0"/>
                <w:color w:val="1A1A1A"/>
                <w:sz w:val="18"/>
              </w:rPr>
              <w:t>Consistent across all</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Input Sources</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176" w:type="dxa"/>
          </w:tcPr>
          <w:p>
            <w:pPr>
              <w:jc w:val="left"/>
            </w:pPr>
            <w:r/>
            <w:r>
              <w:rPr>
                <w:b w:val="0"/>
                <w:i w:val="0"/>
                <w:color w:val="1A1A1A"/>
                <w:sz w:val="18"/>
              </w:rPr>
              <w:t>IT SC, IT BI, DWH (all SRFs); DMS not checked for most; POS added in Epoch 4 Jan26+</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
              <w:rPr>
                <w:b w:val="0"/>
                <w:i w:val="0"/>
                <w:color w:val="1A1A1A"/>
                <w:sz w:val="18"/>
              </w:rPr>
              <w:t>Consistent pattern</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Maturity</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176" w:type="dxa"/>
          </w:tcPr>
          <w:p>
            <w:pPr>
              <w:jc w:val="left"/>
            </w:pPr>
            <w:r/>
            <w:r>
              <w:rPr>
                <w:b w:val="0"/>
                <w:i w:val="0"/>
                <w:color w:val="1A1A1A"/>
                <w:sz w:val="18"/>
              </w:rPr>
              <w:t>3rd (Apr25); 1st (May25, Jun25); 10th (Jul25 onward)</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024" w:type="dxa"/>
          </w:tcPr>
          <w:p>
            <w:pPr>
              <w:jc w:val="left"/>
            </w:pPr>
            <w:r/>
            <w:r>
              <w:rPr>
                <w:b w:val="0"/>
                <w:i w:val="0"/>
                <w:color w:val="1A1A1A"/>
                <w:sz w:val="18"/>
              </w:rPr>
              <w:t>Epoch-dependent</w:t>
            </w:r>
          </w:p>
        </w:tc>
      </w:tr>
    </w:tbl>
    <w:p/>
    <w:p>
      <w:r>
        <w:br w:type="page"/>
      </w:r>
    </w:p>
    <w:p>
      <w:pPr>
        <w:pBdr>
          <w:bottom w:val="single" w:sz="8" w:space="1" w:color="2E75B6"/>
        </w:pBdr>
        <w:spacing w:before="240" w:after="120"/>
      </w:pPr>
      <w:r>
        <w:rPr>
          <w:b/>
          <w:color w:val="1F4E79"/>
          <w:sz w:val="28"/>
        </w:rPr>
        <w:t>17. SRF Reference Summary Table (All 15 SRFs)</w:t>
      </w:r>
    </w:p>
    <w:p>
      <w:pPr>
        <w:jc w:val="left"/>
        <w:spacing w:before="0" w:after="80"/>
      </w:pPr>
      <w:r>
        <w:rPr>
          <w:b w:val="0"/>
          <w:i w:val="0"/>
          <w:sz w:val="20"/>
        </w:rPr>
        <w:t>Complete reference of all 15 SRFs with key KPI conditions at a glance.</w:t>
      </w:r>
    </w:p>
    <w:tbl>
      <w:tblPr>
        <w:jc w:val="left"/>
        <w:tblLook w:firstColumn="1" w:firstRow="1" w:lastColumn="0" w:lastRow="0" w:noHBand="0" w:noVBand="1" w:val="04A0"/>
        <w:tblW w:w="12168" w:type="dxa"/>
      </w:tblPr>
      <w:tblGrid>
        <w:gridCol w:w="1584"/>
        <w:gridCol w:w="864"/>
        <w:gridCol w:w="2160"/>
        <w:gridCol w:w="1440"/>
        <w:gridCol w:w="1152"/>
        <w:gridCol w:w="1440"/>
        <w:gridCol w:w="936"/>
        <w:gridCol w:w="2592"/>
      </w:tblGrid>
      <w:tr>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584" w:type="dxa"/>
          </w:tcPr>
          <w:p>
            <w:pPr>
              <w:jc w:val="center"/>
            </w:pPr>
            <w:r/>
            <w:r>
              <w:rPr>
                <w:b/>
                <w:i w:val="0"/>
                <w:color w:val="FFFFFF"/>
                <w:sz w:val="18"/>
              </w:rPr>
              <w:t>SRF</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864" w:type="dxa"/>
          </w:tcPr>
          <w:p>
            <w:pPr>
              <w:jc w:val="center"/>
            </w:pPr>
            <w:r/>
            <w:r>
              <w:rPr>
                <w:b/>
                <w:i w:val="0"/>
                <w:color w:val="FFFFFF"/>
                <w:sz w:val="18"/>
              </w:rPr>
              <w:t>Period</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160" w:type="dxa"/>
          </w:tcPr>
          <w:p>
            <w:pPr>
              <w:jc w:val="center"/>
            </w:pPr>
            <w:r/>
            <w:r>
              <w:rPr>
                <w:b/>
                <w:i w:val="0"/>
                <w:color w:val="FFFFFF"/>
                <w:sz w:val="18"/>
              </w:rPr>
              <w:t>Active KPIs</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440" w:type="dxa"/>
          </w:tcPr>
          <w:p>
            <w:pPr>
              <w:jc w:val="center"/>
            </w:pPr>
            <w:r/>
            <w:r>
              <w:rPr>
                <w:b/>
                <w:i w:val="0"/>
                <w:color w:val="FFFFFF"/>
                <w:sz w:val="18"/>
              </w:rPr>
              <w:t>Active LSO</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152" w:type="dxa"/>
          </w:tcPr>
          <w:p>
            <w:pPr>
              <w:jc w:val="center"/>
            </w:pPr>
            <w:r/>
            <w:r>
              <w:rPr>
                <w:b/>
                <w:i w:val="0"/>
                <w:color w:val="FFFFFF"/>
                <w:sz w:val="18"/>
              </w:rPr>
              <w:t>Max Reward</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440" w:type="dxa"/>
          </w:tcPr>
          <w:p>
            <w:pPr>
              <w:jc w:val="center"/>
            </w:pPr>
            <w:r/>
            <w:r>
              <w:rPr>
                <w:b/>
                <w:i w:val="0"/>
                <w:color w:val="FFFFFF"/>
                <w:sz w:val="18"/>
              </w:rPr>
              <w:t>Site Mon. Type</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936" w:type="dxa"/>
          </w:tcPr>
          <w:p>
            <w:pPr>
              <w:jc w:val="center"/>
            </w:pPr>
            <w:r/>
            <w:r>
              <w:rPr>
                <w:b/>
                <w:i w:val="0"/>
                <w:color w:val="FFFFFF"/>
                <w:sz w:val="18"/>
              </w:rPr>
              <w:t>Maturity</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592" w:type="dxa"/>
          </w:tcPr>
          <w:p>
            <w:pPr>
              <w:jc w:val="center"/>
            </w:pPr>
            <w:r/>
            <w:r>
              <w:rPr>
                <w:b/>
                <w:i w:val="0"/>
                <w:color w:val="FFFFFF"/>
                <w:sz w:val="18"/>
              </w:rPr>
              <w:t>Key Unique Condition</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Apr25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 w:type="dxa"/>
          </w:tcPr>
          <w:p>
            <w:pPr>
              <w:jc w:val="left"/>
            </w:pPr>
            <w:r/>
            <w:r>
              <w:rPr>
                <w:b w:val="0"/>
                <w:i w:val="0"/>
                <w:color w:val="1A1A1A"/>
                <w:sz w:val="18"/>
              </w:rPr>
              <w:t>Apr25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EV+SC+Bundle+LSO+BSO</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4d+200/100 TK</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10,000</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936" w:type="dxa"/>
          </w:tcPr>
          <w:p>
            <w:pPr>
              <w:jc w:val="left"/>
            </w:pPr>
            <w:r/>
            <w:r>
              <w:rPr>
                <w:b w:val="0"/>
                <w:i w:val="0"/>
                <w:color w:val="1A1A1A"/>
                <w:sz w:val="18"/>
              </w:rPr>
              <w:t>3rd</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
              <w:rPr>
                <w:b w:val="0"/>
                <w:i w:val="0"/>
                <w:color w:val="1A1A1A"/>
                <w:sz w:val="18"/>
              </w:rPr>
              <w:t>Prorated DD: RAJPAN03 (15–30 Apr)</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May25</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 w:type="dxa"/>
          </w:tcPr>
          <w:p>
            <w:pPr>
              <w:jc w:val="left"/>
            </w:pPr>
            <w:r/>
            <w:r>
              <w:rPr>
                <w:b w:val="0"/>
                <w:i w:val="0"/>
                <w:color w:val="1A1A1A"/>
                <w:sz w:val="18"/>
              </w:rPr>
              <w:t>May25</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EV+SC+Bundle+LSO+BSO</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4d+200/100 TK</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10,000</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936" w:type="dxa"/>
          </w:tcPr>
          <w:p>
            <w:pPr>
              <w:jc w:val="left"/>
            </w:pPr>
            <w:r/>
            <w:r>
              <w:rPr>
                <w:b w:val="0"/>
                <w:i w:val="0"/>
                <w:color w:val="1A1A1A"/>
                <w:sz w:val="18"/>
              </w:rPr>
              <w:t>1st</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
              <w:rPr>
                <w:b w:val="0"/>
                <w:i w:val="0"/>
                <w:color w:val="1A1A1A"/>
                <w:sz w:val="18"/>
              </w:rPr>
              <w:t>No special prorated case</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Jun25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 w:type="dxa"/>
          </w:tcPr>
          <w:p>
            <w:pPr>
              <w:jc w:val="left"/>
            </w:pPr>
            <w:r/>
            <w:r>
              <w:rPr>
                <w:b w:val="0"/>
                <w:i w:val="0"/>
                <w:color w:val="1A1A1A"/>
                <w:sz w:val="18"/>
              </w:rPr>
              <w:t>Jun25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EV+SC+Bundle+LSO+BSO</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4d+200/100 TK</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10,000</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936" w:type="dxa"/>
          </w:tcPr>
          <w:p>
            <w:pPr>
              <w:jc w:val="left"/>
            </w:pPr>
            <w:r/>
            <w:r>
              <w:rPr>
                <w:b w:val="0"/>
                <w:i w:val="0"/>
                <w:color w:val="1A1A1A"/>
                <w:sz w:val="18"/>
              </w:rPr>
              <w:t>1st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
              <w:rPr>
                <w:b w:val="0"/>
                <w:i w:val="0"/>
                <w:color w:val="1A1A1A"/>
                <w:sz w:val="18"/>
              </w:rPr>
              <w:t>Prorated DD: KHUJHE08 (15–30 Jun)</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Jul25</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 w:type="dxa"/>
          </w:tcPr>
          <w:p>
            <w:pPr>
              <w:jc w:val="left"/>
            </w:pPr>
            <w:r/>
            <w:r>
              <w:rPr>
                <w:b w:val="0"/>
                <w:i w:val="0"/>
                <w:color w:val="1A1A1A"/>
                <w:sz w:val="18"/>
              </w:rPr>
              <w:t>Jul25</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EV+SC+Bundle+LSO+BSO+GA+SiteMon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4d+200/100 TK</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10,000</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Rev. Bucket (base May25)</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936" w:type="dxa"/>
          </w:tcPr>
          <w:p>
            <w:pPr>
              <w:jc w:val="left"/>
            </w:pPr>
            <w:r/>
            <w:r>
              <w:rPr>
                <w:b w:val="0"/>
                <w:i w:val="0"/>
                <w:color w:val="1A1A1A"/>
                <w:sz w:val="18"/>
              </w:rPr>
              <w:t>10th</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
              <w:rPr>
                <w:b w:val="0"/>
                <w:i w:val="0"/>
                <w:color w:val="1A1A1A"/>
                <w:sz w:val="18"/>
              </w:rPr>
              <w:t>GA+SiteMon added; SUD12AGENT in EV; monobrand excluded; CHICOX09 prorated</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Aug25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 w:type="dxa"/>
          </w:tcPr>
          <w:p>
            <w:pPr>
              <w:jc w:val="left"/>
            </w:pPr>
            <w:r/>
            <w:r>
              <w:rPr>
                <w:b w:val="0"/>
                <w:i w:val="0"/>
                <w:color w:val="1A1A1A"/>
                <w:sz w:val="18"/>
              </w:rPr>
              <w:t>Aug25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EV+SC+Bundle+LSO+BSO+GA+SiteMon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4d+200/100 TK</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10,000</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Rev. Bucket (base May25)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936" w:type="dxa"/>
          </w:tcPr>
          <w:p>
            <w:pPr>
              <w:jc w:val="left"/>
            </w:pPr>
            <w:r/>
            <w:r>
              <w:rPr>
                <w:b w:val="0"/>
                <w:i w:val="0"/>
                <w:color w:val="1A1A1A"/>
                <w:sz w:val="18"/>
              </w:rPr>
              <w:t>10th</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
              <w:rPr>
                <w:b w:val="0"/>
                <w:i w:val="0"/>
                <w:color w:val="1A1A1A"/>
                <w:sz w:val="18"/>
              </w:rPr>
              <w:t>Same as Jul25; CHICOX09 special case</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Sep25</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 w:type="dxa"/>
          </w:tcPr>
          <w:p>
            <w:pPr>
              <w:jc w:val="left"/>
            </w:pPr>
            <w:r/>
            <w:r>
              <w:rPr>
                <w:b w:val="0"/>
                <w:i w:val="0"/>
                <w:color w:val="1A1A1A"/>
                <w:sz w:val="18"/>
              </w:rPr>
              <w:t>Sep25</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EV+SC+Bundle+LSO+BSO+GA+SiteMon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4d+200/100 TK</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10,000</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Rev. Bucket (base May25)</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936" w:type="dxa"/>
          </w:tcPr>
          <w:p>
            <w:pPr>
              <w:jc w:val="left"/>
            </w:pPr>
            <w:r/>
            <w:r>
              <w:rPr>
                <w:b w:val="0"/>
                <w:i w:val="0"/>
                <w:color w:val="1A1A1A"/>
                <w:sz w:val="18"/>
              </w:rPr>
              <w:t>10th</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
              <w:rPr>
                <w:b w:val="0"/>
                <w:i w:val="0"/>
                <w:color w:val="1A1A1A"/>
                <w:sz w:val="18"/>
              </w:rPr>
              <w:t>Same as Aug25</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Oct25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 w:type="dxa"/>
          </w:tcPr>
          <w:p>
            <w:pPr>
              <w:jc w:val="left"/>
            </w:pPr>
            <w:r/>
            <w:r>
              <w:rPr>
                <w:b w:val="0"/>
                <w:i w:val="0"/>
                <w:color w:val="1A1A1A"/>
                <w:sz w:val="18"/>
              </w:rPr>
              <w:t>Oct25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EV+SC+LSO+BSO+GA+SiteMon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4d+200/100 TK</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10,000</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Abs. LUS Conv. (200K/150K)</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936" w:type="dxa"/>
          </w:tcPr>
          <w:p>
            <w:pPr>
              <w:jc w:val="left"/>
            </w:pPr>
            <w:r/>
            <w:r>
              <w:rPr>
                <w:b w:val="0"/>
                <w:i w:val="0"/>
                <w:color w:val="1A1A1A"/>
                <w:sz w:val="18"/>
              </w:rPr>
              <w:t>10th</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
              <w:rPr>
                <w:b w:val="0"/>
                <w:i w:val="0"/>
                <w:color w:val="1A1A1A"/>
                <w:sz w:val="18"/>
              </w:rPr>
              <w:t>Site Mon redefined to absolute LUS conversion</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Oct25_GA</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 w:type="dxa"/>
          </w:tcPr>
          <w:p>
            <w:pPr>
              <w:jc w:val="left"/>
            </w:pPr>
            <w:r/>
            <w:r>
              <w:rPr>
                <w:b w:val="0"/>
                <w:i w:val="0"/>
                <w:color w:val="1A1A1A"/>
                <w:sz w:val="18"/>
              </w:rPr>
              <w:t>Oct25</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GA only</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1,500</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936" w:type="dxa"/>
          </w:tcPr>
          <w:p>
            <w:pPr>
              <w:jc w:val="left"/>
            </w:pPr>
            <w:r/>
            <w:r>
              <w:rPr>
                <w:b w:val="0"/>
                <w:i w:val="0"/>
                <w:color w:val="1A1A1A"/>
                <w:sz w:val="18"/>
              </w:rPr>
              <w:t>10th</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
              <w:rPr>
                <w:b w:val="0"/>
                <w:i w:val="0"/>
                <w:color w:val="1A1A1A"/>
                <w:sz w:val="18"/>
              </w:rPr>
              <w:t>GA-only supplementary SRF; max reward BDT 1,500</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Nov25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 w:type="dxa"/>
          </w:tcPr>
          <w:p>
            <w:pPr>
              <w:jc w:val="left"/>
            </w:pPr>
            <w:r/>
            <w:r>
              <w:rPr>
                <w:b w:val="0"/>
                <w:i w:val="0"/>
                <w:color w:val="1A1A1A"/>
                <w:sz w:val="18"/>
              </w:rPr>
              <w:t>Nov25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EV+SC+LSO+BSO+GA+SiteMon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4d+200/100 TK</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10,000</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Abs. LUS Conv.</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936" w:type="dxa"/>
          </w:tcPr>
          <w:p>
            <w:pPr>
              <w:jc w:val="left"/>
            </w:pPr>
            <w:r/>
            <w:r>
              <w:rPr>
                <w:b w:val="0"/>
                <w:i w:val="0"/>
                <w:color w:val="1A1A1A"/>
                <w:sz w:val="18"/>
              </w:rPr>
              <w:t>10th</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
              <w:rPr>
                <w:b w:val="0"/>
                <w:i w:val="0"/>
                <w:color w:val="1A1A1A"/>
                <w:sz w:val="18"/>
              </w:rPr>
              <w:t>CHICOX09 weightage table visible; DHKGAZ08/MYMTAN18 RSO-wise rule</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Dec25</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 w:type="dxa"/>
          </w:tcPr>
          <w:p>
            <w:pPr>
              <w:jc w:val="left"/>
            </w:pPr>
            <w:r/>
            <w:r>
              <w:rPr>
                <w:b w:val="0"/>
                <w:i w:val="0"/>
                <w:color w:val="1A1A1A"/>
                <w:sz w:val="18"/>
              </w:rPr>
              <w:t>Dec25</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EV+SC+LSO+BSO+GA+SiteMon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4d+200/100 TK</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10,000</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Abs. LUS Conv.</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936" w:type="dxa"/>
          </w:tcPr>
          <w:p>
            <w:pPr>
              <w:jc w:val="left"/>
            </w:pPr>
            <w:r/>
            <w:r>
              <w:rPr>
                <w:b w:val="0"/>
                <w:i w:val="0"/>
                <w:color w:val="1A1A1A"/>
                <w:sz w:val="18"/>
              </w:rPr>
              <w:t>10th</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
              <w:rPr>
                <w:b w:val="0"/>
                <w:i w:val="0"/>
                <w:color w:val="1A1A1A"/>
                <w:sz w:val="18"/>
              </w:rPr>
              <w:t>Same as Nov25; no DHKGAZ08 mention</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Jan26</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 w:type="dxa"/>
          </w:tcPr>
          <w:p>
            <w:pPr>
              <w:jc w:val="left"/>
            </w:pPr>
            <w:r/>
            <w:r>
              <w:rPr>
                <w:b w:val="0"/>
                <w:i w:val="0"/>
                <w:color w:val="1A1A1A"/>
                <w:sz w:val="18"/>
              </w:rPr>
              <w:t>Jan26</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EV+SC+LSO+SSO+GA+SiteMon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7d+500 TK (unified)</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10,000</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Abs. LUS Conv.</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936" w:type="dxa"/>
          </w:tcPr>
          <w:p>
            <w:pPr>
              <w:jc w:val="left"/>
            </w:pPr>
            <w:r/>
            <w:r>
              <w:rPr>
                <w:b w:val="0"/>
                <w:i w:val="0"/>
                <w:color w:val="1A1A1A"/>
                <w:sz w:val="18"/>
              </w:rPr>
              <w: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
              <w:rPr>
                <w:b w:val="0"/>
                <w:i w:val="0"/>
                <w:color w:val="1A1A1A"/>
                <w:sz w:val="18"/>
              </w:rPr>
              <w:t>BSO→SSO; LSO raised 7d+500; VLR for GA; 93% No-Play usage; CHICOX09 Structure B</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Jan26_DHKDHK67</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 w:type="dxa"/>
          </w:tcPr>
          <w:p>
            <w:pPr>
              <w:jc w:val="left"/>
            </w:pPr>
            <w:r/>
            <w:r>
              <w:rPr>
                <w:b w:val="0"/>
                <w:i w:val="0"/>
                <w:color w:val="1A1A1A"/>
                <w:sz w:val="18"/>
              </w:rPr>
              <w:t>Jan26</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EV+SC+LSO+SSO+GA+SiteMon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7d+500 TK</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10,000</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Abs. LUS Conv.</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936" w:type="dxa"/>
          </w:tcPr>
          <w:p>
            <w:pPr>
              <w:jc w:val="left"/>
            </w:pPr>
            <w:r/>
            <w:r>
              <w:rPr>
                <w:b w:val="0"/>
                <w:i w:val="0"/>
                <w:color w:val="1A1A1A"/>
                <w:sz w:val="18"/>
              </w:rPr>
              <w:t>10th</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
              <w:rPr>
                <w:b w:val="0"/>
                <w:i w:val="0"/>
                <w:color w:val="1A1A1A"/>
                <w:sz w:val="18"/>
              </w:rPr>
              <w:t>DD-specific SRF for DHKDHK67; same as Jan26</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Jan26_GA</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 w:type="dxa"/>
          </w:tcPr>
          <w:p>
            <w:pPr>
              <w:jc w:val="left"/>
            </w:pPr>
            <w:r/>
            <w:r>
              <w:rPr>
                <w:b w:val="0"/>
                <w:i w:val="0"/>
                <w:color w:val="1A1A1A"/>
                <w:sz w:val="18"/>
              </w:rPr>
              <w:t>Jan26</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GA only</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10,000</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936" w:type="dxa"/>
          </w:tcPr>
          <w:p>
            <w:pPr>
              <w:jc w:val="left"/>
            </w:pPr>
            <w:r/>
            <w:r>
              <w:rPr>
                <w:b w:val="0"/>
                <w:i w:val="0"/>
                <w:color w:val="1A1A1A"/>
                <w:sz w:val="18"/>
              </w:rPr>
              <w:t>10th</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
              <w:rPr>
                <w:b w:val="0"/>
                <w:i w:val="0"/>
                <w:color w:val="1A1A1A"/>
                <w:sz w:val="18"/>
              </w:rPr>
              <w:t>GA-only supplementary; VLR condition; prorated RAJGAI07</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Feb26</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 w:type="dxa"/>
          </w:tcPr>
          <w:p>
            <w:pPr>
              <w:jc w:val="left"/>
            </w:pPr>
            <w:r/>
            <w:r>
              <w:rPr>
                <w:b w:val="0"/>
                <w:i w:val="0"/>
                <w:color w:val="1A1A1A"/>
                <w:sz w:val="18"/>
              </w:rPr>
              <w:t>Feb26</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EV+SC+LSO+SSO+GA+SiteMon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7d+500 TK</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10,000</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Abs. LUS Conv.</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936" w:type="dxa"/>
          </w:tcPr>
          <w:p>
            <w:pPr>
              <w:jc w:val="left"/>
            </w:pPr>
            <w:r/>
            <w:r>
              <w:rPr>
                <w:b w:val="0"/>
                <w:i w:val="0"/>
                <w:color w:val="1A1A1A"/>
                <w:sz w:val="18"/>
              </w:rPr>
              <w:t>10th</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
              <w:rPr>
                <w:b w:val="0"/>
                <w:i w:val="0"/>
                <w:color w:val="1A1A1A"/>
                <w:sz w:val="18"/>
              </w:rPr>
              <w:t>SSO in prorated table; 2 DDs prorated (KHUKHU18, MYMMYM25)</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Mar26</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 w:type="dxa"/>
          </w:tcPr>
          <w:p>
            <w:pPr>
              <w:jc w:val="left"/>
            </w:pPr>
            <w:r/>
            <w:r>
              <w:rPr>
                <w:b w:val="0"/>
                <w:i w:val="0"/>
                <w:color w:val="1A1A1A"/>
                <w:sz w:val="18"/>
              </w:rPr>
              <w:t>Mar26</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EV+SC+LSO+SSO+GA+SiteMon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7d+500 TK</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10,000</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Abs. LUS Conv.</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936" w:type="dxa"/>
          </w:tcPr>
          <w:p>
            <w:pPr>
              <w:jc w:val="left"/>
            </w:pPr>
            <w:r/>
            <w:r>
              <w:rPr>
                <w:b w:val="0"/>
                <w:i w:val="0"/>
                <w:color w:val="1A1A1A"/>
                <w:sz w:val="18"/>
              </w:rPr>
              <w: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
              <w:rPr>
                <w:b w:val="0"/>
                <w:i w:val="0"/>
                <w:color w:val="1A1A1A"/>
                <w:sz w:val="18"/>
              </w:rPr>
              <w:t>BSO fully absent from KPI list; SSO confirmed as replacement; 3 DDs prorated</w:t>
            </w:r>
          </w:p>
        </w:tc>
      </w:tr>
    </w:tbl>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