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b/>
          <w:color w:val="1F4E79"/>
          <w:sz w:val="44"/>
        </w:rPr>
        <w:t>Mixed Category SRF</w:t>
      </w:r>
    </w:p>
    <w:p>
      <w:pPr>
        <w:jc w:val="center"/>
      </w:pPr>
      <w:r>
        <w:rPr>
          <w:color w:val="2E75B6"/>
          <w:sz w:val="26"/>
        </w:rPr>
        <w:t>Unique KPI Conditions – All Unique Campaign Types</w:t>
      </w:r>
    </w:p>
    <w:p/>
    <w:p>
      <w:pPr>
        <w:jc w:val="center"/>
      </w:pPr>
      <w:r>
        <w:rPr>
          <w:color w:val="595959"/>
          <w:sz w:val="18"/>
        </w:rPr>
        <w:t>Source: 21 SRFs  |  Prepared for SalesCom Automation Development</w:t>
      </w:r>
    </w:p>
    <w:p>
      <w:r>
        <w:br w:type="page"/>
      </w:r>
    </w:p>
    <w:p>
      <w:pPr>
        <w:spacing w:before="200" w:after="80"/>
      </w:pPr>
      <w:r>
        <w:rPr>
          <w:b/>
          <w:color w:val="1F4E79"/>
          <w:sz w:val="26"/>
          <w:u w:val="single"/>
        </w:rPr>
        <w:t>INDEX</w:t>
      </w:r>
    </w:p>
    <w:tbl>
      <w:tblPr>
        <w:tblStyle w:val="TableGrid"/>
        <w:tblW w:type="auto" w:w="0"/>
        <w:tblLook w:firstColumn="1" w:firstRow="1" w:lastColumn="0" w:lastRow="0" w:noHBand="0" w:noVBand="1" w:val="04A0"/>
        <w:tblW w:w="9360" w:type="dxa"/>
      </w:tblPr>
      <w:tblGrid>
        <w:gridCol w:w="576"/>
        <w:gridCol w:w="8784"/>
      </w:tblGrid>
      <w:tblGrid>
        <w:gridCol w:w="4514"/>
        <w:gridCol w:w="4514"/>
      </w:tblGrid>
      <w:tr>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576" w:type="dxa"/>
          </w:tcPr>
          <w:p>
            <w:pPr>
              <w:jc w:val="center"/>
            </w:pPr>
            <w:r>
              <w:rPr>
                <w:b/>
                <w:i w:val="0"/>
                <w:color w:val="FFFFFF"/>
                <w:sz w:val="18"/>
              </w:rPr>
              <w:t>#</w:t>
            </w:r>
          </w:p>
        </w:tc>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8784" w:type="dxa"/>
          </w:tcPr>
          <w:p>
            <w:pPr>
              <w:jc w:val="center"/>
            </w:pPr>
            <w:r>
              <w:rPr>
                <w:b/>
                <w:i w:val="0"/>
                <w:color w:val="FFFFFF"/>
                <w:sz w:val="18"/>
              </w:rPr>
              <w:t>Section</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1</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Overview &amp; Campaign Catalogue</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2</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Device BP GA Campaign (BL Prepaid – Jul 2025)</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3</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BDSMARTPAY Recharge Commission (Apr–May 2025)</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4</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DD Weekly EV Secondary Campaign (Feb 2026)</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5</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DD Weekly EV Tertiary Campaign (Feb 2026)</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6</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Distributor Multi-KPI Sprint Accelerate (Apr 2025)</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7</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Daily FR Commission to DH via Promoter (from Jan 2026)</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8</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SME ESO GA Scale-Up Campaign (from Sep 2025)</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9</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RBSP Monthly Commission – KPI Gate Model (Apr &amp; Jun 2025)</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10</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RSO GA Booster Campaign (21–31 Jan 2026)</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11</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Region GA Booster Campaign (21–31 Jan 2026)</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12</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RSO Post-Eid Productivity Booster (10–14 Jun 2025)</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13</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RSO Recharge Accelerate Campaign (8–11 Oct 2025)</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14</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RSO Tiger Retailer Campaign (22–23 Jun 2025)</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15</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Retailer Banglalink Utsob Campaign (11–30 Nov 2025)</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16</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FWA Router Installation – Retailer &amp; Monobrand (Sep 2025 / Jan 2026)</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17</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Monobrand CCR TOS Reward Campaign (Sep–Oct 2025)</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18</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SRF Summary Table</w:t>
            </w:r>
          </w:p>
        </w:tc>
      </w:tr>
    </w:tbl>
    <w:p/>
    <w:p>
      <w:r>
        <w:br w:type="page"/>
      </w:r>
    </w:p>
    <w:p>
      <w:pPr>
        <w:spacing w:before="200" w:after="80"/>
      </w:pPr>
      <w:r>
        <w:rPr>
          <w:b/>
          <w:color w:val="1F4E79"/>
          <w:sz w:val="26"/>
          <w:u w:val="single"/>
        </w:rPr>
        <w:t>1. Overview &amp; Campaign Catalogue</w:t>
      </w:r>
    </w:p>
    <w:p>
      <w:r>
        <w:rPr>
          <w:sz w:val="20"/>
        </w:rPr>
        <w:t>This document consolidates all unique KPI conditions extracted from 21 SRFs in the Mixed Category folder. Unlike single-product folders, Mixed Category covers a wide range of campaign types, recipients, and commission mechanisms – from Device BP GA slabs to Monobrand TOS drives and SME ESO scale-up programmes.</w:t>
      </w:r>
    </w:p>
    <w:p/>
    <w:p>
      <w:pPr>
        <w:spacing w:before="120" w:after="80"/>
      </w:pPr>
      <w:r>
        <w:rPr>
          <w:b/>
          <w:color w:val="2E75B6"/>
          <w:sz w:val="22"/>
        </w:rPr>
        <w:t>Campaign Types at a Glance</w:t>
      </w:r>
    </w:p>
    <w:tbl>
      <w:tblPr>
        <w:tblStyle w:val="TableGrid"/>
        <w:tblW w:type="auto" w:w="0"/>
        <w:tblLook w:firstColumn="1" w:firstRow="1" w:lastColumn="0" w:lastRow="0" w:noHBand="0" w:noVBand="1" w:val="04A0"/>
        <w:tblW w:w="9360" w:type="dxa"/>
      </w:tblPr>
      <w:tblGrid>
        <w:gridCol w:w="503"/>
        <w:gridCol w:w="3744"/>
        <w:gridCol w:w="2880"/>
        <w:gridCol w:w="2232"/>
      </w:tblGrid>
      <w:tblGrid>
        <w:gridCol w:w="2257"/>
        <w:gridCol w:w="2257"/>
        <w:gridCol w:w="2257"/>
        <w:gridCol w:w="2257"/>
      </w:tblGrid>
      <w:tr>
        <w:tc>
          <w:tcPr>
            <w:tcW w:type="dxa" w:w="2257"/>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503" w:type="dxa"/>
          </w:tcPr>
          <w:p>
            <w:pPr>
              <w:jc w:val="center"/>
            </w:pPr>
            <w:r>
              <w:rPr>
                <w:b/>
                <w:i w:val="0"/>
                <w:color w:val="FFFFFF"/>
                <w:sz w:val="18"/>
              </w:rPr>
              <w:t>#</w:t>
            </w:r>
          </w:p>
        </w:tc>
        <w:tc>
          <w:tcPr>
            <w:tcW w:type="dxa" w:w="2257"/>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744" w:type="dxa"/>
          </w:tcPr>
          <w:p>
            <w:pPr>
              <w:jc w:val="center"/>
            </w:pPr>
            <w:r>
              <w:rPr>
                <w:b/>
                <w:i w:val="0"/>
                <w:color w:val="FFFFFF"/>
                <w:sz w:val="18"/>
              </w:rPr>
              <w:t>Campaign Name / Type</w:t>
            </w:r>
          </w:p>
        </w:tc>
        <w:tc>
          <w:tcPr>
            <w:tcW w:type="dxa" w:w="2257"/>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880" w:type="dxa"/>
          </w:tcPr>
          <w:p>
            <w:pPr>
              <w:jc w:val="center"/>
            </w:pPr>
            <w:r>
              <w:rPr>
                <w:b/>
                <w:i w:val="0"/>
                <w:color w:val="FFFFFF"/>
                <w:sz w:val="18"/>
              </w:rPr>
              <w:t>Recipient</w:t>
            </w:r>
          </w:p>
        </w:tc>
        <w:tc>
          <w:tcPr>
            <w:tcW w:type="dxa" w:w="2257"/>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232" w:type="dxa"/>
          </w:tcPr>
          <w:p>
            <w:pPr>
              <w:jc w:val="center"/>
            </w:pPr>
            <w:r>
              <w:rPr>
                <w:b/>
                <w:i w:val="0"/>
                <w:color w:val="FFFFFF"/>
                <w:sz w:val="18"/>
              </w:rPr>
              <w:t>Period</w:t>
            </w:r>
          </w:p>
        </w:tc>
      </w:tr>
      <w:tr>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03" w:type="dxa"/>
          </w:tcPr>
          <w:p>
            <w:pPr>
              <w:jc w:val="left"/>
            </w:pPr>
            <w:r>
              <w:rPr>
                <w:b w:val="0"/>
                <w:i w:val="0"/>
                <w:color w:val="000000"/>
                <w:sz w:val="18"/>
              </w:rPr>
              <w:t>1</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744" w:type="dxa"/>
          </w:tcPr>
          <w:p>
            <w:pPr>
              <w:jc w:val="left"/>
            </w:pPr>
            <w:r>
              <w:rPr>
                <w:b w:val="0"/>
                <w:i w:val="0"/>
                <w:color w:val="000000"/>
                <w:sz w:val="18"/>
              </w:rPr>
              <w:t>Device BP GA Campaign</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Device BP SSE</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Pr>
                <w:b w:val="0"/>
                <w:i w:val="0"/>
                <w:color w:val="000000"/>
                <w:sz w:val="18"/>
              </w:rPr>
              <w:t>Jul 2025</w:t>
            </w:r>
          </w:p>
        </w:tc>
      </w:tr>
      <w:tr>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03" w:type="dxa"/>
          </w:tcPr>
          <w:p>
            <w:pPr>
              <w:jc w:val="left"/>
            </w:pPr>
            <w:r>
              <w:rPr>
                <w:b w:val="0"/>
                <w:i w:val="0"/>
                <w:color w:val="000000"/>
                <w:sz w:val="18"/>
              </w:rPr>
              <w:t>2</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744" w:type="dxa"/>
          </w:tcPr>
          <w:p>
            <w:pPr>
              <w:jc w:val="left"/>
            </w:pPr>
            <w:r>
              <w:rPr>
                <w:b w:val="0"/>
                <w:i w:val="0"/>
                <w:color w:val="000000"/>
                <w:sz w:val="18"/>
              </w:rPr>
              <w:t>BDSMARTPAY Recharge Commission</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Digital Distributor</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Pr>
                <w:b w:val="0"/>
                <w:i w:val="0"/>
                <w:color w:val="000000"/>
                <w:sz w:val="18"/>
              </w:rPr>
              <w:t>Apr–May 2025</w:t>
            </w:r>
          </w:p>
        </w:tc>
      </w:tr>
      <w:tr>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03" w:type="dxa"/>
          </w:tcPr>
          <w:p>
            <w:pPr>
              <w:jc w:val="left"/>
            </w:pPr>
            <w:r>
              <w:rPr>
                <w:b w:val="0"/>
                <w:i w:val="0"/>
                <w:color w:val="000000"/>
                <w:sz w:val="18"/>
              </w:rPr>
              <w:t>3</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744" w:type="dxa"/>
          </w:tcPr>
          <w:p>
            <w:pPr>
              <w:jc w:val="left"/>
            </w:pPr>
            <w:r>
              <w:rPr>
                <w:b w:val="0"/>
                <w:i w:val="0"/>
                <w:color w:val="000000"/>
                <w:sz w:val="18"/>
              </w:rPr>
              <w:t>DD Weekly EV Secondary Campaign</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Distributor</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Pr>
                <w:b w:val="0"/>
                <w:i w:val="0"/>
                <w:color w:val="000000"/>
                <w:sz w:val="18"/>
              </w:rPr>
              <w:t>Feb 2026</w:t>
            </w:r>
          </w:p>
        </w:tc>
      </w:tr>
      <w:tr>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03" w:type="dxa"/>
          </w:tcPr>
          <w:p>
            <w:pPr>
              <w:jc w:val="left"/>
            </w:pPr>
            <w:r>
              <w:rPr>
                <w:b w:val="0"/>
                <w:i w:val="0"/>
                <w:color w:val="000000"/>
                <w:sz w:val="18"/>
              </w:rPr>
              <w:t>4</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744" w:type="dxa"/>
          </w:tcPr>
          <w:p>
            <w:pPr>
              <w:jc w:val="left"/>
            </w:pPr>
            <w:r>
              <w:rPr>
                <w:b w:val="0"/>
                <w:i w:val="0"/>
                <w:color w:val="000000"/>
                <w:sz w:val="18"/>
              </w:rPr>
              <w:t>DD Weekly EV Tertiary Campaign</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Distributor</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Pr>
                <w:b w:val="0"/>
                <w:i w:val="0"/>
                <w:color w:val="000000"/>
                <w:sz w:val="18"/>
              </w:rPr>
              <w:t>Feb 2026</w:t>
            </w:r>
          </w:p>
        </w:tc>
      </w:tr>
      <w:tr>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03" w:type="dxa"/>
          </w:tcPr>
          <w:p>
            <w:pPr>
              <w:jc w:val="left"/>
            </w:pPr>
            <w:r>
              <w:rPr>
                <w:b w:val="0"/>
                <w:i w:val="0"/>
                <w:color w:val="000000"/>
                <w:sz w:val="18"/>
              </w:rPr>
              <w:t>5</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744" w:type="dxa"/>
          </w:tcPr>
          <w:p>
            <w:pPr>
              <w:jc w:val="left"/>
            </w:pPr>
            <w:r>
              <w:rPr>
                <w:b w:val="0"/>
                <w:i w:val="0"/>
                <w:color w:val="000000"/>
                <w:sz w:val="18"/>
              </w:rPr>
              <w:t>Distributor Sprint Accelerate</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Distributor</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Pr>
                <w:b w:val="0"/>
                <w:i w:val="0"/>
                <w:color w:val="000000"/>
                <w:sz w:val="18"/>
              </w:rPr>
              <w:t>Apr 2025</w:t>
            </w:r>
          </w:p>
        </w:tc>
      </w:tr>
      <w:tr>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03" w:type="dxa"/>
          </w:tcPr>
          <w:p>
            <w:pPr>
              <w:jc w:val="left"/>
            </w:pPr>
            <w:r>
              <w:rPr>
                <w:b w:val="0"/>
                <w:i w:val="0"/>
                <w:color w:val="000000"/>
                <w:sz w:val="18"/>
              </w:rPr>
              <w:t>6</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744" w:type="dxa"/>
          </w:tcPr>
          <w:p>
            <w:pPr>
              <w:jc w:val="left"/>
            </w:pPr>
            <w:r>
              <w:rPr>
                <w:b w:val="0"/>
                <w:i w:val="0"/>
                <w:color w:val="000000"/>
                <w:sz w:val="18"/>
              </w:rPr>
              <w:t>Daily FR Commission (Promoter GA)</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Retailer/Promoter→DH</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Pr>
                <w:b w:val="0"/>
                <w:i w:val="0"/>
                <w:color w:val="000000"/>
                <w:sz w:val="18"/>
              </w:rPr>
              <w:t>From Jan 2026</w:t>
            </w:r>
          </w:p>
        </w:tc>
      </w:tr>
      <w:tr>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03" w:type="dxa"/>
          </w:tcPr>
          <w:p>
            <w:pPr>
              <w:jc w:val="left"/>
            </w:pPr>
            <w:r>
              <w:rPr>
                <w:b w:val="0"/>
                <w:i w:val="0"/>
                <w:color w:val="000000"/>
                <w:sz w:val="18"/>
              </w:rPr>
              <w:t>7</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744" w:type="dxa"/>
          </w:tcPr>
          <w:p>
            <w:pPr>
              <w:jc w:val="left"/>
            </w:pPr>
            <w:r>
              <w:rPr>
                <w:b w:val="0"/>
                <w:i w:val="0"/>
                <w:color w:val="000000"/>
                <w:sz w:val="18"/>
              </w:rPr>
              <w:t>SME ESO GA Scale-Up</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SME Direct BDO (ESO)</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Pr>
                <w:b w:val="0"/>
                <w:i w:val="0"/>
                <w:color w:val="000000"/>
                <w:sz w:val="18"/>
              </w:rPr>
              <w:t>From Sep 2025</w:t>
            </w:r>
          </w:p>
        </w:tc>
      </w:tr>
      <w:tr>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03" w:type="dxa"/>
          </w:tcPr>
          <w:p>
            <w:pPr>
              <w:jc w:val="left"/>
            </w:pPr>
            <w:r>
              <w:rPr>
                <w:b w:val="0"/>
                <w:i w:val="0"/>
                <w:color w:val="000000"/>
                <w:sz w:val="18"/>
              </w:rPr>
              <w:t>8</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744" w:type="dxa"/>
          </w:tcPr>
          <w:p>
            <w:pPr>
              <w:jc w:val="left"/>
            </w:pPr>
            <w:r>
              <w:rPr>
                <w:b w:val="0"/>
                <w:i w:val="0"/>
                <w:color w:val="000000"/>
                <w:sz w:val="18"/>
              </w:rPr>
              <w:t>RBSP Monthly Commission</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RBSP Retailer</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Pr>
                <w:b w:val="0"/>
                <w:i w:val="0"/>
                <w:color w:val="000000"/>
                <w:sz w:val="18"/>
              </w:rPr>
              <w:t>Apr &amp; Jun 2025</w:t>
            </w:r>
          </w:p>
        </w:tc>
      </w:tr>
      <w:tr>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03" w:type="dxa"/>
          </w:tcPr>
          <w:p>
            <w:pPr>
              <w:jc w:val="left"/>
            </w:pPr>
            <w:r>
              <w:rPr>
                <w:b w:val="0"/>
                <w:i w:val="0"/>
                <w:color w:val="000000"/>
                <w:sz w:val="18"/>
              </w:rPr>
              <w:t>9</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744" w:type="dxa"/>
          </w:tcPr>
          <w:p>
            <w:pPr>
              <w:jc w:val="left"/>
            </w:pPr>
            <w:r>
              <w:rPr>
                <w:b w:val="0"/>
                <w:i w:val="0"/>
                <w:color w:val="000000"/>
                <w:sz w:val="18"/>
              </w:rPr>
              <w:t>RSO GA Booster Campaign</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RSO</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Pr>
                <w:b w:val="0"/>
                <w:i w:val="0"/>
                <w:color w:val="000000"/>
                <w:sz w:val="18"/>
              </w:rPr>
              <w:t>21–31 Jan 2026</w:t>
            </w:r>
          </w:p>
        </w:tc>
      </w:tr>
      <w:tr>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03" w:type="dxa"/>
          </w:tcPr>
          <w:p>
            <w:pPr>
              <w:jc w:val="left"/>
            </w:pPr>
            <w:r>
              <w:rPr>
                <w:b w:val="0"/>
                <w:i w:val="0"/>
                <w:color w:val="000000"/>
                <w:sz w:val="18"/>
              </w:rPr>
              <w:t>10</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744" w:type="dxa"/>
          </w:tcPr>
          <w:p>
            <w:pPr>
              <w:jc w:val="left"/>
            </w:pPr>
            <w:r>
              <w:rPr>
                <w:b w:val="0"/>
                <w:i w:val="0"/>
                <w:color w:val="000000"/>
                <w:sz w:val="18"/>
              </w:rPr>
              <w:t>Region GA Booster Campaign</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DD Manager (Region)</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Pr>
                <w:b w:val="0"/>
                <w:i w:val="0"/>
                <w:color w:val="000000"/>
                <w:sz w:val="18"/>
              </w:rPr>
              <w:t>21–31 Jan 2026</w:t>
            </w:r>
          </w:p>
        </w:tc>
      </w:tr>
      <w:tr>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03" w:type="dxa"/>
          </w:tcPr>
          <w:p>
            <w:pPr>
              <w:jc w:val="left"/>
            </w:pPr>
            <w:r>
              <w:rPr>
                <w:b w:val="0"/>
                <w:i w:val="0"/>
                <w:color w:val="000000"/>
                <w:sz w:val="18"/>
              </w:rPr>
              <w:t>11</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744" w:type="dxa"/>
          </w:tcPr>
          <w:p>
            <w:pPr>
              <w:jc w:val="left"/>
            </w:pPr>
            <w:r>
              <w:rPr>
                <w:b w:val="0"/>
                <w:i w:val="0"/>
                <w:color w:val="000000"/>
                <w:sz w:val="18"/>
              </w:rPr>
              <w:t>RSO Post-Eid Productivity Booster</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RSO</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Pr>
                <w:b w:val="0"/>
                <w:i w:val="0"/>
                <w:color w:val="000000"/>
                <w:sz w:val="18"/>
              </w:rPr>
              <w:t>10–14 Jun 2025</w:t>
            </w:r>
          </w:p>
        </w:tc>
      </w:tr>
      <w:tr>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03" w:type="dxa"/>
          </w:tcPr>
          <w:p>
            <w:pPr>
              <w:jc w:val="left"/>
            </w:pPr>
            <w:r>
              <w:rPr>
                <w:b w:val="0"/>
                <w:i w:val="0"/>
                <w:color w:val="000000"/>
                <w:sz w:val="18"/>
              </w:rPr>
              <w:t>12</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744" w:type="dxa"/>
          </w:tcPr>
          <w:p>
            <w:pPr>
              <w:jc w:val="left"/>
            </w:pPr>
            <w:r>
              <w:rPr>
                <w:b w:val="0"/>
                <w:i w:val="0"/>
                <w:color w:val="000000"/>
                <w:sz w:val="18"/>
              </w:rPr>
              <w:t>RSO Recharge Accelerate</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RSO</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Pr>
                <w:b w:val="0"/>
                <w:i w:val="0"/>
                <w:color w:val="000000"/>
                <w:sz w:val="18"/>
              </w:rPr>
              <w:t>8–11 Oct 2025</w:t>
            </w:r>
          </w:p>
        </w:tc>
      </w:tr>
      <w:tr>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03" w:type="dxa"/>
          </w:tcPr>
          <w:p>
            <w:pPr>
              <w:jc w:val="left"/>
            </w:pPr>
            <w:r>
              <w:rPr>
                <w:b w:val="0"/>
                <w:i w:val="0"/>
                <w:color w:val="000000"/>
                <w:sz w:val="18"/>
              </w:rPr>
              <w:t>13</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744" w:type="dxa"/>
          </w:tcPr>
          <w:p>
            <w:pPr>
              <w:jc w:val="left"/>
            </w:pPr>
            <w:r>
              <w:rPr>
                <w:b w:val="0"/>
                <w:i w:val="0"/>
                <w:color w:val="000000"/>
                <w:sz w:val="18"/>
              </w:rPr>
              <w:t>RSO Tiger Retailer Campaign</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RSO</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Pr>
                <w:b w:val="0"/>
                <w:i w:val="0"/>
                <w:color w:val="000000"/>
                <w:sz w:val="18"/>
              </w:rPr>
              <w:t>22–23 Jun 2025</w:t>
            </w:r>
          </w:p>
        </w:tc>
      </w:tr>
      <w:tr>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03" w:type="dxa"/>
          </w:tcPr>
          <w:p>
            <w:pPr>
              <w:jc w:val="left"/>
            </w:pPr>
            <w:r>
              <w:rPr>
                <w:b w:val="0"/>
                <w:i w:val="0"/>
                <w:color w:val="000000"/>
                <w:sz w:val="18"/>
              </w:rPr>
              <w:t>14</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744" w:type="dxa"/>
          </w:tcPr>
          <w:p>
            <w:pPr>
              <w:jc w:val="left"/>
            </w:pPr>
            <w:r>
              <w:rPr>
                <w:b w:val="0"/>
                <w:i w:val="0"/>
                <w:color w:val="000000"/>
                <w:sz w:val="18"/>
              </w:rPr>
              <w:t>Retailer Banglalink Utsob</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Retailer</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Pr>
                <w:b w:val="0"/>
                <w:i w:val="0"/>
                <w:color w:val="000000"/>
                <w:sz w:val="18"/>
              </w:rPr>
              <w:t>11–30 Nov 2025</w:t>
            </w:r>
          </w:p>
        </w:tc>
      </w:tr>
      <w:tr>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03" w:type="dxa"/>
          </w:tcPr>
          <w:p>
            <w:pPr>
              <w:jc w:val="left"/>
            </w:pPr>
            <w:r>
              <w:rPr>
                <w:b w:val="0"/>
                <w:i w:val="0"/>
                <w:color w:val="000000"/>
                <w:sz w:val="18"/>
              </w:rPr>
              <w:t>15</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744" w:type="dxa"/>
          </w:tcPr>
          <w:p>
            <w:pPr>
              <w:jc w:val="left"/>
            </w:pPr>
            <w:r>
              <w:rPr>
                <w:b w:val="0"/>
                <w:i w:val="0"/>
                <w:color w:val="000000"/>
                <w:sz w:val="18"/>
              </w:rPr>
              <w:t>FWA Router Installation (Retailer)</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FWA Retailer</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Pr>
                <w:b w:val="0"/>
                <w:i w:val="0"/>
                <w:color w:val="000000"/>
                <w:sz w:val="18"/>
              </w:rPr>
              <w:t>From Sep 2025</w:t>
            </w:r>
          </w:p>
        </w:tc>
      </w:tr>
      <w:tr>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03" w:type="dxa"/>
          </w:tcPr>
          <w:p>
            <w:pPr>
              <w:jc w:val="left"/>
            </w:pPr>
            <w:r>
              <w:rPr>
                <w:b w:val="0"/>
                <w:i w:val="0"/>
                <w:color w:val="000000"/>
                <w:sz w:val="18"/>
              </w:rPr>
              <w:t>16</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744" w:type="dxa"/>
          </w:tcPr>
          <w:p>
            <w:pPr>
              <w:jc w:val="left"/>
            </w:pPr>
            <w:r>
              <w:rPr>
                <w:b w:val="0"/>
                <w:i w:val="0"/>
                <w:color w:val="000000"/>
                <w:sz w:val="18"/>
              </w:rPr>
              <w:t>FWA Router Installation (Monobrand)</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Monobrand Agent</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Pr>
                <w:b w:val="0"/>
                <w:i w:val="0"/>
                <w:color w:val="000000"/>
                <w:sz w:val="18"/>
              </w:rPr>
              <w:t>From Jan 2026</w:t>
            </w:r>
          </w:p>
        </w:tc>
      </w:tr>
      <w:tr>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03" w:type="dxa"/>
          </w:tcPr>
          <w:p>
            <w:pPr>
              <w:jc w:val="left"/>
            </w:pPr>
            <w:r>
              <w:rPr>
                <w:b w:val="0"/>
                <w:i w:val="0"/>
                <w:color w:val="000000"/>
                <w:sz w:val="18"/>
              </w:rPr>
              <w:t>17</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744" w:type="dxa"/>
          </w:tcPr>
          <w:p>
            <w:pPr>
              <w:jc w:val="left"/>
            </w:pPr>
            <w:r>
              <w:rPr>
                <w:b w:val="0"/>
                <w:i w:val="0"/>
                <w:color w:val="000000"/>
                <w:sz w:val="18"/>
              </w:rPr>
              <w:t>Monobrand CCR TOS Reward</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Monobrand CCR</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Pr>
                <w:b w:val="0"/>
                <w:i w:val="0"/>
                <w:color w:val="000000"/>
                <w:sz w:val="18"/>
              </w:rPr>
              <w:t>Sep–Oct 2025</w:t>
            </w:r>
          </w:p>
        </w:tc>
      </w:tr>
    </w:tbl>
    <w:p/>
    <w:p>
      <w:r>
        <w:br w:type="page"/>
      </w:r>
    </w:p>
    <w:p>
      <w:pPr>
        <w:spacing w:before="200" w:after="80"/>
      </w:pPr>
      <w:r>
        <w:rPr>
          <w:b/>
          <w:color w:val="1F4E79"/>
          <w:sz w:val="26"/>
          <w:u w:val="single"/>
        </w:rPr>
        <w:t>2. Device BP GA Campaign (BL Prepaid – Jul 2025)</w:t>
      </w:r>
    </w:p>
    <w:tbl>
      <w:tblPr>
        <w:tblStyle w:val="TableGrid"/>
        <w:tblW w:type="auto" w:w="0"/>
        <w:tblLook w:firstColumn="1" w:firstRow="1" w:lastColumn="0" w:lastRow="0" w:noHBand="0" w:noVBand="1" w:val="04A0"/>
        <w:tblW w:w="9360" w:type="dxa"/>
      </w:tblPr>
      <w:tblGrid>
        <w:gridCol w:w="3456"/>
        <w:gridCol w:w="5903"/>
      </w:tblGrid>
      <w:tblGrid>
        <w:gridCol w:w="4514"/>
        <w:gridCol w:w="4514"/>
      </w:tblGrid>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SRF Title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BL Prepaid_Campaign_Device_BP_July25</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Recipient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Device BP SSE</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Period</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01 Jul 2025 – 31 Jul 2025</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Product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BL Prepaid (new activation)</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Commission Type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Slab-based GA + conditional VLR attachment</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AIT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Not applicable (Sales Team exemption)</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ETSAF</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98% by 8th of following month</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Max Eligible GA</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100 GA cap per slab (even if achievement &gt;100 GA)</w:t>
            </w:r>
          </w:p>
        </w:tc>
      </w:tr>
    </w:tbl>
    <w:p/>
    <w:p>
      <w:pPr>
        <w:spacing w:before="120" w:after="80"/>
      </w:pPr>
      <w:r>
        <w:rPr>
          <w:b/>
          <w:color w:val="2E75B6"/>
          <w:sz w:val="22"/>
        </w:rPr>
        <w:t>Slab &amp; Commission Structure</w:t>
      </w:r>
    </w:p>
    <w:tbl>
      <w:tblPr>
        <w:tblStyle w:val="TableGrid"/>
        <w:tblW w:type="auto" w:w="0"/>
        <w:tblLook w:firstColumn="1" w:firstRow="1" w:lastColumn="0" w:lastRow="0" w:noHBand="0" w:noVBand="1" w:val="04A0"/>
        <w:tblW w:w="9360" w:type="dxa"/>
      </w:tblPr>
      <w:tblGrid>
        <w:gridCol w:w="1152"/>
        <w:gridCol w:w="3024"/>
        <w:gridCol w:w="2736"/>
        <w:gridCol w:w="2448"/>
      </w:tblGrid>
      <w:tblGrid>
        <w:gridCol w:w="2257"/>
        <w:gridCol w:w="2257"/>
        <w:gridCol w:w="2257"/>
        <w:gridCol w:w="2257"/>
      </w:tblGrid>
      <w:tr>
        <w:tc>
          <w:tcPr>
            <w:tcW w:type="dxa" w:w="2257"/>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152" w:type="dxa"/>
          </w:tcPr>
          <w:p>
            <w:pPr>
              <w:jc w:val="center"/>
            </w:pPr>
            <w:r>
              <w:rPr>
                <w:b/>
                <w:i w:val="0"/>
                <w:color w:val="FFFFFF"/>
                <w:sz w:val="18"/>
              </w:rPr>
              <w:t>Slab</w:t>
            </w:r>
          </w:p>
        </w:tc>
        <w:tc>
          <w:tcPr>
            <w:tcW w:type="dxa" w:w="2257"/>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024" w:type="dxa"/>
          </w:tcPr>
          <w:p>
            <w:pPr>
              <w:jc w:val="center"/>
            </w:pPr>
            <w:r>
              <w:rPr>
                <w:b/>
                <w:i w:val="0"/>
                <w:color w:val="FFFFFF"/>
                <w:sz w:val="18"/>
              </w:rPr>
              <w:t>GA Achievement vs Target</w:t>
            </w:r>
          </w:p>
        </w:tc>
        <w:tc>
          <w:tcPr>
            <w:tcW w:type="dxa" w:w="2257"/>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736" w:type="dxa"/>
          </w:tcPr>
          <w:p>
            <w:pPr>
              <w:jc w:val="center"/>
            </w:pPr>
            <w:r>
              <w:rPr>
                <w:b/>
                <w:i w:val="0"/>
                <w:color w:val="FFFFFF"/>
                <w:sz w:val="18"/>
              </w:rPr>
              <w:t>VLR Attachment Gate</w:t>
            </w:r>
          </w:p>
        </w:tc>
        <w:tc>
          <w:tcPr>
            <w:tcW w:type="dxa" w:w="2257"/>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448" w:type="dxa"/>
          </w:tcPr>
          <w:p>
            <w:pPr>
              <w:jc w:val="center"/>
            </w:pPr>
            <w:r>
              <w:rPr>
                <w:b/>
                <w:i w:val="0"/>
                <w:color w:val="FFFFFF"/>
                <w:sz w:val="18"/>
              </w:rPr>
              <w:t>Commission</w:t>
            </w:r>
          </w:p>
        </w:tc>
      </w:tr>
      <w:tr>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Slab 1</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&gt;=90%</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Pr>
                <w:b w:val="0"/>
                <w:i w:val="0"/>
                <w:color w:val="000000"/>
                <w:sz w:val="18"/>
              </w:rPr>
              <w:t>&gt;=90%</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Pr>
                <w:b w:val="0"/>
                <w:i w:val="0"/>
                <w:color w:val="000000"/>
                <w:sz w:val="18"/>
              </w:rPr>
              <w:t>BDT 20/Activation</w:t>
            </w:r>
          </w:p>
        </w:tc>
      </w:tr>
      <w:tr>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Slab 2</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&gt;90% to &lt;=95%</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Pr>
                <w:b w:val="0"/>
                <w:i w:val="0"/>
                <w:color w:val="000000"/>
                <w:sz w:val="18"/>
              </w:rPr>
              <w:t>&gt;=90%</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Pr>
                <w:b w:val="0"/>
                <w:i w:val="0"/>
                <w:color w:val="000000"/>
                <w:sz w:val="18"/>
              </w:rPr>
              <w:t>BDT 30/Activation</w:t>
            </w:r>
          </w:p>
        </w:tc>
      </w:tr>
      <w:tr>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Slab 3</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Pr>
                <w:b w:val="0"/>
                <w:i w:val="0"/>
                <w:color w:val="000000"/>
                <w:sz w:val="18"/>
              </w:rPr>
              <w:t>&gt;95%</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Pr>
                <w:b w:val="0"/>
                <w:i w:val="0"/>
                <w:color w:val="000000"/>
                <w:sz w:val="18"/>
              </w:rPr>
              <w:t>&gt;=95%</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Pr>
                <w:b w:val="0"/>
                <w:i w:val="0"/>
                <w:color w:val="000000"/>
                <w:sz w:val="18"/>
              </w:rPr>
              <w:t>BDT 40/Activation</w:t>
            </w:r>
          </w:p>
        </w:tc>
      </w:tr>
    </w:tbl>
    <w:p/>
    <w:p>
      <w:pPr>
        <w:spacing w:before="120" w:after="80"/>
      </w:pPr>
      <w:r>
        <w:rPr>
          <w:b/>
          <w:color w:val="2E75B6"/>
          <w:sz w:val="22"/>
        </w:rPr>
        <w:t>Key Conditions</w:t>
      </w:r>
    </w:p>
    <w:tbl>
      <w:tblPr>
        <w:tblStyle w:val="TableGrid"/>
        <w:tblW w:type="auto" w:w="0"/>
        <w:tblLook w:firstColumn="1" w:firstRow="1" w:lastColumn="0" w:lastRow="0" w:noHBand="0" w:noVBand="1" w:val="04A0"/>
        <w:tblW w:w="9360" w:type="dxa"/>
      </w:tblPr>
      <w:tblGrid>
        <w:gridCol w:w="3168"/>
        <w:gridCol w:w="6192"/>
      </w:tblGrid>
      <w:tblGrid>
        <w:gridCol w:w="4514"/>
        <w:gridCol w:w="4514"/>
      </w:tblGrid>
      <w:tr>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168" w:type="dxa"/>
          </w:tcPr>
          <w:p>
            <w:pPr>
              <w:jc w:val="center"/>
            </w:pPr>
            <w:r>
              <w:rPr>
                <w:b/>
                <w:i w:val="0"/>
                <w:color w:val="FFFFFF"/>
                <w:sz w:val="18"/>
              </w:rPr>
              <w:t>Condition</w:t>
            </w:r>
          </w:p>
        </w:tc>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6192" w:type="dxa"/>
          </w:tcPr>
          <w:p>
            <w:pPr>
              <w:jc w:val="center"/>
            </w:pPr>
            <w:r>
              <w:rPr>
                <w:b/>
                <w:i w:val="0"/>
                <w:color w:val="FFFFFF"/>
                <w:sz w:val="18"/>
              </w:rPr>
              <w:t>Detail</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Pr>
                <w:b w:val="0"/>
                <w:i w:val="0"/>
                <w:color w:val="000000"/>
                <w:sz w:val="18"/>
              </w:rPr>
              <w:t>GA Definition</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192" w:type="dxa"/>
          </w:tcPr>
          <w:p>
            <w:pPr>
              <w:jc w:val="left"/>
            </w:pPr>
            <w:r>
              <w:rPr>
                <w:b w:val="0"/>
                <w:i w:val="0"/>
                <w:color w:val="000000"/>
                <w:sz w:val="18"/>
              </w:rPr>
              <w:t>Successful BL Prepaid Activation (FCD) from listed Device BPs</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Pr>
                <w:b w:val="0"/>
                <w:i w:val="0"/>
                <w:color w:val="000000"/>
                <w:sz w:val="18"/>
              </w:rPr>
              <w:t>VLR Data Source</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192" w:type="dxa"/>
          </w:tcPr>
          <w:p>
            <w:pPr>
              <w:jc w:val="left"/>
            </w:pPr>
            <w:r>
              <w:rPr>
                <w:b w:val="0"/>
                <w:i w:val="0"/>
                <w:color w:val="000000"/>
                <w:sz w:val="18"/>
              </w:rPr>
              <w:t>Activation detail + VLR Attachment data shared by user team</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Pr>
                <w:b w:val="0"/>
                <w:i w:val="0"/>
                <w:color w:val="000000"/>
                <w:sz w:val="18"/>
              </w:rPr>
              <w:t>Agent Scope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192" w:type="dxa"/>
          </w:tcPr>
          <w:p>
            <w:pPr>
              <w:jc w:val="left"/>
            </w:pPr>
            <w:r>
              <w:rPr>
                <w:b w:val="0"/>
                <w:i w:val="0"/>
                <w:color w:val="000000"/>
                <w:sz w:val="18"/>
              </w:rPr>
              <w:t>Only listed Device BPs with respective Retailer Code eligible</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Pr>
                <w:b w:val="0"/>
                <w:i w:val="0"/>
                <w:color w:val="000000"/>
                <w:sz w:val="18"/>
              </w:rPr>
              <w:t>Rounding</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192" w:type="dxa"/>
          </w:tcPr>
          <w:p>
            <w:pPr>
              <w:jc w:val="left"/>
            </w:pPr>
            <w:r>
              <w:rPr>
                <w:b w:val="0"/>
                <w:i w:val="0"/>
                <w:color w:val="000000"/>
                <w:sz w:val="18"/>
              </w:rPr>
              <w:t>General mathematical rounding: &lt;0.5 round down, &gt;=0.5 round up</w:t>
            </w:r>
          </w:p>
        </w:tc>
      </w:tr>
    </w:tbl>
    <w:p/>
    <w:p>
      <w:r>
        <w:br w:type="page"/>
      </w:r>
    </w:p>
    <w:p>
      <w:pPr>
        <w:spacing w:before="200" w:after="80"/>
      </w:pPr>
      <w:r>
        <w:rPr>
          <w:b/>
          <w:color w:val="1F4E79"/>
          <w:sz w:val="26"/>
          <w:u w:val="single"/>
        </w:rPr>
        <w:t>3. BDSMARTPAY Recharge Commission (Apr–May 2025)</w:t>
      </w:r>
    </w:p>
    <w:tbl>
      <w:tblPr>
        <w:tblStyle w:val="TableGrid"/>
        <w:tblW w:type="auto" w:w="0"/>
        <w:tblLook w:firstColumn="1" w:firstRow="1" w:lastColumn="0" w:lastRow="0" w:noHBand="0" w:noVBand="1" w:val="04A0"/>
        <w:tblW w:w="9360" w:type="dxa"/>
      </w:tblPr>
      <w:tblGrid>
        <w:gridCol w:w="3456"/>
        <w:gridCol w:w="5903"/>
      </w:tblGrid>
      <w:tblGrid>
        <w:gridCol w:w="4514"/>
        <w:gridCol w:w="4514"/>
      </w:tblGrid>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SRF Title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Commission for BDSMayTPAY on total recharge 17 Apr–31 May25</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Recipient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Digital Distributor – BDSMARTPAY LIMITED</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Period</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17 Apr 2025 – 31 May 2025 (Ad-hoc)</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Product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Prepaid + Postpaid recharge (I-TOP/EV)</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Commission Rate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1% of total recharge amount during campaign period</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Recharge Target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BDT 3,420,000</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Maximum Cap</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BDT 35,000 total commission ceiling</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Eligible MSISDN</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Retailer EV MSISDN: 1409919129 (BDSMARTPAY)</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Recharge Type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Valid recharge = EV / I-TOP (retailer to subscriber, not lifting)</w:t>
            </w:r>
          </w:p>
        </w:tc>
      </w:tr>
    </w:tbl>
    <w:p/>
    <w:p>
      <w:pPr>
        <w:spacing w:before="120" w:after="80"/>
      </w:pPr>
      <w:r>
        <w:rPr>
          <w:b/>
          <w:color w:val="2E75B6"/>
          <w:sz w:val="22"/>
        </w:rPr>
        <w:t>Key Conditions</w:t>
      </w:r>
    </w:p>
    <w:tbl>
      <w:tblPr>
        <w:tblStyle w:val="TableGrid"/>
        <w:tblW w:type="auto" w:w="0"/>
        <w:tblLook w:firstColumn="1" w:firstRow="1" w:lastColumn="0" w:lastRow="0" w:noHBand="0" w:noVBand="1" w:val="04A0"/>
        <w:tblW w:w="9360" w:type="dxa"/>
      </w:tblPr>
      <w:tblGrid>
        <w:gridCol w:w="3168"/>
        <w:gridCol w:w="6192"/>
      </w:tblGrid>
      <w:tblGrid>
        <w:gridCol w:w="4514"/>
        <w:gridCol w:w="4514"/>
      </w:tblGrid>
      <w:tr>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168" w:type="dxa"/>
          </w:tcPr>
          <w:p>
            <w:pPr>
              <w:jc w:val="center"/>
            </w:pPr>
            <w:r>
              <w:rPr>
                <w:b/>
                <w:i w:val="0"/>
                <w:color w:val="FFFFFF"/>
                <w:sz w:val="18"/>
              </w:rPr>
              <w:t>Condition</w:t>
            </w:r>
          </w:p>
        </w:tc>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6192" w:type="dxa"/>
          </w:tcPr>
          <w:p>
            <w:pPr>
              <w:jc w:val="center"/>
            </w:pPr>
            <w:r>
              <w:rPr>
                <w:b/>
                <w:i w:val="0"/>
                <w:color w:val="FFFFFF"/>
                <w:sz w:val="18"/>
              </w:rPr>
              <w:t>Detail</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Pr>
                <w:b w:val="0"/>
                <w:i w:val="0"/>
                <w:color w:val="000000"/>
                <w:sz w:val="18"/>
              </w:rPr>
              <w:t>I-Top Sales</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192" w:type="dxa"/>
          </w:tcPr>
          <w:p>
            <w:pPr>
              <w:jc w:val="left"/>
            </w:pPr>
            <w:r>
              <w:rPr>
                <w:b w:val="0"/>
                <w:i w:val="0"/>
                <w:color w:val="000000"/>
                <w:sz w:val="18"/>
              </w:rPr>
              <w:t>Means sales to end customer; NOT lifting</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Pr>
                <w:b w:val="0"/>
                <w:i w:val="0"/>
                <w:color w:val="000000"/>
                <w:sz w:val="18"/>
              </w:rPr>
              <w:t>Max Cap</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192" w:type="dxa"/>
          </w:tcPr>
          <w:p>
            <w:pPr>
              <w:jc w:val="left"/>
            </w:pPr>
            <w:r>
              <w:rPr>
                <w:b w:val="0"/>
                <w:i w:val="0"/>
                <w:color w:val="000000"/>
                <w:sz w:val="18"/>
              </w:rPr>
              <w:t>Total commission capped at BDT 35,000 regardless of achievement</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Pr>
                <w:b w:val="0"/>
                <w:i w:val="0"/>
                <w:color w:val="000000"/>
                <w:sz w:val="18"/>
              </w:rPr>
              <w:t>Source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192" w:type="dxa"/>
          </w:tcPr>
          <w:p>
            <w:pPr>
              <w:jc w:val="left"/>
            </w:pPr>
            <w:r>
              <w:rPr>
                <w:b w:val="0"/>
                <w:i w:val="0"/>
                <w:color w:val="000000"/>
                <w:sz w:val="18"/>
              </w:rPr>
              <w:t>EV Platform data (IT SC)</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Pr>
                <w:b w:val="0"/>
                <w:i w:val="0"/>
                <w:color w:val="000000"/>
                <w:sz w:val="18"/>
              </w:rPr>
              <w:t>Maturity Date</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192" w:type="dxa"/>
          </w:tcPr>
          <w:p>
            <w:pPr>
              <w:jc w:val="left"/>
            </w:pPr>
            <w:r>
              <w:rPr>
                <w:b w:val="0"/>
                <w:i w:val="0"/>
                <w:color w:val="000000"/>
                <w:sz w:val="18"/>
              </w:rPr>
              <w:t>1 June 2025</w:t>
            </w:r>
          </w:p>
        </w:tc>
      </w:tr>
    </w:tbl>
    <w:p/>
    <w:p>
      <w:r>
        <w:br w:type="page"/>
      </w:r>
    </w:p>
    <w:p>
      <w:pPr>
        <w:spacing w:before="200" w:after="80"/>
      </w:pPr>
      <w:r>
        <w:rPr>
          <w:b/>
          <w:color w:val="1F4E79"/>
          <w:sz w:val="26"/>
          <w:u w:val="single"/>
        </w:rPr>
        <w:t>4. DD Weekly EV Secondary Campaign (Feb 2026)</w:t>
      </w:r>
    </w:p>
    <w:tbl>
      <w:tblPr>
        <w:tblStyle w:val="TableGrid"/>
        <w:tblW w:type="auto" w:w="0"/>
        <w:tblLook w:firstColumn="1" w:firstRow="1" w:lastColumn="0" w:lastRow="0" w:noHBand="0" w:noVBand="1" w:val="04A0"/>
        <w:tblW w:w="9360" w:type="dxa"/>
      </w:tblPr>
      <w:tblGrid>
        <w:gridCol w:w="3456"/>
        <w:gridCol w:w="5903"/>
      </w:tblGrid>
      <w:tblGrid>
        <w:gridCol w:w="4514"/>
        <w:gridCol w:w="4514"/>
      </w:tblGrid>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SRFs</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DD Weekly Secondary Campaign – 17–21 Feb26 (5 days) | 22–28 Feb26 (7 days)</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Recipient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Distributor (DD, DM, RSO Supervisor, RSO of winning DD)</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Product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EV Secondary – C2C recharge (SR→Retailer R2RT, D2RT, SUD12AGENT)</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Mechanism</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Hit or Miss – only &gt;=100% achievement considered</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Target Source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B2C will share DD-wise recharge target and incentive amount</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Agent List Date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Last day of campaign (21 Feb / 28 Feb)</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DRC</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DRC Achievement excluded</w:t>
            </w:r>
          </w:p>
        </w:tc>
      </w:tr>
    </w:tbl>
    <w:p/>
    <w:p>
      <w:pPr>
        <w:spacing w:before="120" w:after="80"/>
      </w:pPr>
      <w:r>
        <w:rPr>
          <w:b/>
          <w:color w:val="2E75B6"/>
          <w:sz w:val="22"/>
        </w:rPr>
        <w:t>Recharge Scope (EV Secondary C2C)</w:t>
      </w:r>
    </w:p>
    <w:tbl>
      <w:tblPr>
        <w:tblStyle w:val="TableGrid"/>
        <w:tblW w:type="auto" w:w="0"/>
        <w:tblLook w:firstColumn="1" w:firstRow="1" w:lastColumn="0" w:lastRow="0" w:noHBand="0" w:noVBand="1" w:val="04A0"/>
        <w:tblW w:w="9360" w:type="dxa"/>
      </w:tblPr>
      <w:tblGrid>
        <w:gridCol w:w="4752"/>
        <w:gridCol w:w="4608"/>
      </w:tblGrid>
      <w:tblGrid>
        <w:gridCol w:w="4514"/>
        <w:gridCol w:w="4514"/>
      </w:tblGrid>
      <w:tr>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4752" w:type="dxa"/>
          </w:tcPr>
          <w:p>
            <w:pPr>
              <w:jc w:val="center"/>
            </w:pPr>
            <w:r>
              <w:rPr>
                <w:b/>
                <w:i w:val="0"/>
                <w:color w:val="FFFFFF"/>
                <w:sz w:val="18"/>
              </w:rPr>
              <w:t>Component</w:t>
            </w:r>
          </w:p>
        </w:tc>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4608" w:type="dxa"/>
          </w:tcPr>
          <w:p>
            <w:pPr>
              <w:jc w:val="center"/>
            </w:pPr>
            <w:r>
              <w:rPr>
                <w:b/>
                <w:i w:val="0"/>
                <w:color w:val="FFFFFF"/>
                <w:sz w:val="18"/>
              </w:rPr>
              <w:t>Included</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752" w:type="dxa"/>
          </w:tcPr>
          <w:p>
            <w:pPr>
              <w:jc w:val="left"/>
            </w:pPr>
            <w:r>
              <w:rPr>
                <w:b w:val="0"/>
                <w:i w:val="0"/>
                <w:color w:val="000000"/>
                <w:sz w:val="18"/>
              </w:rPr>
              <w:t>R2RT (SR to Retailer)</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608" w:type="dxa"/>
          </w:tcPr>
          <w:p>
            <w:pPr>
              <w:jc w:val="left"/>
            </w:pPr>
            <w:r>
              <w:rPr>
                <w:b w:val="0"/>
                <w:i w:val="0"/>
                <w:color w:val="000000"/>
                <w:sz w:val="18"/>
              </w:rPr>
              <w:t>Yes</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752" w:type="dxa"/>
          </w:tcPr>
          <w:p>
            <w:pPr>
              <w:jc w:val="left"/>
            </w:pPr>
            <w:r>
              <w:rPr>
                <w:b w:val="0"/>
                <w:i w:val="0"/>
                <w:color w:val="000000"/>
                <w:sz w:val="18"/>
              </w:rPr>
              <w:t>D2RT (Distributor to Retailer)</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608" w:type="dxa"/>
          </w:tcPr>
          <w:p>
            <w:pPr>
              <w:jc w:val="left"/>
            </w:pPr>
            <w:r>
              <w:rPr>
                <w:b w:val="0"/>
                <w:i w:val="0"/>
                <w:color w:val="000000"/>
                <w:sz w:val="18"/>
              </w:rPr>
              <w:t>Yes</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752" w:type="dxa"/>
          </w:tcPr>
          <w:p>
            <w:pPr>
              <w:jc w:val="left"/>
            </w:pPr>
            <w:r>
              <w:rPr>
                <w:b w:val="0"/>
                <w:i w:val="0"/>
                <w:color w:val="000000"/>
                <w:sz w:val="18"/>
              </w:rPr>
              <w:t>SUD12AGENT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608" w:type="dxa"/>
          </w:tcPr>
          <w:p>
            <w:pPr>
              <w:jc w:val="left"/>
            </w:pPr>
            <w:r>
              <w:rPr>
                <w:b w:val="0"/>
                <w:i w:val="0"/>
                <w:color w:val="000000"/>
                <w:sz w:val="18"/>
              </w:rPr>
              <w:t>Yes</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752" w:type="dxa"/>
          </w:tcPr>
          <w:p>
            <w:pPr>
              <w:jc w:val="left"/>
            </w:pPr>
            <w:r>
              <w:rPr>
                <w:b w:val="0"/>
                <w:i w:val="0"/>
                <w:color w:val="000000"/>
                <w:sz w:val="18"/>
              </w:rPr>
              <w:t>DTR (Manual + Daily Commission)</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608" w:type="dxa"/>
          </w:tcPr>
          <w:p>
            <w:pPr>
              <w:jc w:val="left"/>
            </w:pPr>
            <w:r>
              <w:rPr>
                <w:b w:val="0"/>
                <w:i w:val="0"/>
                <w:color w:val="000000"/>
                <w:sz w:val="18"/>
              </w:rPr>
              <w:t>Yes (as usual Salescom process)</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752" w:type="dxa"/>
          </w:tcPr>
          <w:p>
            <w:pPr>
              <w:jc w:val="left"/>
            </w:pPr>
            <w:r>
              <w:rPr>
                <w:b w:val="0"/>
                <w:i w:val="0"/>
                <w:color w:val="000000"/>
                <w:sz w:val="18"/>
              </w:rPr>
              <w:t>EV OTF</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608" w:type="dxa"/>
          </w:tcPr>
          <w:p>
            <w:pPr>
              <w:jc w:val="left"/>
            </w:pPr>
            <w:r>
              <w:rPr>
                <w:b w:val="0"/>
                <w:i w:val="0"/>
                <w:color w:val="000000"/>
                <w:sz w:val="18"/>
              </w:rPr>
              <w:t>Yes</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752" w:type="dxa"/>
          </w:tcPr>
          <w:p>
            <w:pPr>
              <w:jc w:val="left"/>
            </w:pPr>
            <w:r>
              <w:rPr>
                <w:b w:val="0"/>
                <w:i w:val="0"/>
                <w:color w:val="000000"/>
                <w:sz w:val="18"/>
              </w:rPr>
              <w:t>IRIS OTF</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608" w:type="dxa"/>
          </w:tcPr>
          <w:p>
            <w:pPr>
              <w:jc w:val="left"/>
            </w:pPr>
            <w:r>
              <w:rPr>
                <w:b w:val="0"/>
                <w:i w:val="0"/>
                <w:color w:val="000000"/>
                <w:sz w:val="18"/>
              </w:rPr>
              <w:t>Yes</w:t>
            </w:r>
          </w:p>
        </w:tc>
      </w:tr>
      <w:tr>
        <w:tc>
          <w:tcPr>
            <w:tcW w:type="dxa" w:w="4514"/>
            <w:shd w:val="clear" w:color="auto" w:fill="FCE4D6"/>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752" w:type="dxa"/>
          </w:tcPr>
          <w:p>
            <w:pPr>
              <w:jc w:val="left"/>
            </w:pPr>
            <w:r>
              <w:rPr>
                <w:b w:val="0"/>
                <w:i w:val="0"/>
                <w:color w:val="000000"/>
                <w:sz w:val="18"/>
              </w:rPr>
              <w:t>DRC Achievement</w:t>
            </w:r>
          </w:p>
        </w:tc>
        <w:tc>
          <w:tcPr>
            <w:tcW w:type="dxa" w:w="4514"/>
            <w:shd w:val="clear" w:color="auto" w:fill="FCE4D6"/>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608" w:type="dxa"/>
          </w:tcPr>
          <w:p>
            <w:pPr>
              <w:jc w:val="left"/>
            </w:pPr>
            <w:r>
              <w:rPr>
                <w:b w:val="0"/>
                <w:i w:val="0"/>
                <w:color w:val="000000"/>
                <w:sz w:val="18"/>
              </w:rPr>
              <w:t>EXCLUDED</w:t>
            </w:r>
          </w:p>
        </w:tc>
      </w:tr>
    </w:tbl>
    <w:p/>
    <w:p>
      <w:pPr>
        <w:spacing w:before="120" w:after="80"/>
      </w:pPr>
      <w:r>
        <w:rPr>
          <w:b/>
          <w:color w:val="2E75B6"/>
          <w:sz w:val="22"/>
        </w:rPr>
        <w:t>Eligibility Cascade on Winning</w:t>
      </w:r>
    </w:p>
    <w:p>
      <w:r>
        <w:rPr>
          <w:sz w:val="20"/>
        </w:rPr>
        <w:t>When a DD achieves &gt;=100% of the 5-day (or 7-day) C2C target, the following recipients become eligible for incentive: DD, DM (DD Manager), RSO Supervisor, and RSO of that winning DD.</w:t>
      </w:r>
    </w:p>
    <w:p>
      <w:pPr>
        <w:spacing w:before="40" w:after="40"/>
        <w:ind w:left="432"/>
      </w:pPr>
      <w:r>
        <w:rPr>
          <w:i/>
          <w:color w:val="595959"/>
          <w:sz w:val="17"/>
        </w:rPr>
        <w:t>Note: Both SRFs (17–21 Feb and 22–28 Feb) share identical conditions apart from campaign duration (5 vs 7 days) and agent list date.</w:t>
      </w:r>
    </w:p>
    <w:p>
      <w:r>
        <w:br w:type="page"/>
      </w:r>
    </w:p>
    <w:p>
      <w:pPr>
        <w:spacing w:before="200" w:after="80"/>
      </w:pPr>
      <w:r>
        <w:rPr>
          <w:b/>
          <w:color w:val="1F4E79"/>
          <w:sz w:val="26"/>
          <w:u w:val="single"/>
        </w:rPr>
        <w:t>5. DD Weekly EV Tertiary Campaign (Feb 2026)</w:t>
      </w:r>
    </w:p>
    <w:tbl>
      <w:tblPr>
        <w:tblStyle w:val="TableGrid"/>
        <w:tblW w:type="auto" w:w="0"/>
        <w:tblLook w:firstColumn="1" w:firstRow="1" w:lastColumn="0" w:lastRow="0" w:noHBand="0" w:noVBand="1" w:val="04A0"/>
        <w:tblW w:w="9360" w:type="dxa"/>
      </w:tblPr>
      <w:tblGrid>
        <w:gridCol w:w="3456"/>
        <w:gridCol w:w="5903"/>
      </w:tblGrid>
      <w:tblGrid>
        <w:gridCol w:w="4514"/>
        <w:gridCol w:w="4514"/>
      </w:tblGrid>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SRFs</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DD Weekly Tertiary Campaign – 17–21 Feb26 (5 days) | 22–28 Feb26 (7 days)</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Recipient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Distributor (DD, DM, RSO Supervisor, RSO of winning DD)</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Product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EV Tertiary – C2S recharge (Recharge to Customer)</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Mechanism</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Hit or Miss – only &gt;=100% achievement considered</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Target Source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B2C will share DD-wise recharge target and incentive amount</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Agent List Date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Last day of campaign (21 Feb / 28 Feb)</w:t>
            </w:r>
          </w:p>
        </w:tc>
      </w:tr>
    </w:tbl>
    <w:p/>
    <w:p>
      <w:pPr>
        <w:spacing w:before="120" w:after="80"/>
      </w:pPr>
      <w:r>
        <w:rPr>
          <w:b/>
          <w:color w:val="2E75B6"/>
          <w:sz w:val="22"/>
        </w:rPr>
        <w:t>Key Distinction vs Secondary Campaign</w:t>
      </w:r>
    </w:p>
    <w:tbl>
      <w:tblPr>
        <w:tblStyle w:val="TableGrid"/>
        <w:tblW w:type="auto" w:w="0"/>
        <w:tblLook w:firstColumn="1" w:firstRow="1" w:lastColumn="0" w:lastRow="0" w:noHBand="0" w:noVBand="1" w:val="04A0"/>
        <w:tblW w:w="9360" w:type="dxa"/>
      </w:tblPr>
      <w:tblGrid>
        <w:gridCol w:w="2592"/>
        <w:gridCol w:w="3384"/>
        <w:gridCol w:w="3384"/>
      </w:tblGrid>
      <w:tblGrid>
        <w:gridCol w:w="3010"/>
        <w:gridCol w:w="3010"/>
        <w:gridCol w:w="3010"/>
      </w:tblGrid>
      <w:tr>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592" w:type="dxa"/>
          </w:tcPr>
          <w:p>
            <w:pPr>
              <w:jc w:val="center"/>
            </w:pPr>
            <w:r>
              <w:rPr>
                <w:b/>
                <w:i w:val="0"/>
                <w:color w:val="FFFFFF"/>
                <w:sz w:val="18"/>
              </w:rPr>
              <w:t>Dimension</w:t>
            </w:r>
          </w:p>
        </w:tc>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384" w:type="dxa"/>
          </w:tcPr>
          <w:p>
            <w:pPr>
              <w:jc w:val="center"/>
            </w:pPr>
            <w:r>
              <w:rPr>
                <w:b/>
                <w:i w:val="0"/>
                <w:color w:val="FFFFFF"/>
                <w:sz w:val="18"/>
              </w:rPr>
              <w:t>EV Secondary (Sec 4)</w:t>
            </w:r>
          </w:p>
        </w:tc>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384" w:type="dxa"/>
          </w:tcPr>
          <w:p>
            <w:pPr>
              <w:jc w:val="center"/>
            </w:pPr>
            <w:r>
              <w:rPr>
                <w:b/>
                <w:i w:val="0"/>
                <w:color w:val="FFFFFF"/>
                <w:sz w:val="18"/>
              </w:rPr>
              <w:t>EV Tertiary (Sec 5)</w:t>
            </w:r>
          </w:p>
        </w:tc>
      </w:tr>
      <w:tr>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Flow</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C2C – SR/DD to Retailer</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C2S – Retailer to Customer</w:t>
            </w:r>
          </w:p>
        </w:tc>
      </w:tr>
      <w:tr>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SUD12AGENT</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Included</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Not explicitly mentioned</w:t>
            </w:r>
          </w:p>
        </w:tc>
      </w:tr>
      <w:tr>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DRC</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Excluded</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Not mentioned</w:t>
            </w:r>
          </w:p>
        </w:tc>
      </w:tr>
    </w:tbl>
    <w:p/>
    <w:p>
      <w:pPr>
        <w:spacing w:before="40" w:after="40"/>
        <w:ind w:left="432"/>
      </w:pPr>
      <w:r>
        <w:rPr>
          <w:i/>
          <w:color w:val="595959"/>
          <w:sz w:val="17"/>
        </w:rPr>
        <w:t>Note: Both Tertiary SRFs (17–21 and 22–28 Feb) are structurally identical; only campaign duration differs.</w:t>
      </w:r>
    </w:p>
    <w:p>
      <w:r>
        <w:br w:type="page"/>
      </w:r>
    </w:p>
    <w:p>
      <w:pPr>
        <w:spacing w:before="200" w:after="80"/>
      </w:pPr>
      <w:r>
        <w:rPr>
          <w:b/>
          <w:color w:val="1F4E79"/>
          <w:sz w:val="26"/>
          <w:u w:val="single"/>
        </w:rPr>
        <w:t>6. Distributor Multi-KPI Sprint Accelerate (Apr 2025)</w:t>
      </w:r>
    </w:p>
    <w:tbl>
      <w:tblPr>
        <w:tblStyle w:val="TableGrid"/>
        <w:tblW w:type="auto" w:w="0"/>
        <w:tblLook w:firstColumn="1" w:firstRow="1" w:lastColumn="0" w:lastRow="0" w:noHBand="0" w:noVBand="1" w:val="04A0"/>
        <w:tblW w:w="9360" w:type="dxa"/>
      </w:tblPr>
      <w:tblGrid>
        <w:gridCol w:w="3456"/>
        <w:gridCol w:w="5903"/>
      </w:tblGrid>
      <w:tblGrid>
        <w:gridCol w:w="4514"/>
        <w:gridCol w:w="4514"/>
      </w:tblGrid>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SRF Title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Distributor Sprint Accelerate_Central Cluster_GAZ Region_13–30 Apr25</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Recipient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Distributor</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Period</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13 Apr 2025 – 30 Apr 2025</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Scope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Central Cluster + Gazipur (GAZ) Region</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RDB</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Month-end RDB (Apr25) considered</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KPI Variation</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KPI and weightage may vary from DD to DD (B2C shares targets in separate Excel)</w:t>
            </w:r>
          </w:p>
        </w:tc>
      </w:tr>
    </w:tbl>
    <w:p/>
    <w:p>
      <w:pPr>
        <w:spacing w:before="120" w:after="80"/>
      </w:pPr>
      <w:r>
        <w:rPr>
          <w:b/>
          <w:color w:val="2E75B6"/>
          <w:sz w:val="22"/>
        </w:rPr>
        <w:t>KPI Set Included</w:t>
      </w:r>
    </w:p>
    <w:tbl>
      <w:tblPr>
        <w:tblStyle w:val="TableGrid"/>
        <w:tblW w:type="auto" w:w="0"/>
        <w:tblLook w:firstColumn="1" w:firstRow="1" w:lastColumn="0" w:lastRow="0" w:noHBand="0" w:noVBand="1" w:val="04A0"/>
        <w:tblW w:w="9360" w:type="dxa"/>
      </w:tblPr>
      <w:tblGrid>
        <w:gridCol w:w="3168"/>
        <w:gridCol w:w="6192"/>
      </w:tblGrid>
      <w:tblGrid>
        <w:gridCol w:w="4514"/>
        <w:gridCol w:w="4514"/>
      </w:tblGrid>
      <w:tr>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168" w:type="dxa"/>
          </w:tcPr>
          <w:p>
            <w:pPr>
              <w:jc w:val="center"/>
            </w:pPr>
            <w:r>
              <w:rPr>
                <w:b/>
                <w:i w:val="0"/>
                <w:color w:val="FFFFFF"/>
                <w:sz w:val="18"/>
              </w:rPr>
              <w:t>KPI</w:t>
            </w:r>
          </w:p>
        </w:tc>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6192" w:type="dxa"/>
          </w:tcPr>
          <w:p>
            <w:pPr>
              <w:jc w:val="center"/>
            </w:pPr>
            <w:r>
              <w:rPr>
                <w:b/>
                <w:i w:val="0"/>
                <w:color w:val="FFFFFF"/>
                <w:sz w:val="18"/>
              </w:rPr>
              <w:t>Description</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Pr>
                <w:b w:val="0"/>
                <w:i w:val="0"/>
                <w:color w:val="000000"/>
                <w:sz w:val="18"/>
              </w:rPr>
              <w:t>EV Secondary</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192" w:type="dxa"/>
          </w:tcPr>
          <w:p>
            <w:pPr>
              <w:jc w:val="left"/>
            </w:pPr>
            <w:r>
              <w:rPr>
                <w:b w:val="0"/>
                <w:i w:val="0"/>
                <w:color w:val="000000"/>
                <w:sz w:val="18"/>
              </w:rPr>
              <w:t>C2C recharge (DRC excluded)</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Pr>
                <w:b w:val="0"/>
                <w:i w:val="0"/>
                <w:color w:val="000000"/>
                <w:sz w:val="18"/>
              </w:rPr>
              <w:t>SC Primary</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192" w:type="dxa"/>
          </w:tcPr>
          <w:p>
            <w:pPr>
              <w:jc w:val="left"/>
            </w:pPr>
            <w:r>
              <w:rPr>
                <w:b w:val="0"/>
                <w:i w:val="0"/>
                <w:color w:val="000000"/>
                <w:sz w:val="18"/>
              </w:rPr>
              <w:t>SIM Card primary lifting</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Pr>
                <w:b w:val="0"/>
                <w:i w:val="0"/>
                <w:color w:val="000000"/>
                <w:sz w:val="18"/>
              </w:rPr>
              <w:t>Recharge (EV+SC)</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192" w:type="dxa"/>
          </w:tcPr>
          <w:p>
            <w:pPr>
              <w:jc w:val="left"/>
            </w:pPr>
            <w:r>
              <w:rPr>
                <w:b w:val="0"/>
                <w:i w:val="0"/>
                <w:color w:val="000000"/>
                <w:sz w:val="18"/>
              </w:rPr>
              <w:t>Combined EV and SC recharge</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Pr>
                <w:b w:val="0"/>
                <w:i w:val="0"/>
                <w:color w:val="000000"/>
                <w:sz w:val="18"/>
              </w:rPr>
              <w:t>All Bundle Sales</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192" w:type="dxa"/>
          </w:tcPr>
          <w:p>
            <w:pPr>
              <w:jc w:val="left"/>
            </w:pPr>
            <w:r>
              <w:rPr>
                <w:b w:val="0"/>
                <w:i w:val="0"/>
                <w:color w:val="000000"/>
                <w:sz w:val="18"/>
              </w:rPr>
              <w:t>All bundle types</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Pr>
                <w:b w:val="0"/>
                <w:i w:val="0"/>
                <w:color w:val="000000"/>
                <w:sz w:val="18"/>
              </w:rPr>
              <w:t>GA Excl. DRC</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192" w:type="dxa"/>
          </w:tcPr>
          <w:p>
            <w:pPr>
              <w:jc w:val="left"/>
            </w:pPr>
            <w:r>
              <w:rPr>
                <w:b w:val="0"/>
                <w:i w:val="0"/>
                <w:color w:val="000000"/>
                <w:sz w:val="18"/>
              </w:rPr>
              <w:t>Gross Add excluding DRC</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Pr>
                <w:b w:val="0"/>
                <w:i w:val="0"/>
                <w:color w:val="000000"/>
                <w:sz w:val="18"/>
              </w:rPr>
              <w:t>Retail SCR</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192" w:type="dxa"/>
          </w:tcPr>
          <w:p>
            <w:pPr>
              <w:jc w:val="left"/>
            </w:pPr>
            <w:r>
              <w:rPr>
                <w:b w:val="0"/>
                <w:i w:val="0"/>
                <w:color w:val="000000"/>
                <w:sz w:val="18"/>
              </w:rPr>
              <w:t>Retail Scratch Card</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Pr>
                <w:b w:val="0"/>
                <w:i w:val="0"/>
                <w:color w:val="000000"/>
                <w:sz w:val="18"/>
              </w:rPr>
              <w:t>RSO Productivity</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192" w:type="dxa"/>
          </w:tcPr>
          <w:p>
            <w:pPr>
              <w:jc w:val="left"/>
            </w:pPr>
            <w:r>
              <w:rPr>
                <w:b w:val="0"/>
                <w:i w:val="0"/>
                <w:color w:val="000000"/>
                <w:sz w:val="18"/>
              </w:rPr>
              <w:t>RSO performance metric</w:t>
            </w:r>
          </w:p>
        </w:tc>
      </w:tr>
    </w:tbl>
    <w:p/>
    <w:p>
      <w:pPr>
        <w:spacing w:before="120" w:after="80"/>
      </w:pPr>
      <w:r>
        <w:rPr>
          <w:b/>
          <w:color w:val="2E75B6"/>
          <w:sz w:val="22"/>
        </w:rPr>
        <w:t>Exclusion Rule – Shera Partner</w:t>
      </w:r>
    </w:p>
    <w:p>
      <w:r>
        <w:rPr>
          <w:sz w:val="20"/>
        </w:rPr>
        <w:t>DDs receiving All Bundle KPI commission under the Shera Partner incentive scheme are EXCLUDED from the Sprint Accelerate campaign, and vice versa. This mutual exclusion applies specifically to the Central Cluster and Gazipur Region markets.</w:t>
      </w:r>
    </w:p>
    <w:p>
      <w:pPr>
        <w:spacing w:before="120" w:after="80"/>
      </w:pPr>
      <w:r>
        <w:rPr>
          <w:b/>
          <w:color w:val="2E75B6"/>
          <w:sz w:val="22"/>
        </w:rPr>
        <w:t>General Conditions</w:t>
      </w:r>
    </w:p>
    <w:tbl>
      <w:tblPr>
        <w:tblStyle w:val="TableGrid"/>
        <w:tblW w:type="auto" w:w="0"/>
        <w:tblLook w:firstColumn="1" w:firstRow="1" w:lastColumn="0" w:lastRow="0" w:noHBand="0" w:noVBand="1" w:val="04A0"/>
        <w:tblW w:w="9360" w:type="dxa"/>
      </w:tblPr>
      <w:tblGrid>
        <w:gridCol w:w="3168"/>
        <w:gridCol w:w="6192"/>
      </w:tblGrid>
      <w:tblGrid>
        <w:gridCol w:w="4514"/>
        <w:gridCol w:w="4514"/>
      </w:tblGrid>
      <w:tr>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168" w:type="dxa"/>
          </w:tcPr>
          <w:p>
            <w:pPr>
              <w:jc w:val="center"/>
            </w:pPr>
            <w:r>
              <w:rPr>
                <w:b/>
                <w:i w:val="0"/>
                <w:color w:val="FFFFFF"/>
                <w:sz w:val="18"/>
              </w:rPr>
              <w:t>Condition</w:t>
            </w:r>
          </w:p>
        </w:tc>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6192" w:type="dxa"/>
          </w:tcPr>
          <w:p>
            <w:pPr>
              <w:jc w:val="center"/>
            </w:pPr>
            <w:r>
              <w:rPr>
                <w:b/>
                <w:i w:val="0"/>
                <w:color w:val="FFFFFF"/>
                <w:sz w:val="18"/>
              </w:rPr>
              <w:t>Detail</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Pr>
                <w:b w:val="0"/>
                <w:i w:val="0"/>
                <w:color w:val="000000"/>
                <w:sz w:val="18"/>
              </w:rPr>
              <w:t>Usage Gate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192" w:type="dxa"/>
          </w:tcPr>
          <w:p>
            <w:pPr>
              <w:jc w:val="left"/>
            </w:pPr>
            <w:r>
              <w:rPr>
                <w:b w:val="0"/>
                <w:i w:val="0"/>
                <w:color w:val="000000"/>
                <w:sz w:val="18"/>
              </w:rPr>
              <w:t>Min 93% GA with valid usage (No Play definition)</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Pr>
                <w:b w:val="0"/>
                <w:i w:val="0"/>
                <w:color w:val="000000"/>
                <w:sz w:val="18"/>
              </w:rPr>
              <w:t>T-6</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192" w:type="dxa"/>
          </w:tcPr>
          <w:p>
            <w:pPr>
              <w:jc w:val="left"/>
            </w:pPr>
            <w:r>
              <w:rPr>
                <w:b w:val="0"/>
                <w:i w:val="0"/>
                <w:color w:val="000000"/>
                <w:sz w:val="18"/>
              </w:rPr>
              <w:t>Disconnection: between FCD and T-6 date</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Pr>
                <w:b w:val="0"/>
                <w:i w:val="0"/>
                <w:color w:val="000000"/>
                <w:sz w:val="18"/>
              </w:rPr>
              <w:t>Products</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192" w:type="dxa"/>
          </w:tcPr>
          <w:p>
            <w:pPr>
              <w:jc w:val="left"/>
            </w:pPr>
            <w:r>
              <w:rPr>
                <w:b w:val="0"/>
                <w:i w:val="0"/>
                <w:color w:val="000000"/>
                <w:sz w:val="18"/>
              </w:rPr>
              <w:t>itop'up, SC, Data Upsell, GA, Mix Bundle, Voice Bundle Upsell</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Pr>
                <w:b w:val="0"/>
                <w:i w:val="0"/>
                <w:color w:val="000000"/>
                <w:sz w:val="18"/>
              </w:rPr>
              <w:t>Rounding</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192" w:type="dxa"/>
          </w:tcPr>
          <w:p>
            <w:pPr>
              <w:jc w:val="left"/>
            </w:pPr>
            <w:r>
              <w:rPr>
                <w:b w:val="0"/>
                <w:i w:val="0"/>
                <w:color w:val="000000"/>
                <w:sz w:val="18"/>
              </w:rPr>
              <w:t>Standard mathematical rounding (&lt;0.5 down, &gt;=0.5 up)</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Pr>
                <w:b w:val="0"/>
                <w:i w:val="0"/>
                <w:color w:val="000000"/>
                <w:sz w:val="18"/>
              </w:rPr>
              <w:t>Maturity</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192" w:type="dxa"/>
          </w:tcPr>
          <w:p>
            <w:pPr>
              <w:jc w:val="left"/>
            </w:pPr>
            <w:r>
              <w:rPr>
                <w:b w:val="0"/>
                <w:i w:val="0"/>
                <w:color w:val="000000"/>
                <w:sz w:val="18"/>
              </w:rPr>
              <w:t>4th of following month</w:t>
            </w:r>
          </w:p>
        </w:tc>
      </w:tr>
    </w:tbl>
    <w:p/>
    <w:p>
      <w:r>
        <w:br w:type="page"/>
      </w:r>
    </w:p>
    <w:p>
      <w:pPr>
        <w:spacing w:before="200" w:after="80"/>
      </w:pPr>
      <w:r>
        <w:rPr>
          <w:b/>
          <w:color w:val="1F4E79"/>
          <w:sz w:val="26"/>
          <w:u w:val="single"/>
        </w:rPr>
        <w:t>7. Daily FR Commission to DH via Promoter (from Jan 2026)</w:t>
      </w:r>
    </w:p>
    <w:tbl>
      <w:tblPr>
        <w:tblStyle w:val="TableGrid"/>
        <w:tblW w:type="auto" w:w="0"/>
        <w:tblLook w:firstColumn="1" w:firstRow="1" w:lastColumn="0" w:lastRow="0" w:noHBand="0" w:noVBand="1" w:val="04A0"/>
        <w:tblW w:w="9360" w:type="dxa"/>
      </w:tblPr>
      <w:tblGrid>
        <w:gridCol w:w="3456"/>
        <w:gridCol w:w="5903"/>
      </w:tblGrid>
      <w:tblGrid>
        <w:gridCol w:w="4514"/>
        <w:gridCol w:w="4514"/>
      </w:tblGrid>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SRF Title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Daily FR Commission to DH based on Promoter GA from 18th Jan26</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Recipient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Retailer (Promoter type) → Disbursed to Distributor Master SIM/Itop (after AIT)</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Period</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18 Jan 2026 – Till further notice</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Frequency</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Daily</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Product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All Prepaid – Cheris SIM activation via FR793 and FR1993</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AIT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Not applicable for commission (Sales Team exemption); but AIT deducted before disbursement</w:t>
            </w:r>
          </w:p>
        </w:tc>
      </w:tr>
    </w:tbl>
    <w:p/>
    <w:p>
      <w:pPr>
        <w:spacing w:before="120" w:after="80"/>
      </w:pPr>
      <w:r>
        <w:rPr>
          <w:b/>
          <w:color w:val="2E75B6"/>
          <w:sz w:val="22"/>
        </w:rPr>
        <w:t>Commission Rate by FR Code</w:t>
      </w:r>
    </w:p>
    <w:tbl>
      <w:tblPr>
        <w:tblStyle w:val="TableGrid"/>
        <w:tblW w:type="auto" w:w="0"/>
        <w:tblLook w:firstColumn="1" w:firstRow="1" w:lastColumn="0" w:lastRow="0" w:noHBand="0" w:noVBand="1" w:val="04A0"/>
        <w:tblW w:w="9360" w:type="dxa"/>
      </w:tblPr>
      <w:tblGrid>
        <w:gridCol w:w="1728"/>
        <w:gridCol w:w="2304"/>
        <w:gridCol w:w="2664"/>
        <w:gridCol w:w="2664"/>
      </w:tblGrid>
      <w:tblGrid>
        <w:gridCol w:w="2257"/>
        <w:gridCol w:w="2257"/>
        <w:gridCol w:w="2257"/>
        <w:gridCol w:w="2257"/>
      </w:tblGrid>
      <w:tr>
        <w:tc>
          <w:tcPr>
            <w:tcW w:type="dxa" w:w="2257"/>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728" w:type="dxa"/>
          </w:tcPr>
          <w:p>
            <w:pPr>
              <w:jc w:val="center"/>
            </w:pPr>
            <w:r>
              <w:rPr>
                <w:b/>
                <w:i w:val="0"/>
                <w:color w:val="FFFFFF"/>
                <w:sz w:val="18"/>
              </w:rPr>
              <w:t>FR Code</w:t>
            </w:r>
          </w:p>
        </w:tc>
        <w:tc>
          <w:tcPr>
            <w:tcW w:type="dxa" w:w="2257"/>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304" w:type="dxa"/>
          </w:tcPr>
          <w:p>
            <w:pPr>
              <w:jc w:val="center"/>
            </w:pPr>
            <w:r>
              <w:rPr>
                <w:b/>
                <w:i w:val="0"/>
                <w:color w:val="FFFFFF"/>
                <w:sz w:val="18"/>
              </w:rPr>
              <w:t>SIM Type</w:t>
            </w:r>
          </w:p>
        </w:tc>
        <w:tc>
          <w:tcPr>
            <w:tcW w:type="dxa" w:w="2257"/>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664" w:type="dxa"/>
          </w:tcPr>
          <w:p>
            <w:pPr>
              <w:jc w:val="center"/>
            </w:pPr>
            <w:r>
              <w:rPr>
                <w:b/>
                <w:i w:val="0"/>
                <w:color w:val="FFFFFF"/>
                <w:sz w:val="18"/>
              </w:rPr>
              <w:t>Before AIT (BDT)</w:t>
            </w:r>
          </w:p>
        </w:tc>
        <w:tc>
          <w:tcPr>
            <w:tcW w:type="dxa" w:w="2257"/>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664" w:type="dxa"/>
          </w:tcPr>
          <w:p>
            <w:pPr>
              <w:jc w:val="center"/>
            </w:pPr>
            <w:r>
              <w:rPr>
                <w:b/>
                <w:i w:val="0"/>
                <w:color w:val="FFFFFF"/>
                <w:sz w:val="18"/>
              </w:rPr>
              <w:t>After AIT (BDT)</w:t>
            </w:r>
          </w:p>
        </w:tc>
      </w:tr>
      <w:tr>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Pr>
                <w:b w:val="0"/>
                <w:i w:val="0"/>
                <w:color w:val="000000"/>
                <w:sz w:val="18"/>
              </w:rPr>
              <w:t>FR793</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304" w:type="dxa"/>
          </w:tcPr>
          <w:p>
            <w:pPr>
              <w:jc w:val="left"/>
            </w:pPr>
            <w:r>
              <w:rPr>
                <w:b w:val="0"/>
                <w:i w:val="0"/>
                <w:color w:val="000000"/>
                <w:sz w:val="18"/>
              </w:rPr>
              <w:t>Cheris SIM</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664" w:type="dxa"/>
          </w:tcPr>
          <w:p>
            <w:pPr>
              <w:jc w:val="left"/>
            </w:pPr>
            <w:r>
              <w:rPr>
                <w:b w:val="0"/>
                <w:i w:val="0"/>
                <w:color w:val="000000"/>
                <w:sz w:val="18"/>
              </w:rPr>
              <w:t>77.778</w:t>
            </w:r>
          </w:p>
        </w:tc>
        <w:tc>
          <w:tcPr>
            <w:tcW w:type="dxa" w:w="2257"/>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664" w:type="dxa"/>
          </w:tcPr>
          <w:p>
            <w:pPr>
              <w:jc w:val="left"/>
            </w:pPr>
            <w:r>
              <w:rPr>
                <w:b w:val="0"/>
                <w:i w:val="0"/>
                <w:color w:val="000000"/>
                <w:sz w:val="18"/>
              </w:rPr>
              <w:t>70</w:t>
            </w:r>
          </w:p>
        </w:tc>
      </w:tr>
      <w:tr>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Pr>
                <w:b w:val="0"/>
                <w:i w:val="0"/>
                <w:color w:val="000000"/>
                <w:sz w:val="18"/>
              </w:rPr>
              <w:t>FR1993</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304" w:type="dxa"/>
          </w:tcPr>
          <w:p>
            <w:pPr>
              <w:jc w:val="left"/>
            </w:pPr>
            <w:r>
              <w:rPr>
                <w:b w:val="0"/>
                <w:i w:val="0"/>
                <w:color w:val="000000"/>
                <w:sz w:val="18"/>
              </w:rPr>
              <w:t>Cheris SIM</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664" w:type="dxa"/>
          </w:tcPr>
          <w:p>
            <w:pPr>
              <w:jc w:val="left"/>
            </w:pPr>
            <w:r>
              <w:rPr>
                <w:b w:val="0"/>
                <w:i w:val="0"/>
                <w:color w:val="000000"/>
                <w:sz w:val="18"/>
              </w:rPr>
              <w:t>200</w:t>
            </w:r>
          </w:p>
        </w:tc>
        <w:tc>
          <w:tcPr>
            <w:tcW w:type="dxa" w:w="2257"/>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664" w:type="dxa"/>
          </w:tcPr>
          <w:p>
            <w:pPr>
              <w:jc w:val="left"/>
            </w:pPr>
            <w:r>
              <w:rPr>
                <w:b w:val="0"/>
                <w:i w:val="0"/>
                <w:color w:val="000000"/>
                <w:sz w:val="18"/>
              </w:rPr>
              <w:t>180</w:t>
            </w:r>
          </w:p>
        </w:tc>
      </w:tr>
    </w:tbl>
    <w:p/>
    <w:p>
      <w:pPr>
        <w:spacing w:before="120" w:after="80"/>
      </w:pPr>
      <w:r>
        <w:rPr>
          <w:b/>
          <w:color w:val="2E75B6"/>
          <w:sz w:val="22"/>
        </w:rPr>
        <w:t>Eligibility Conditions</w:t>
      </w:r>
    </w:p>
    <w:tbl>
      <w:tblPr>
        <w:tblStyle w:val="TableGrid"/>
        <w:tblW w:type="auto" w:w="0"/>
        <w:tblLook w:firstColumn="1" w:firstRow="1" w:lastColumn="0" w:lastRow="0" w:noHBand="0" w:noVBand="1" w:val="04A0"/>
        <w:tblW w:w="9360" w:type="dxa"/>
      </w:tblPr>
      <w:tblGrid>
        <w:gridCol w:w="576"/>
        <w:gridCol w:w="8784"/>
      </w:tblGrid>
      <w:tblGrid>
        <w:gridCol w:w="4514"/>
        <w:gridCol w:w="4514"/>
      </w:tblGrid>
      <w:tr>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576" w:type="dxa"/>
          </w:tcPr>
          <w:p>
            <w:pPr>
              <w:jc w:val="center"/>
            </w:pPr>
            <w:r>
              <w:rPr>
                <w:b/>
                <w:i w:val="0"/>
                <w:color w:val="FFFFFF"/>
                <w:sz w:val="18"/>
              </w:rPr>
              <w:t>#</w:t>
            </w:r>
          </w:p>
        </w:tc>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8784" w:type="dxa"/>
          </w:tcPr>
          <w:p>
            <w:pPr>
              <w:jc w:val="center"/>
            </w:pPr>
            <w:r>
              <w:rPr>
                <w:b/>
                <w:i w:val="0"/>
                <w:color w:val="FFFFFF"/>
                <w:sz w:val="18"/>
              </w:rPr>
              <w:t>Condition</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1</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GA = Cheris dial with respective FR (793 &amp; 1993) SIM – Successful activation/FCD</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2</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FR must be completed within the same date as activation</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3</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Commission disbursed to Distributor Master SIM/Itop number after AIT deduction</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4</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MSISDNs that did NOT receive OTF commission after recharge FR793/1993 are also eligible</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5</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Retailer type PROMOTER considered regardless of Enable/Disable status in agent list</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Pr>
                <w:b w:val="0"/>
                <w:i w:val="0"/>
                <w:color w:val="000000"/>
                <w:sz w:val="18"/>
              </w:rPr>
              <w:t>6</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784" w:type="dxa"/>
          </w:tcPr>
          <w:p>
            <w:pPr>
              <w:jc w:val="left"/>
            </w:pPr>
            <w:r>
              <w:rPr>
                <w:b w:val="0"/>
                <w:i w:val="0"/>
                <w:color w:val="000000"/>
                <w:sz w:val="18"/>
              </w:rPr>
              <w:t>Daily agent list considered for commission calculation</w:t>
            </w:r>
          </w:p>
        </w:tc>
      </w:tr>
    </w:tbl>
    <w:p/>
    <w:p>
      <w:pPr>
        <w:spacing w:before="40" w:after="40"/>
        <w:ind w:left="432"/>
      </w:pPr>
      <w:r>
        <w:rPr>
          <w:i/>
          <w:color w:val="595959"/>
          <w:sz w:val="17"/>
        </w:rPr>
        <w:t>Note: The FR commission disbursement to DD is a prerequisite condition for eligibility (condition 5 in SRF).</w:t>
      </w:r>
    </w:p>
    <w:p>
      <w:r>
        <w:br w:type="page"/>
      </w:r>
    </w:p>
    <w:p>
      <w:pPr>
        <w:spacing w:before="200" w:after="80"/>
      </w:pPr>
      <w:r>
        <w:rPr>
          <w:b/>
          <w:color w:val="1F4E79"/>
          <w:sz w:val="26"/>
          <w:u w:val="single"/>
        </w:rPr>
        <w:t>8. SME ESO GA Scale-Up Campaign (from Sep 2025)</w:t>
      </w:r>
    </w:p>
    <w:tbl>
      <w:tblPr>
        <w:tblStyle w:val="TableGrid"/>
        <w:tblW w:type="auto" w:w="0"/>
        <w:tblLook w:firstColumn="1" w:firstRow="1" w:lastColumn="0" w:lastRow="0" w:noHBand="0" w:noVBand="1" w:val="04A0"/>
        <w:tblW w:w="9360" w:type="dxa"/>
      </w:tblPr>
      <w:tblGrid>
        <w:gridCol w:w="3456"/>
        <w:gridCol w:w="5903"/>
      </w:tblGrid>
      <w:tblGrid>
        <w:gridCol w:w="4514"/>
        <w:gridCol w:w="4514"/>
      </w:tblGrid>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SRF Title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GA Scale up for developing ESOs from 1st Sep25</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Recipient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SME Direct BDO (ESO – Enterprise Sales Officers)</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Period</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01 Sep 2025 – Until further notice</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Frequency</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Daily (Salescom to EV automation: Yes)</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Product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Call &amp; Control and Postpaid – eligible Product ID &amp; Service Class specified</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GA Definition</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New connection onboarded with first recharge &gt;=BDT 351, OR insurance bundle (FRC 163/193/267)</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MNP</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MNP port-in: same condition – first recharge &gt;=BDT 351 or insurance bundle</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No Cap</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No capping for additional GA above target</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Maturity</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T+1 days</w:t>
            </w:r>
          </w:p>
        </w:tc>
      </w:tr>
    </w:tbl>
    <w:p/>
    <w:p>
      <w:pPr>
        <w:spacing w:before="120" w:after="80"/>
      </w:pPr>
      <w:r>
        <w:rPr>
          <w:b/>
          <w:color w:val="2E75B6"/>
          <w:sz w:val="22"/>
        </w:rPr>
        <w:t>Slab-Based Target &amp; Commission</w:t>
      </w:r>
    </w:p>
    <w:tbl>
      <w:tblPr>
        <w:tblStyle w:val="TableGrid"/>
        <w:tblW w:type="auto" w:w="0"/>
        <w:tblLook w:firstColumn="1" w:firstRow="1" w:lastColumn="0" w:lastRow="0" w:noHBand="0" w:noVBand="1" w:val="04A0"/>
        <w:tblW w:w="9360" w:type="dxa"/>
      </w:tblPr>
      <w:tblGrid>
        <w:gridCol w:w="1152"/>
        <w:gridCol w:w="1152"/>
        <w:gridCol w:w="1728"/>
        <w:gridCol w:w="2160"/>
        <w:gridCol w:w="1584"/>
        <w:gridCol w:w="1584"/>
      </w:tblGrid>
      <w:tblGrid>
        <w:gridCol w:w="1505"/>
        <w:gridCol w:w="1505"/>
        <w:gridCol w:w="1505"/>
        <w:gridCol w:w="1505"/>
        <w:gridCol w:w="1505"/>
        <w:gridCol w:w="1505"/>
      </w:tblGrid>
      <w:tr>
        <w:tc>
          <w:tcPr>
            <w:tcW w:type="dxa" w:w="1505"/>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152" w:type="dxa"/>
          </w:tcPr>
          <w:p>
            <w:pPr>
              <w:jc w:val="center"/>
            </w:pPr>
            <w:r>
              <w:rPr>
                <w:b/>
                <w:i w:val="0"/>
                <w:color w:val="FFFFFF"/>
                <w:sz w:val="18"/>
              </w:rPr>
              <w:t>Range</w:t>
            </w:r>
          </w:p>
        </w:tc>
        <w:tc>
          <w:tcPr>
            <w:tcW w:type="dxa" w:w="1505"/>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152" w:type="dxa"/>
          </w:tcPr>
          <w:p>
            <w:pPr>
              <w:jc w:val="center"/>
            </w:pPr>
            <w:r>
              <w:rPr>
                <w:b/>
                <w:i w:val="0"/>
                <w:color w:val="FFFFFF"/>
                <w:sz w:val="18"/>
              </w:rPr>
              <w:t>Slab Base</w:t>
            </w:r>
          </w:p>
        </w:tc>
        <w:tc>
          <w:tcPr>
            <w:tcW w:type="dxa" w:w="1505"/>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728" w:type="dxa"/>
          </w:tcPr>
          <w:p>
            <w:pPr>
              <w:jc w:val="center"/>
            </w:pPr>
            <w:r>
              <w:rPr>
                <w:b/>
                <w:i w:val="0"/>
                <w:color w:val="FFFFFF"/>
                <w:sz w:val="18"/>
              </w:rPr>
              <w:t>Eligibility Target</w:t>
            </w:r>
          </w:p>
        </w:tc>
        <w:tc>
          <w:tcPr>
            <w:tcW w:type="dxa" w:w="1505"/>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160" w:type="dxa"/>
          </w:tcPr>
          <w:p>
            <w:pPr>
              <w:jc w:val="center"/>
            </w:pPr>
            <w:r>
              <w:rPr>
                <w:b/>
                <w:i w:val="0"/>
                <w:color w:val="FFFFFF"/>
                <w:sz w:val="18"/>
              </w:rPr>
              <w:t>Additional Sales Threshold</w:t>
            </w:r>
          </w:p>
        </w:tc>
        <w:tc>
          <w:tcPr>
            <w:tcW w:type="dxa" w:w="1505"/>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584" w:type="dxa"/>
          </w:tcPr>
          <w:p>
            <w:pPr>
              <w:jc w:val="center"/>
            </w:pPr>
            <w:r>
              <w:rPr>
                <w:b/>
                <w:i w:val="0"/>
                <w:color w:val="FFFFFF"/>
                <w:sz w:val="18"/>
              </w:rPr>
              <w:t>Commission/GA</w:t>
            </w:r>
          </w:p>
        </w:tc>
        <w:tc>
          <w:tcPr>
            <w:tcW w:type="dxa" w:w="1505"/>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584" w:type="dxa"/>
          </w:tcPr>
          <w:p>
            <w:pPr>
              <w:jc w:val="center"/>
            </w:pPr>
            <w:r>
              <w:rPr>
                <w:b/>
                <w:i w:val="0"/>
                <w:color w:val="FFFFFF"/>
                <w:sz w:val="18"/>
              </w:rPr>
              <w:t>Final Payout</w:t>
            </w:r>
          </w:p>
        </w:tc>
      </w:tr>
      <w:tr>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0–35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35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Pr>
                <w:b w:val="0"/>
                <w:i w:val="0"/>
                <w:color w:val="000000"/>
                <w:sz w:val="18"/>
              </w:rPr>
              <w:t>50</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Pr>
                <w:b w:val="0"/>
                <w:i w:val="0"/>
                <w:color w:val="000000"/>
                <w:sz w:val="18"/>
              </w:rPr>
              <w:t>15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BDT 80</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BDT 1,200</w:t>
            </w:r>
          </w:p>
        </w:tc>
      </w:tr>
      <w:tr>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36–40</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36</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Pr>
                <w:b w:val="0"/>
                <w:i w:val="0"/>
                <w:color w:val="000000"/>
                <w:sz w:val="18"/>
              </w:rPr>
              <w:t>55</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Pr>
                <w:b w:val="0"/>
                <w:i w:val="0"/>
                <w:color w:val="000000"/>
                <w:sz w:val="18"/>
              </w:rPr>
              <w:t>19</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BDT 80</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BDT 1,520</w:t>
            </w:r>
          </w:p>
        </w:tc>
      </w:tr>
      <w:tr>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41–45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41</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Pr>
                <w:b w:val="0"/>
                <w:i w:val="0"/>
                <w:color w:val="000000"/>
                <w:sz w:val="18"/>
              </w:rPr>
              <w:t>60</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Pr>
                <w:b w:val="0"/>
                <w:i w:val="0"/>
                <w:color w:val="000000"/>
                <w:sz w:val="18"/>
              </w:rPr>
              <w:t>19</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BDT 80</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BDT 1,520</w:t>
            </w:r>
          </w:p>
        </w:tc>
      </w:tr>
      <w:tr>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46–50</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46</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Pr>
                <w:b w:val="0"/>
                <w:i w:val="0"/>
                <w:color w:val="000000"/>
                <w:sz w:val="18"/>
              </w:rPr>
              <w:t>65</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Pr>
                <w:b w:val="0"/>
                <w:i w:val="0"/>
                <w:color w:val="000000"/>
                <w:sz w:val="18"/>
              </w:rPr>
              <w:t>19</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BDT 80</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BDT 1,520</w:t>
            </w:r>
          </w:p>
        </w:tc>
      </w:tr>
      <w:tr>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50–60</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50</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Pr>
                <w:b w:val="0"/>
                <w:i w:val="0"/>
                <w:color w:val="000000"/>
                <w:sz w:val="18"/>
              </w:rPr>
              <w:t>70</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Pr>
                <w:b w:val="0"/>
                <w:i w:val="0"/>
                <w:color w:val="000000"/>
                <w:sz w:val="18"/>
              </w:rPr>
              <w:t>20</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BDT 80</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BDT 1,600</w:t>
            </w:r>
          </w:p>
        </w:tc>
      </w:tr>
      <w:tr>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60–70</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60</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Pr>
                <w:b w:val="0"/>
                <w:i w:val="0"/>
                <w:color w:val="000000"/>
                <w:sz w:val="18"/>
              </w:rPr>
              <w:t>80</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Pr>
                <w:b w:val="0"/>
                <w:i w:val="0"/>
                <w:color w:val="000000"/>
                <w:sz w:val="18"/>
              </w:rPr>
              <w:t>20</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BDT 80</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BDT 1,600</w:t>
            </w:r>
          </w:p>
        </w:tc>
      </w:tr>
      <w:tr>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70+</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70</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Pr>
                <w:b w:val="0"/>
                <w:i w:val="0"/>
                <w:color w:val="000000"/>
                <w:sz w:val="18"/>
              </w:rPr>
              <w:t>85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Pr>
                <w:b w:val="0"/>
                <w:i w:val="0"/>
                <w:color w:val="000000"/>
                <w:sz w:val="18"/>
              </w:rPr>
              <w:t>15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BDT 80</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BDT 1,200</w:t>
            </w:r>
          </w:p>
        </w:tc>
      </w:tr>
    </w:tbl>
    <w:p/>
    <w:p>
      <w:pPr>
        <w:spacing w:before="40" w:after="40"/>
        <w:ind w:left="432"/>
      </w:pPr>
      <w:r>
        <w:rPr>
          <w:i/>
          <w:color w:val="595959"/>
          <w:sz w:val="17"/>
        </w:rPr>
        <w:t>Note: Final Payout = Additional Sales Threshold × Commission/GA. ESO earns BDT 80 per GA upon achieving target.</w:t>
      </w:r>
    </w:p>
    <w:p>
      <w:pPr>
        <w:spacing w:before="120" w:after="80"/>
      </w:pPr>
      <w:r>
        <w:rPr>
          <w:b/>
          <w:color w:val="2E75B6"/>
          <w:sz w:val="22"/>
        </w:rPr>
        <w:t>Eligible Product IDs &amp; Service Classes</w:t>
      </w:r>
    </w:p>
    <w:tbl>
      <w:tblPr>
        <w:tblStyle w:val="TableGrid"/>
        <w:tblW w:type="auto" w:w="0"/>
        <w:tblLook w:firstColumn="1" w:firstRow="1" w:lastColumn="0" w:lastRow="0" w:noHBand="0" w:noVBand="1" w:val="04A0"/>
        <w:tblW w:w="9360" w:type="dxa"/>
      </w:tblPr>
      <w:tblGrid>
        <w:gridCol w:w="4680"/>
        <w:gridCol w:w="4680"/>
      </w:tblGrid>
      <w:tblGrid>
        <w:gridCol w:w="4514"/>
        <w:gridCol w:w="4514"/>
      </w:tblGrid>
      <w:tr>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4680" w:type="dxa"/>
          </w:tcPr>
          <w:p>
            <w:pPr>
              <w:jc w:val="center"/>
            </w:pPr>
            <w:r>
              <w:rPr>
                <w:b/>
                <w:i w:val="0"/>
                <w:color w:val="FFFFFF"/>
                <w:sz w:val="18"/>
              </w:rPr>
              <w:t>EQUIPID</w:t>
            </w:r>
          </w:p>
        </w:tc>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4680" w:type="dxa"/>
          </w:tcPr>
          <w:p>
            <w:pPr>
              <w:jc w:val="center"/>
            </w:pPr>
            <w:r>
              <w:rPr>
                <w:b/>
                <w:i w:val="0"/>
                <w:color w:val="FFFFFF"/>
                <w:sz w:val="18"/>
              </w:rPr>
              <w:t>SERVICE_CLASS</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680" w:type="dxa"/>
          </w:tcPr>
          <w:p>
            <w:pPr>
              <w:jc w:val="left"/>
            </w:pPr>
            <w:r>
              <w:rPr>
                <w:b w:val="0"/>
                <w:i w:val="0"/>
                <w:color w:val="000000"/>
                <w:sz w:val="18"/>
              </w:rPr>
              <w:t>EQPCOCCP</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680" w:type="dxa"/>
          </w:tcPr>
          <w:p>
            <w:pPr>
              <w:jc w:val="left"/>
            </w:pPr>
            <w:r>
              <w:rPr>
                <w:b w:val="0"/>
                <w:i w:val="0"/>
                <w:color w:val="000000"/>
                <w:sz w:val="18"/>
              </w:rPr>
              <w:t>178</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680" w:type="dxa"/>
          </w:tcPr>
          <w:p>
            <w:pPr>
              <w:jc w:val="left"/>
            </w:pPr>
            <w:r>
              <w:rPr>
                <w:b w:val="0"/>
                <w:i w:val="0"/>
                <w:color w:val="000000"/>
                <w:sz w:val="18"/>
              </w:rPr>
              <w:t>EQCCSMEBL3</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680" w:type="dxa"/>
          </w:tcPr>
          <w:p>
            <w:pPr>
              <w:jc w:val="left"/>
            </w:pPr>
            <w:r>
              <w:rPr>
                <w:b w:val="0"/>
                <w:i w:val="0"/>
                <w:color w:val="000000"/>
                <w:sz w:val="18"/>
              </w:rPr>
              <w:t>346</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680" w:type="dxa"/>
          </w:tcPr>
          <w:p>
            <w:pPr>
              <w:jc w:val="left"/>
            </w:pPr>
            <w:r>
              <w:rPr>
                <w:b w:val="0"/>
                <w:i w:val="0"/>
                <w:color w:val="000000"/>
                <w:sz w:val="18"/>
              </w:rPr>
              <w:t>B2BPost91p10s</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680" w:type="dxa"/>
          </w:tcPr>
          <w:p>
            <w:pPr>
              <w:jc w:val="left"/>
            </w:pPr>
            <w:r>
              <w:rPr>
                <w:b w:val="0"/>
                <w:i w:val="0"/>
                <w:color w:val="000000"/>
                <w:sz w:val="18"/>
              </w:rPr>
              <w:t>1050</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680" w:type="dxa"/>
          </w:tcPr>
          <w:p>
            <w:pPr>
              <w:jc w:val="left"/>
            </w:pPr>
            <w:r>
              <w:rPr>
                <w:b w:val="0"/>
                <w:i w:val="0"/>
                <w:color w:val="000000"/>
                <w:sz w:val="18"/>
              </w:rPr>
              <w:t>B2BPost91pFnF66p10s</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680" w:type="dxa"/>
          </w:tcPr>
          <w:p>
            <w:pPr>
              <w:jc w:val="left"/>
            </w:pPr>
            <w:r>
              <w:rPr>
                <w:b w:val="0"/>
                <w:i w:val="0"/>
                <w:color w:val="000000"/>
                <w:sz w:val="18"/>
              </w:rPr>
              <w:t>1052</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680" w:type="dxa"/>
          </w:tcPr>
          <w:p>
            <w:pPr>
              <w:jc w:val="left"/>
            </w:pPr>
            <w:r>
              <w:rPr>
                <w:b w:val="0"/>
                <w:i w:val="0"/>
                <w:color w:val="000000"/>
                <w:sz w:val="18"/>
              </w:rPr>
              <w:t>EQCCSMEBL2</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680" w:type="dxa"/>
          </w:tcPr>
          <w:p>
            <w:pPr>
              <w:jc w:val="left"/>
            </w:pPr>
            <w:r>
              <w:rPr>
                <w:b w:val="0"/>
                <w:i w:val="0"/>
                <w:color w:val="000000"/>
                <w:sz w:val="18"/>
              </w:rPr>
              <w:t>27</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680" w:type="dxa"/>
          </w:tcPr>
          <w:p>
            <w:pPr>
              <w:jc w:val="left"/>
            </w:pPr>
            <w:r>
              <w:rPr>
                <w:b w:val="0"/>
                <w:i w:val="0"/>
                <w:color w:val="000000"/>
                <w:sz w:val="18"/>
              </w:rPr>
              <w:t>EQCCSMEBL4</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680" w:type="dxa"/>
          </w:tcPr>
          <w:p>
            <w:pPr>
              <w:jc w:val="left"/>
            </w:pPr>
            <w:r>
              <w:rPr>
                <w:b w:val="0"/>
                <w:i w:val="0"/>
                <w:color w:val="000000"/>
                <w:sz w:val="18"/>
              </w:rPr>
              <w:t>25</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680" w:type="dxa"/>
          </w:tcPr>
          <w:p>
            <w:pPr>
              <w:jc w:val="left"/>
            </w:pPr>
            <w:r>
              <w:rPr>
                <w:b w:val="0"/>
                <w:i w:val="0"/>
                <w:color w:val="000000"/>
                <w:sz w:val="18"/>
              </w:rPr>
              <w:t>EQCCSMEPR</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680" w:type="dxa"/>
          </w:tcPr>
          <w:p>
            <w:pPr>
              <w:jc w:val="left"/>
            </w:pPr>
            <w:r>
              <w:rPr>
                <w:b w:val="0"/>
                <w:i w:val="0"/>
                <w:color w:val="000000"/>
                <w:sz w:val="18"/>
              </w:rPr>
              <w:t>18</w:t>
            </w:r>
          </w:p>
        </w:tc>
      </w:tr>
    </w:tbl>
    <w:p/>
    <w:p>
      <w:r>
        <w:br w:type="page"/>
      </w:r>
    </w:p>
    <w:p>
      <w:pPr>
        <w:spacing w:before="200" w:after="80"/>
      </w:pPr>
      <w:r>
        <w:rPr>
          <w:b/>
          <w:color w:val="1F4E79"/>
          <w:sz w:val="26"/>
          <w:u w:val="single"/>
        </w:rPr>
        <w:t>9. RBSP Monthly Commission – KPI Gate Model (Apr &amp; Jun 2025)</w:t>
      </w:r>
    </w:p>
    <w:tbl>
      <w:tblPr>
        <w:tblStyle w:val="TableGrid"/>
        <w:tblW w:type="auto" w:w="0"/>
        <w:tblLook w:firstColumn="1" w:firstRow="1" w:lastColumn="0" w:lastRow="0" w:noHBand="0" w:noVBand="1" w:val="04A0"/>
        <w:tblW w:w="9360" w:type="dxa"/>
      </w:tblPr>
      <w:tblGrid>
        <w:gridCol w:w="3456"/>
        <w:gridCol w:w="5903"/>
      </w:tblGrid>
      <w:tblGrid>
        <w:gridCol w:w="4514"/>
        <w:gridCol w:w="4514"/>
      </w:tblGrid>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SRFs</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RBSP Commission from Apr25 | RBSP Commission from Jun25</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Recipient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RBSP Retailers (Retail Business Service Points)</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Period</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Apr 2025 onwards (monthly, until further notice)</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Total Commission</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BDT 2,000 per RBSP retailer per month</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KPI Count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3 KPIs with respective targets, thresholds and weightages</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Payout Rule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&gt;=100% → 100% payout | 80–99% → 80% payout | &lt;80% → 0%</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Achievement Cap</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At actual, max 100%</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AIT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Not applicable (Sales Team exemption)</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ETSAF</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98% vetted and accepted by 7th of following month via Reseller App</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Maturity</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1st of following month</w:t>
            </w:r>
          </w:p>
        </w:tc>
      </w:tr>
    </w:tbl>
    <w:p/>
    <w:p>
      <w:pPr>
        <w:spacing w:before="120" w:after="80"/>
      </w:pPr>
      <w:r>
        <w:rPr>
          <w:b/>
          <w:color w:val="2E75B6"/>
          <w:sz w:val="22"/>
        </w:rPr>
        <w:t>KPI Structure</w:t>
      </w:r>
    </w:p>
    <w:tbl>
      <w:tblPr>
        <w:tblStyle w:val="TableGrid"/>
        <w:tblW w:type="auto" w:w="0"/>
        <w:tblLook w:firstColumn="1" w:firstRow="1" w:lastColumn="0" w:lastRow="0" w:noHBand="0" w:noVBand="1" w:val="04A0"/>
        <w:tblW w:w="9360" w:type="dxa"/>
      </w:tblPr>
      <w:tblGrid>
        <w:gridCol w:w="2160"/>
        <w:gridCol w:w="864"/>
        <w:gridCol w:w="1224"/>
        <w:gridCol w:w="1007"/>
        <w:gridCol w:w="2088"/>
        <w:gridCol w:w="2015"/>
      </w:tblGrid>
      <w:tblGrid>
        <w:gridCol w:w="1505"/>
        <w:gridCol w:w="1505"/>
        <w:gridCol w:w="1505"/>
        <w:gridCol w:w="1505"/>
        <w:gridCol w:w="1505"/>
        <w:gridCol w:w="1505"/>
      </w:tblGrid>
      <w:tr>
        <w:tc>
          <w:tcPr>
            <w:tcW w:type="dxa" w:w="1505"/>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160" w:type="dxa"/>
          </w:tcPr>
          <w:p>
            <w:pPr>
              <w:jc w:val="center"/>
            </w:pPr>
            <w:r>
              <w:rPr>
                <w:b/>
                <w:i w:val="0"/>
                <w:color w:val="FFFFFF"/>
                <w:sz w:val="18"/>
              </w:rPr>
              <w:t>KPI</w:t>
            </w:r>
          </w:p>
        </w:tc>
        <w:tc>
          <w:tcPr>
            <w:tcW w:type="dxa" w:w="1505"/>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864" w:type="dxa"/>
          </w:tcPr>
          <w:p>
            <w:pPr>
              <w:jc w:val="center"/>
            </w:pPr>
            <w:r>
              <w:rPr>
                <w:b/>
                <w:i w:val="0"/>
                <w:color w:val="FFFFFF"/>
                <w:sz w:val="18"/>
              </w:rPr>
              <w:t>Target</w:t>
            </w:r>
          </w:p>
        </w:tc>
        <w:tc>
          <w:tcPr>
            <w:tcW w:type="dxa" w:w="1505"/>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224" w:type="dxa"/>
          </w:tcPr>
          <w:p>
            <w:pPr>
              <w:jc w:val="center"/>
            </w:pPr>
            <w:r>
              <w:rPr>
                <w:b/>
                <w:i w:val="0"/>
                <w:color w:val="FFFFFF"/>
                <w:sz w:val="18"/>
              </w:rPr>
              <w:t>Threshold</w:t>
            </w:r>
          </w:p>
        </w:tc>
        <w:tc>
          <w:tcPr>
            <w:tcW w:type="dxa" w:w="1505"/>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007" w:type="dxa"/>
          </w:tcPr>
          <w:p>
            <w:pPr>
              <w:jc w:val="center"/>
            </w:pPr>
            <w:r>
              <w:rPr>
                <w:b/>
                <w:i w:val="0"/>
                <w:color w:val="FFFFFF"/>
                <w:sz w:val="18"/>
              </w:rPr>
              <w:t>Weight</w:t>
            </w:r>
          </w:p>
        </w:tc>
        <w:tc>
          <w:tcPr>
            <w:tcW w:type="dxa" w:w="1505"/>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088" w:type="dxa"/>
          </w:tcPr>
          <w:p>
            <w:pPr>
              <w:jc w:val="center"/>
            </w:pPr>
            <w:r>
              <w:rPr>
                <w:b/>
                <w:i w:val="0"/>
                <w:color w:val="FFFFFF"/>
                <w:sz w:val="18"/>
              </w:rPr>
              <w:t>Apr25 Product Scope</w:t>
            </w:r>
          </w:p>
        </w:tc>
        <w:tc>
          <w:tcPr>
            <w:tcW w:type="dxa" w:w="1505"/>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015" w:type="dxa"/>
          </w:tcPr>
          <w:p>
            <w:pPr>
              <w:jc w:val="center"/>
            </w:pPr>
            <w:r>
              <w:rPr>
                <w:b/>
                <w:i w:val="0"/>
                <w:color w:val="FFFFFF"/>
                <w:sz w:val="18"/>
              </w:rPr>
              <w:t>Jun25 Product Scope</w:t>
            </w:r>
          </w:p>
        </w:tc>
      </w:tr>
      <w:tr>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Pr>
                <w:b w:val="0"/>
                <w:i w:val="0"/>
                <w:color w:val="000000"/>
                <w:sz w:val="18"/>
              </w:rPr>
              <w:t>SIM Replacement</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 w:type="dxa"/>
          </w:tcPr>
          <w:p>
            <w:pPr>
              <w:jc w:val="left"/>
            </w:pPr>
            <w:r>
              <w:rPr>
                <w:b w:val="0"/>
                <w:i w:val="0"/>
                <w:color w:val="000000"/>
                <w:sz w:val="18"/>
              </w:rPr>
              <w:t>25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24" w:type="dxa"/>
          </w:tcPr>
          <w:p>
            <w:pPr>
              <w:jc w:val="left"/>
            </w:pPr>
            <w:r>
              <w:rPr>
                <w:b w:val="0"/>
                <w:i w:val="0"/>
                <w:color w:val="000000"/>
                <w:sz w:val="18"/>
              </w:rPr>
              <w:t>80%</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07" w:type="dxa"/>
          </w:tcPr>
          <w:p>
            <w:pPr>
              <w:jc w:val="left"/>
            </w:pPr>
            <w:r>
              <w:rPr>
                <w:b w:val="0"/>
                <w:i w:val="0"/>
                <w:color w:val="000000"/>
                <w:sz w:val="18"/>
              </w:rPr>
              <w:t>70%</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088" w:type="dxa"/>
          </w:tcPr>
          <w:p>
            <w:pPr>
              <w:jc w:val="left"/>
            </w:pPr>
            <w:r>
              <w:rPr>
                <w:b w:val="0"/>
                <w:i w:val="0"/>
                <w:color w:val="000000"/>
                <w:sz w:val="18"/>
              </w:rPr>
              <w:t>SIMSWAP, ESIMSWAP</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015" w:type="dxa"/>
          </w:tcPr>
          <w:p>
            <w:pPr>
              <w:jc w:val="left"/>
            </w:pPr>
            <w:r>
              <w:rPr>
                <w:b w:val="0"/>
                <w:i w:val="0"/>
                <w:color w:val="000000"/>
                <w:sz w:val="18"/>
              </w:rPr>
              <w:t>SIMSWAP, ESIMSWAP (same)</w:t>
            </w:r>
          </w:p>
        </w:tc>
      </w:tr>
      <w:tr>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Pr>
                <w:b w:val="0"/>
                <w:i w:val="0"/>
                <w:color w:val="000000"/>
                <w:sz w:val="18"/>
              </w:rPr>
              <w:t>Gross Add (GA)</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 w:type="dxa"/>
          </w:tcPr>
          <w:p>
            <w:pPr>
              <w:jc w:val="left"/>
            </w:pPr>
            <w:r>
              <w:rPr>
                <w:b w:val="0"/>
                <w:i w:val="0"/>
                <w:color w:val="000000"/>
                <w:sz w:val="18"/>
              </w:rPr>
              <w:t>15</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24" w:type="dxa"/>
          </w:tcPr>
          <w:p>
            <w:pPr>
              <w:jc w:val="left"/>
            </w:pPr>
            <w:r>
              <w:rPr>
                <w:b w:val="0"/>
                <w:i w:val="0"/>
                <w:color w:val="000000"/>
                <w:sz w:val="18"/>
              </w:rPr>
              <w:t>80%</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07" w:type="dxa"/>
          </w:tcPr>
          <w:p>
            <w:pPr>
              <w:jc w:val="left"/>
            </w:pPr>
            <w:r>
              <w:rPr>
                <w:b w:val="0"/>
                <w:i w:val="0"/>
                <w:color w:val="000000"/>
                <w:sz w:val="18"/>
              </w:rPr>
              <w:t>20%</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088" w:type="dxa"/>
          </w:tcPr>
          <w:p>
            <w:pPr>
              <w:jc w:val="left"/>
            </w:pPr>
            <w:r>
              <w:rPr>
                <w:b w:val="0"/>
                <w:i w:val="0"/>
                <w:color w:val="000000"/>
                <w:sz w:val="18"/>
              </w:rPr>
              <w:t>RYZE Prepaid only (RYZ1001, RYZ1001-ESIM)</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015" w:type="dxa"/>
          </w:tcPr>
          <w:p>
            <w:pPr>
              <w:jc w:val="left"/>
            </w:pPr>
            <w:r>
              <w:rPr>
                <w:b w:val="0"/>
                <w:i w:val="0"/>
                <w:color w:val="000000"/>
                <w:sz w:val="18"/>
              </w:rPr>
              <w:t>All Prepaid (MMST, MMSTS, ESIMP, ESIMUP, RYZ1001, RYZ1001-ESIM)</w:t>
            </w:r>
          </w:p>
        </w:tc>
      </w:tr>
      <w:tr>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Pr>
                <w:b w:val="0"/>
                <w:i w:val="0"/>
                <w:color w:val="000000"/>
                <w:sz w:val="18"/>
              </w:rPr>
              <w:t>Digital Asset Installation</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 w:type="dxa"/>
          </w:tcPr>
          <w:p>
            <w:pPr>
              <w:jc w:val="left"/>
            </w:pPr>
            <w:r>
              <w:rPr>
                <w:b w:val="0"/>
                <w:i w:val="0"/>
                <w:color w:val="000000"/>
                <w:sz w:val="18"/>
              </w:rPr>
              <w:t>12</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24" w:type="dxa"/>
          </w:tcPr>
          <w:p>
            <w:pPr>
              <w:jc w:val="left"/>
            </w:pPr>
            <w:r>
              <w:rPr>
                <w:b w:val="0"/>
                <w:i w:val="0"/>
                <w:color w:val="000000"/>
                <w:sz w:val="18"/>
              </w:rPr>
              <w:t>80%</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07" w:type="dxa"/>
          </w:tcPr>
          <w:p>
            <w:pPr>
              <w:jc w:val="left"/>
            </w:pPr>
            <w:r>
              <w:rPr>
                <w:b w:val="0"/>
                <w:i w:val="0"/>
                <w:color w:val="000000"/>
                <w:sz w:val="18"/>
              </w:rPr>
              <w:t>10%</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088" w:type="dxa"/>
          </w:tcPr>
          <w:p>
            <w:pPr>
              <w:jc w:val="left"/>
            </w:pPr>
            <w:r>
              <w:rPr>
                <w:b w:val="0"/>
                <w:i w:val="0"/>
                <w:color w:val="000000"/>
                <w:sz w:val="18"/>
              </w:rPr>
              <w:t>BL App + Toffee App</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015" w:type="dxa"/>
          </w:tcPr>
          <w:p>
            <w:pPr>
              <w:jc w:val="left"/>
            </w:pPr>
            <w:r>
              <w:rPr>
                <w:b w:val="0"/>
                <w:i w:val="0"/>
                <w:color w:val="000000"/>
                <w:sz w:val="18"/>
              </w:rPr>
              <w:t>BL App + Toffee App (same)</w:t>
            </w:r>
          </w:p>
        </w:tc>
      </w:tr>
    </w:tbl>
    <w:p/>
    <w:p>
      <w:pPr>
        <w:spacing w:before="120" w:after="80"/>
      </w:pPr>
      <w:r>
        <w:rPr>
          <w:b/>
          <w:color w:val="2E75B6"/>
          <w:sz w:val="22"/>
        </w:rPr>
        <w:t>Key Change: Apr25 → Jun25</w:t>
      </w:r>
    </w:p>
    <w:tbl>
      <w:tblPr>
        <w:tblStyle w:val="TableGrid"/>
        <w:tblW w:type="auto" w:w="0"/>
        <w:tblLook w:firstColumn="1" w:firstRow="1" w:lastColumn="0" w:lastRow="0" w:noHBand="0" w:noVBand="1" w:val="04A0"/>
        <w:tblW w:w="9360" w:type="dxa"/>
      </w:tblPr>
      <w:tblGrid>
        <w:gridCol w:w="2592"/>
        <w:gridCol w:w="3384"/>
        <w:gridCol w:w="3384"/>
      </w:tblGrid>
      <w:tblGrid>
        <w:gridCol w:w="3010"/>
        <w:gridCol w:w="3010"/>
        <w:gridCol w:w="3010"/>
      </w:tblGrid>
      <w:tr>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592" w:type="dxa"/>
          </w:tcPr>
          <w:p>
            <w:pPr>
              <w:jc w:val="center"/>
            </w:pPr>
            <w:r>
              <w:rPr>
                <w:b/>
                <w:i w:val="0"/>
                <w:color w:val="FFFFFF"/>
                <w:sz w:val="18"/>
              </w:rPr>
              <w:t>Parameter</w:t>
            </w:r>
          </w:p>
        </w:tc>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384" w:type="dxa"/>
          </w:tcPr>
          <w:p>
            <w:pPr>
              <w:jc w:val="center"/>
            </w:pPr>
            <w:r>
              <w:rPr>
                <w:b/>
                <w:i w:val="0"/>
                <w:color w:val="FFFFFF"/>
                <w:sz w:val="18"/>
              </w:rPr>
              <w:t>Apr 2025</w:t>
            </w:r>
          </w:p>
        </w:tc>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384" w:type="dxa"/>
          </w:tcPr>
          <w:p>
            <w:pPr>
              <w:jc w:val="center"/>
            </w:pPr>
            <w:r>
              <w:rPr>
                <w:b/>
                <w:i w:val="0"/>
                <w:color w:val="FFFFFF"/>
                <w:sz w:val="18"/>
              </w:rPr>
              <w:t>Jun 2025</w:t>
            </w:r>
          </w:p>
        </w:tc>
      </w:tr>
      <w:tr>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GA Product Scope</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RYZE Prepaid only</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All Prepaid SIM types</w:t>
            </w:r>
          </w:p>
        </w:tc>
      </w:tr>
      <w:tr>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DMS Codes (GA)</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RYZ1001, RYZ1001-ESIM</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MMST, MMSTS, ESIMP, ESIMUP, RYZ1001, RYZ1001-ESIM</w:t>
            </w:r>
          </w:p>
        </w:tc>
      </w:tr>
      <w:tr>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Payout Bracket Label</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80–99% = 80%</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Below 100%–80% = 80% (same effect)</w:t>
            </w:r>
          </w:p>
        </w:tc>
      </w:tr>
    </w:tbl>
    <w:p/>
    <w:p>
      <w:pPr>
        <w:spacing w:before="120" w:after="80"/>
      </w:pPr>
      <w:r>
        <w:rPr>
          <w:b/>
          <w:color w:val="2E75B6"/>
          <w:sz w:val="22"/>
        </w:rPr>
        <w:t>Digital Asset Installation Conditions</w:t>
      </w:r>
    </w:p>
    <w:tbl>
      <w:tblPr>
        <w:tblStyle w:val="TableGrid"/>
        <w:tblW w:type="auto" w:w="0"/>
        <w:tblLook w:firstColumn="1" w:firstRow="1" w:lastColumn="0" w:lastRow="0" w:noHBand="0" w:noVBand="1" w:val="04A0"/>
        <w:tblW w:w="9360" w:type="dxa"/>
      </w:tblPr>
      <w:tblGrid>
        <w:gridCol w:w="2160"/>
        <w:gridCol w:w="7200"/>
      </w:tblGrid>
      <w:tblGrid>
        <w:gridCol w:w="4514"/>
        <w:gridCol w:w="4514"/>
      </w:tblGrid>
      <w:tr>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160" w:type="dxa"/>
          </w:tcPr>
          <w:p>
            <w:pPr>
              <w:jc w:val="center"/>
            </w:pPr>
            <w:r>
              <w:rPr>
                <w:b/>
                <w:i w:val="0"/>
                <w:color w:val="FFFFFF"/>
                <w:sz w:val="18"/>
              </w:rPr>
              <w:t>App</w:t>
            </w:r>
          </w:p>
        </w:tc>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7200" w:type="dxa"/>
          </w:tcPr>
          <w:p>
            <w:pPr>
              <w:jc w:val="center"/>
            </w:pPr>
            <w:r>
              <w:rPr>
                <w:b/>
                <w:i w:val="0"/>
                <w:color w:val="FFFFFF"/>
                <w:sz w:val="18"/>
              </w:rPr>
              <w:t>Condition</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Pr>
                <w:b w:val="0"/>
                <w:i w:val="0"/>
                <w:color w:val="000000"/>
                <w:sz w:val="18"/>
              </w:rPr>
              <w:t>My BL App</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7200" w:type="dxa"/>
          </w:tcPr>
          <w:p>
            <w:pPr>
              <w:jc w:val="left"/>
            </w:pPr>
            <w:r>
              <w:rPr>
                <w:b w:val="0"/>
                <w:i w:val="0"/>
                <w:color w:val="000000"/>
                <w:sz w:val="18"/>
              </w:rPr>
              <w:t>Install from Play Store (Android) or App Store (Apple) using RBSP Toffee referral code</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Pr>
                <w:b w:val="0"/>
                <w:i w:val="0"/>
                <w:color w:val="000000"/>
                <w:sz w:val="18"/>
              </w:rPr>
              <w:t>Toffee App</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7200" w:type="dxa"/>
          </w:tcPr>
          <w:p>
            <w:pPr>
              <w:jc w:val="left"/>
            </w:pPr>
            <w:r>
              <w:rPr>
                <w:b w:val="0"/>
                <w:i w:val="0"/>
                <w:color w:val="000000"/>
                <w:sz w:val="18"/>
              </w:rPr>
              <w:t>Install from Play Store (Android) or App Store (Apple) using RBSP Toffee referral code</w:t>
            </w:r>
          </w:p>
        </w:tc>
      </w:tr>
    </w:tbl>
    <w:p/>
    <w:p>
      <w:r>
        <w:br w:type="page"/>
      </w:r>
    </w:p>
    <w:p>
      <w:pPr>
        <w:spacing w:before="200" w:after="80"/>
      </w:pPr>
      <w:r>
        <w:rPr>
          <w:b/>
          <w:color w:val="1F4E79"/>
          <w:sz w:val="26"/>
          <w:u w:val="single"/>
        </w:rPr>
        <w:t>10. RSO GA Booster Campaign (21–31 Jan 2026)</w:t>
      </w:r>
    </w:p>
    <w:tbl>
      <w:tblPr>
        <w:tblStyle w:val="TableGrid"/>
        <w:tblW w:type="auto" w:w="0"/>
        <w:tblLook w:firstColumn="1" w:firstRow="1" w:lastColumn="0" w:lastRow="0" w:noHBand="0" w:noVBand="1" w:val="04A0"/>
        <w:tblW w:w="9360" w:type="dxa"/>
      </w:tblPr>
      <w:tblGrid>
        <w:gridCol w:w="3456"/>
        <w:gridCol w:w="5903"/>
      </w:tblGrid>
      <w:tblGrid>
        <w:gridCol w:w="4514"/>
        <w:gridCol w:w="4514"/>
      </w:tblGrid>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SRF Title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RSO GA Booster Campaign_21st to 31st Jan26</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Recipient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RSO (Field Force)</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Period</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21 Jan 2026 – 31 Jan 2026</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KPI</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GA – Gross Add (RSO Market GA + RSO Own Code)</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Gates</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48-hour usage &gt;=80% AND VLR Active Usages &gt;=80% (B2C shares data)</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Incentive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RSO-wise amount specified in target file (B2C-provided)</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Agent List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31 Jan 2026 agent list considered</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Rounding</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Standard: &lt;0.5 down, &gt;=0.5 up</w:t>
            </w:r>
          </w:p>
        </w:tc>
      </w:tr>
    </w:tbl>
    <w:p/>
    <w:p>
      <w:pPr>
        <w:spacing w:before="120" w:after="80"/>
      </w:pPr>
      <w:r>
        <w:rPr>
          <w:b/>
          <w:color w:val="2E75B6"/>
          <w:sz w:val="22"/>
        </w:rPr>
        <w:t>GA Definition</w:t>
      </w:r>
    </w:p>
    <w:p>
      <w:r>
        <w:rPr>
          <w:sz w:val="20"/>
        </w:rPr>
        <w:t>RSO GA = RSO Market GA + RSO Own Code activations. Both MNP and All Prepaid activations are counted. Products accepted: All Prepaid and successful MNP connections.</w:t>
      </w:r>
    </w:p>
    <w:p>
      <w:pPr>
        <w:spacing w:before="120" w:after="80"/>
      </w:pPr>
      <w:r>
        <w:rPr>
          <w:b/>
          <w:color w:val="2E75B6"/>
          <w:sz w:val="22"/>
        </w:rPr>
        <w:t>Gate Conditions (Both Must Be Met)</w:t>
      </w:r>
    </w:p>
    <w:tbl>
      <w:tblPr>
        <w:tblStyle w:val="TableGrid"/>
        <w:tblW w:type="auto" w:w="0"/>
        <w:tblLook w:firstColumn="1" w:firstRow="1" w:lastColumn="0" w:lastRow="0" w:noHBand="0" w:noVBand="1" w:val="04A0"/>
        <w:tblW w:w="9360" w:type="dxa"/>
      </w:tblPr>
      <w:tblGrid>
        <w:gridCol w:w="2880"/>
        <w:gridCol w:w="2736"/>
        <w:gridCol w:w="3744"/>
      </w:tblGrid>
      <w:tblGrid>
        <w:gridCol w:w="3010"/>
        <w:gridCol w:w="3010"/>
        <w:gridCol w:w="3010"/>
      </w:tblGrid>
      <w:tr>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880" w:type="dxa"/>
          </w:tcPr>
          <w:p>
            <w:pPr>
              <w:jc w:val="center"/>
            </w:pPr>
            <w:r>
              <w:rPr>
                <w:b/>
                <w:i w:val="0"/>
                <w:color w:val="FFFFFF"/>
                <w:sz w:val="18"/>
              </w:rPr>
              <w:t>Gate</w:t>
            </w:r>
          </w:p>
        </w:tc>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736" w:type="dxa"/>
          </w:tcPr>
          <w:p>
            <w:pPr>
              <w:jc w:val="center"/>
            </w:pPr>
            <w:r>
              <w:rPr>
                <w:b/>
                <w:i w:val="0"/>
                <w:color w:val="FFFFFF"/>
                <w:sz w:val="18"/>
              </w:rPr>
              <w:t>Threshold</w:t>
            </w:r>
          </w:p>
        </w:tc>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744" w:type="dxa"/>
          </w:tcPr>
          <w:p>
            <w:pPr>
              <w:jc w:val="center"/>
            </w:pPr>
            <w:r>
              <w:rPr>
                <w:b/>
                <w:i w:val="0"/>
                <w:color w:val="FFFFFF"/>
                <w:sz w:val="18"/>
              </w:rPr>
              <w:t>Data Source</w:t>
            </w:r>
          </w:p>
        </w:tc>
      </w:tr>
      <w:tr>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48-Hour Usage</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Pr>
                <w:b w:val="0"/>
                <w:i w:val="0"/>
                <w:color w:val="000000"/>
                <w:sz w:val="18"/>
              </w:rPr>
              <w:t>&gt;=80% of GA</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744" w:type="dxa"/>
          </w:tcPr>
          <w:p>
            <w:pPr>
              <w:jc w:val="left"/>
            </w:pPr>
            <w:r>
              <w:rPr>
                <w:b w:val="0"/>
                <w:i w:val="0"/>
                <w:color w:val="000000"/>
                <w:sz w:val="18"/>
              </w:rPr>
              <w:t>B2C will share achievement data</w:t>
            </w:r>
          </w:p>
        </w:tc>
      </w:tr>
      <w:tr>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Pr>
                <w:b w:val="0"/>
                <w:i w:val="0"/>
                <w:color w:val="000000"/>
                <w:sz w:val="18"/>
              </w:rPr>
              <w:t>VLR Active Usages</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Pr>
                <w:b w:val="0"/>
                <w:i w:val="0"/>
                <w:color w:val="000000"/>
                <w:sz w:val="18"/>
              </w:rPr>
              <w:t>&gt;=80% of GA</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744" w:type="dxa"/>
          </w:tcPr>
          <w:p>
            <w:pPr>
              <w:jc w:val="left"/>
            </w:pPr>
            <w:r>
              <w:rPr>
                <w:b w:val="0"/>
                <w:i w:val="0"/>
                <w:color w:val="000000"/>
                <w:sz w:val="18"/>
              </w:rPr>
              <w:t>B2C will share achievement data</w:t>
            </w:r>
          </w:p>
        </w:tc>
      </w:tr>
    </w:tbl>
    <w:p/>
    <w:p/>
    <w:p>
      <w:pPr>
        <w:spacing w:before="200" w:after="80"/>
      </w:pPr>
      <w:r>
        <w:rPr>
          <w:b/>
          <w:color w:val="1F4E79"/>
          <w:sz w:val="26"/>
          <w:u w:val="single"/>
        </w:rPr>
        <w:t>11. Region GA Booster Campaign (21–31 Jan 2026)</w:t>
      </w:r>
    </w:p>
    <w:tbl>
      <w:tblPr>
        <w:tblStyle w:val="TableGrid"/>
        <w:tblW w:type="auto" w:w="0"/>
        <w:tblLook w:firstColumn="1" w:firstRow="1" w:lastColumn="0" w:lastRow="0" w:noHBand="0" w:noVBand="1" w:val="04A0"/>
        <w:tblW w:w="9360" w:type="dxa"/>
      </w:tblPr>
      <w:tblGrid>
        <w:gridCol w:w="3456"/>
        <w:gridCol w:w="5903"/>
      </w:tblGrid>
      <w:tblGrid>
        <w:gridCol w:w="4514"/>
        <w:gridCol w:w="4514"/>
      </w:tblGrid>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SRF Title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Region GA Booster Campaign_21st to 31st Jan26</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Recipient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DD Manager (Region level – Field Force)</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Period</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21 Jan 2026 – 31 Jan 2026</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Deliverable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FF Celebration Budget (not individual RSO cash commission)</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KPI</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GA at Region level</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Gates</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48-hour usage &gt;=80% AND VLR Active Usages &gt;=80% (same as RSO Booster)</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Exclusion</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Any TCG Bar and self-barred connections NOT counted in achievement</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Agent List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31 Jan 2026 agent list considered</w:t>
            </w:r>
          </w:p>
        </w:tc>
      </w:tr>
    </w:tbl>
    <w:p/>
    <w:p>
      <w:pPr>
        <w:spacing w:before="40" w:after="40"/>
        <w:ind w:left="432"/>
      </w:pPr>
      <w:r>
        <w:rPr>
          <w:i/>
          <w:color w:val="595959"/>
          <w:sz w:val="17"/>
        </w:rPr>
        <w:t>Note: Key unique condition vs RSO GA Booster (Sec 10): TCG Bar and self-barred connections are explicitly excluded from achievement count. The output is FF Celebration Budget (regional), not individual RSO commission.</w:t>
      </w:r>
    </w:p>
    <w:p>
      <w:r>
        <w:br w:type="page"/>
      </w:r>
    </w:p>
    <w:p>
      <w:pPr>
        <w:spacing w:before="200" w:after="80"/>
      </w:pPr>
      <w:r>
        <w:rPr>
          <w:b/>
          <w:color w:val="1F4E79"/>
          <w:sz w:val="26"/>
          <w:u w:val="single"/>
        </w:rPr>
        <w:t>12. RSO Post-Eid Productivity Booster (10–14 Jun 2025)</w:t>
      </w:r>
    </w:p>
    <w:tbl>
      <w:tblPr>
        <w:tblStyle w:val="TableGrid"/>
        <w:tblW w:type="auto" w:w="0"/>
        <w:tblLook w:firstColumn="1" w:firstRow="1" w:lastColumn="0" w:lastRow="0" w:noHBand="0" w:noVBand="1" w:val="04A0"/>
        <w:tblW w:w="9360" w:type="dxa"/>
      </w:tblPr>
      <w:tblGrid>
        <w:gridCol w:w="3456"/>
        <w:gridCol w:w="5903"/>
      </w:tblGrid>
      <w:tblGrid>
        <w:gridCol w:w="4514"/>
        <w:gridCol w:w="4514"/>
      </w:tblGrid>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SRF Title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RSO Post Eid Productivity Booster Campaign_10th to 14th Jun25</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Recipient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RSO (Field Force)</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Period</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10 Jun 2025 – 14 Jun 2025 (EXCLUDING Friday 13 Jun 2025)</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KPI</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Biometric login &amp; check-in (before 9:00 AM) + Onsite Retail Visit + Min Transaction</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Incentive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BDT 200/RSO per day upon meeting ALL criteria</w:t>
            </w:r>
          </w:p>
        </w:tc>
      </w:tr>
    </w:tbl>
    <w:p/>
    <w:p>
      <w:pPr>
        <w:spacing w:before="120" w:after="80"/>
      </w:pPr>
      <w:r>
        <w:rPr>
          <w:b/>
          <w:color w:val="2E75B6"/>
          <w:sz w:val="22"/>
        </w:rPr>
        <w:t>Eligibility Criteria (ALL 3 Must Be Met per Day)</w:t>
      </w:r>
    </w:p>
    <w:tbl>
      <w:tblPr>
        <w:tblStyle w:val="TableGrid"/>
        <w:tblW w:type="auto" w:w="0"/>
        <w:tblLook w:firstColumn="1" w:firstRow="1" w:lastColumn="0" w:lastRow="0" w:noHBand="0" w:noVBand="1" w:val="04A0"/>
        <w:tblW w:w="9360" w:type="dxa"/>
      </w:tblPr>
      <w:tblGrid>
        <w:gridCol w:w="3456"/>
        <w:gridCol w:w="5903"/>
      </w:tblGrid>
      <w:tblGrid>
        <w:gridCol w:w="4514"/>
        <w:gridCol w:w="4514"/>
      </w:tblGrid>
      <w:tr>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456" w:type="dxa"/>
          </w:tcPr>
          <w:p>
            <w:pPr>
              <w:jc w:val="center"/>
            </w:pPr>
            <w:r>
              <w:rPr>
                <w:b/>
                <w:i w:val="0"/>
                <w:color w:val="FFFFFF"/>
                <w:sz w:val="18"/>
              </w:rPr>
              <w:t>Criterion</w:t>
            </w:r>
          </w:p>
        </w:tc>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5903" w:type="dxa"/>
          </w:tcPr>
          <w:p>
            <w:pPr>
              <w:jc w:val="center"/>
            </w:pPr>
            <w:r>
              <w:rPr>
                <w:b/>
                <w:i w:val="0"/>
                <w:color w:val="FFFFFF"/>
                <w:sz w:val="18"/>
              </w:rPr>
              <w:t>Detail</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val="0"/>
                <w:i w:val="0"/>
                <w:color w:val="000000"/>
                <w:sz w:val="18"/>
              </w:rPr>
              <w:t>Login &amp; Check-in</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Before 9:00 AM (biometric) – B2C will share data</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val="0"/>
                <w:i w:val="0"/>
                <w:color w:val="000000"/>
                <w:sz w:val="18"/>
              </w:rPr>
              <w:t>Onsite Retail Visit Target</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Must meet daily target – B2C will share</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val="0"/>
                <w:i w:val="0"/>
                <w:color w:val="000000"/>
                <w:sz w:val="18"/>
              </w:rPr>
              <w:t>Minimum Transaction per Retail</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BDT 100 (Non-Core) | BDT 200 (Core) – B2C will share</w:t>
            </w:r>
          </w:p>
        </w:tc>
      </w:tr>
    </w:tbl>
    <w:p/>
    <w:p>
      <w:pPr>
        <w:spacing w:before="40" w:after="40"/>
        <w:ind w:left="432"/>
      </w:pPr>
      <w:r>
        <w:rPr>
          <w:i/>
          <w:color w:val="595959"/>
          <w:sz w:val="17"/>
        </w:rPr>
        <w:t>Note: This is a behavioural/productivity KPI campaign – not a GA or Recharge target campaign. All 3 criteria must be fulfilled daily to earn BDT 200.</w:t>
      </w:r>
    </w:p>
    <w:p>
      <w:r>
        <w:br w:type="page"/>
      </w:r>
    </w:p>
    <w:p>
      <w:pPr>
        <w:spacing w:before="200" w:after="80"/>
      </w:pPr>
      <w:r>
        <w:rPr>
          <w:b/>
          <w:color w:val="1F4E79"/>
          <w:sz w:val="26"/>
          <w:u w:val="single"/>
        </w:rPr>
        <w:t>13. RSO Recharge Accelerate Campaign (8–11 Oct 2025)</w:t>
      </w:r>
    </w:p>
    <w:tbl>
      <w:tblPr>
        <w:tblStyle w:val="TableGrid"/>
        <w:tblW w:type="auto" w:w="0"/>
        <w:tblLook w:firstColumn="1" w:firstRow="1" w:lastColumn="0" w:lastRow="0" w:noHBand="0" w:noVBand="1" w:val="04A0"/>
        <w:tblW w:w="9360" w:type="dxa"/>
      </w:tblPr>
      <w:tblGrid>
        <w:gridCol w:w="3456"/>
        <w:gridCol w:w="5903"/>
      </w:tblGrid>
      <w:tblGrid>
        <w:gridCol w:w="4514"/>
        <w:gridCol w:w="4514"/>
      </w:tblGrid>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SRF Title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RSO Recharge Accelerate Campaign_8th to 11th Oct25</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Recipient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RSO (Field Force)</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Period</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8 Oct 2025 – 11 Oct 2025</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KPI</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C2C Recharge – EV (R2RT + D2RT + SUD12AGENT)</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Incentive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BDT 100 to BDT 300 (RSO-wise – B2C provides target and incentive amount)</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Exclusion</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C2C to selected numbers excluded (list shared by B2C)</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Agent List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11 Oct 2025 agent list considered</w:t>
            </w:r>
          </w:p>
        </w:tc>
      </w:tr>
    </w:tbl>
    <w:p/>
    <w:p>
      <w:pPr>
        <w:spacing w:before="120" w:after="80"/>
      </w:pPr>
      <w:r>
        <w:rPr>
          <w:b/>
          <w:color w:val="2E75B6"/>
          <w:sz w:val="22"/>
        </w:rPr>
        <w:t>C2C Recharge Components</w:t>
      </w:r>
    </w:p>
    <w:tbl>
      <w:tblPr>
        <w:tblStyle w:val="TableGrid"/>
        <w:tblW w:type="auto" w:w="0"/>
        <w:tblLook w:firstColumn="1" w:firstRow="1" w:lastColumn="0" w:lastRow="0" w:noHBand="0" w:noVBand="1" w:val="04A0"/>
        <w:tblW w:w="9360" w:type="dxa"/>
      </w:tblPr>
      <w:tblGrid>
        <w:gridCol w:w="5040"/>
        <w:gridCol w:w="4320"/>
      </w:tblGrid>
      <w:tblGrid>
        <w:gridCol w:w="4514"/>
        <w:gridCol w:w="4514"/>
      </w:tblGrid>
      <w:tr>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5040" w:type="dxa"/>
          </w:tcPr>
          <w:p>
            <w:pPr>
              <w:jc w:val="center"/>
            </w:pPr>
            <w:r>
              <w:rPr>
                <w:b/>
                <w:i w:val="0"/>
                <w:color w:val="FFFFFF"/>
                <w:sz w:val="18"/>
              </w:rPr>
              <w:t>Component</w:t>
            </w:r>
          </w:p>
        </w:tc>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4320" w:type="dxa"/>
          </w:tcPr>
          <w:p>
            <w:pPr>
              <w:jc w:val="center"/>
            </w:pPr>
            <w:r>
              <w:rPr>
                <w:b/>
                <w:i w:val="0"/>
                <w:color w:val="FFFFFF"/>
                <w:sz w:val="18"/>
              </w:rPr>
              <w:t>Included</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040" w:type="dxa"/>
          </w:tcPr>
          <w:p>
            <w:pPr>
              <w:jc w:val="left"/>
            </w:pPr>
            <w:r>
              <w:rPr>
                <w:b w:val="0"/>
                <w:i w:val="0"/>
                <w:color w:val="000000"/>
                <w:sz w:val="18"/>
              </w:rPr>
              <w:t>SR to Retailer (R2RT)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0" w:type="dxa"/>
          </w:tcPr>
          <w:p>
            <w:pPr>
              <w:jc w:val="left"/>
            </w:pPr>
            <w:r>
              <w:rPr>
                <w:b w:val="0"/>
                <w:i w:val="0"/>
                <w:color w:val="000000"/>
                <w:sz w:val="18"/>
              </w:rPr>
              <w:t>Yes</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040" w:type="dxa"/>
          </w:tcPr>
          <w:p>
            <w:pPr>
              <w:jc w:val="left"/>
            </w:pPr>
            <w:r>
              <w:rPr>
                <w:b w:val="0"/>
                <w:i w:val="0"/>
                <w:color w:val="000000"/>
                <w:sz w:val="18"/>
              </w:rPr>
              <w:t>Distributor to Retailer (D2RT)</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0" w:type="dxa"/>
          </w:tcPr>
          <w:p>
            <w:pPr>
              <w:jc w:val="left"/>
            </w:pPr>
            <w:r>
              <w:rPr>
                <w:b w:val="0"/>
                <w:i w:val="0"/>
                <w:color w:val="000000"/>
                <w:sz w:val="18"/>
              </w:rPr>
              <w:t>Yes</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040" w:type="dxa"/>
          </w:tcPr>
          <w:p>
            <w:pPr>
              <w:jc w:val="left"/>
            </w:pPr>
            <w:r>
              <w:rPr>
                <w:b w:val="0"/>
                <w:i w:val="0"/>
                <w:color w:val="000000"/>
                <w:sz w:val="18"/>
              </w:rPr>
              <w:t>SUD12AGENT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0" w:type="dxa"/>
          </w:tcPr>
          <w:p>
            <w:pPr>
              <w:jc w:val="left"/>
            </w:pPr>
            <w:r>
              <w:rPr>
                <w:b w:val="0"/>
                <w:i w:val="0"/>
                <w:color w:val="000000"/>
                <w:sz w:val="18"/>
              </w:rPr>
              <w:t>Yes</w:t>
            </w:r>
          </w:p>
        </w:tc>
      </w:tr>
      <w:tr>
        <w:tc>
          <w:tcPr>
            <w:tcW w:type="dxa" w:w="4514"/>
            <w:shd w:val="clear" w:color="auto" w:fill="FCE4D6"/>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040" w:type="dxa"/>
          </w:tcPr>
          <w:p>
            <w:pPr>
              <w:jc w:val="left"/>
            </w:pPr>
            <w:r>
              <w:rPr>
                <w:b w:val="0"/>
                <w:i w:val="0"/>
                <w:color w:val="000000"/>
                <w:sz w:val="18"/>
              </w:rPr>
              <w:t>Selected number list (B2C)</w:t>
            </w:r>
          </w:p>
        </w:tc>
        <w:tc>
          <w:tcPr>
            <w:tcW w:type="dxa" w:w="4514"/>
            <w:shd w:val="clear" w:color="auto" w:fill="FCE4D6"/>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0" w:type="dxa"/>
          </w:tcPr>
          <w:p>
            <w:pPr>
              <w:jc w:val="left"/>
            </w:pPr>
            <w:r>
              <w:rPr>
                <w:b w:val="0"/>
                <w:i w:val="0"/>
                <w:color w:val="000000"/>
                <w:sz w:val="18"/>
              </w:rPr>
              <w:t>EXCLUDED</w:t>
            </w:r>
          </w:p>
        </w:tc>
      </w:tr>
    </w:tbl>
    <w:p/>
    <w:p/>
    <w:p>
      <w:pPr>
        <w:spacing w:before="200" w:after="80"/>
      </w:pPr>
      <w:r>
        <w:rPr>
          <w:b/>
          <w:color w:val="1F4E79"/>
          <w:sz w:val="26"/>
          <w:u w:val="single"/>
        </w:rPr>
        <w:t>14. RSO Tiger Retailer Campaign (22–23 Jun 2025)</w:t>
      </w:r>
    </w:p>
    <w:tbl>
      <w:tblPr>
        <w:tblStyle w:val="TableGrid"/>
        <w:tblW w:type="auto" w:w="0"/>
        <w:tblLook w:firstColumn="1" w:firstRow="1" w:lastColumn="0" w:lastRow="0" w:noHBand="0" w:noVBand="1" w:val="04A0"/>
        <w:tblW w:w="9360" w:type="dxa"/>
      </w:tblPr>
      <w:tblGrid>
        <w:gridCol w:w="3456"/>
        <w:gridCol w:w="5903"/>
      </w:tblGrid>
      <w:tblGrid>
        <w:gridCol w:w="4514"/>
        <w:gridCol w:w="4514"/>
      </w:tblGrid>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SRF Title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RSO Tiger Retailer Campaign_22nd to 23rd Jun25</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Recipient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RSO (Field Force)</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Period</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22 Jun 2025 – 23 Jun 2025</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KPI</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C2C Retail Count – count of selected retailers with Deno recharge</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Incentive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BDT 20 per retail (RSO-wise target from B2C)</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Retailer Base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Selected retailer list from B2C (linked SRF: Tiger Retailer EV Lifting Campaign)</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Agent List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23 Jun 2025 agent list considered</w:t>
            </w:r>
          </w:p>
        </w:tc>
      </w:tr>
    </w:tbl>
    <w:p/>
    <w:p>
      <w:pPr>
        <w:spacing w:before="120" w:after="80"/>
      </w:pPr>
      <w:r>
        <w:rPr>
          <w:b/>
          <w:color w:val="2E75B6"/>
          <w:sz w:val="22"/>
        </w:rPr>
        <w:t>Unique KPI Condition – Usage Gate</w:t>
      </w:r>
    </w:p>
    <w:p>
      <w:r>
        <w:rPr>
          <w:sz w:val="20"/>
        </w:rPr>
        <w:t>At least 95% of total GA must have more than BDT 5 in usage within 7th of the next month. This usage gate is unique and distinct from the standard 93% No-Play gate used in other campaigns.</w:t>
      </w:r>
    </w:p>
    <w:p>
      <w:pPr>
        <w:spacing w:before="120" w:after="80"/>
      </w:pPr>
      <w:r>
        <w:rPr>
          <w:b/>
          <w:color w:val="2E75B6"/>
          <w:sz w:val="22"/>
        </w:rPr>
        <w:t>Deno (Denomination) Recharge</w:t>
      </w:r>
    </w:p>
    <w:p>
      <w:r>
        <w:rPr>
          <w:sz w:val="20"/>
        </w:rPr>
        <w:t>The KPI measures C2C Deno Recharge activity at selected 'Tiger Retailer' outlets. The specific denominations and retailer list are both shared by B2C. This is a retail count target (number of retailers hit), not a total recharge amount target.</w:t>
      </w:r>
    </w:p>
    <w:p>
      <w:r>
        <w:br w:type="page"/>
      </w:r>
    </w:p>
    <w:p>
      <w:pPr>
        <w:spacing w:before="200" w:after="80"/>
      </w:pPr>
      <w:r>
        <w:rPr>
          <w:b/>
          <w:color w:val="1F4E79"/>
          <w:sz w:val="26"/>
          <w:u w:val="single"/>
        </w:rPr>
        <w:t>15. Retailer Banglalink Utsob Campaign (11–30 Nov 2025)</w:t>
      </w:r>
    </w:p>
    <w:tbl>
      <w:tblPr>
        <w:tblStyle w:val="TableGrid"/>
        <w:tblW w:type="auto" w:w="0"/>
        <w:tblLook w:firstColumn="1" w:firstRow="1" w:lastColumn="0" w:lastRow="0" w:noHBand="0" w:noVBand="1" w:val="04A0"/>
        <w:tblW w:w="9360" w:type="dxa"/>
      </w:tblPr>
      <w:tblGrid>
        <w:gridCol w:w="3456"/>
        <w:gridCol w:w="5903"/>
      </w:tblGrid>
      <w:tblGrid>
        <w:gridCol w:w="4514"/>
        <w:gridCol w:w="4514"/>
      </w:tblGrid>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SRF Title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Retailer Campaign_Banglalink Utsob_11th to 30th Nov25</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Recipient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Retailer</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Period</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11 Nov 2025 – 30 Nov 2025</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KPI</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GA + C2S Recharge (BOTH must be achieved – dual gate model)</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Incentive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Fixed reward amount per retailer (retailer-wise, from B2C)</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GA Scope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Only Prepaid SIM; MNP counted; Assisted channel (RSO, BP) excluded</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Disbursement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Salescom to EV Automation: Yes (via SMS notification)</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Agent List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30 Nov 2025 calendar considered</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Maturity</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8th of following month</w:t>
            </w:r>
          </w:p>
        </w:tc>
      </w:tr>
    </w:tbl>
    <w:p/>
    <w:p>
      <w:pPr>
        <w:spacing w:before="120" w:after="80"/>
      </w:pPr>
      <w:r>
        <w:rPr>
          <w:b/>
          <w:color w:val="2E75B6"/>
          <w:sz w:val="22"/>
        </w:rPr>
        <w:t>Dual Gate Eligibility Model</w:t>
      </w:r>
    </w:p>
    <w:tbl>
      <w:tblPr>
        <w:tblStyle w:val="TableGrid"/>
        <w:tblW w:type="auto" w:w="0"/>
        <w:tblLook w:firstColumn="1" w:firstRow="1" w:lastColumn="0" w:lastRow="0" w:noHBand="0" w:noVBand="1" w:val="04A0"/>
        <w:tblW w:w="8928" w:type="dxa"/>
      </w:tblPr>
      <w:tblGrid>
        <w:gridCol w:w="936"/>
        <w:gridCol w:w="1007"/>
        <w:gridCol w:w="1080"/>
        <w:gridCol w:w="1007"/>
        <w:gridCol w:w="1152"/>
        <w:gridCol w:w="1080"/>
        <w:gridCol w:w="1080"/>
        <w:gridCol w:w="1584"/>
      </w:tblGrid>
      <w:tblGrid>
        <w:gridCol w:w="1129"/>
        <w:gridCol w:w="1129"/>
        <w:gridCol w:w="1129"/>
        <w:gridCol w:w="1129"/>
        <w:gridCol w:w="1129"/>
        <w:gridCol w:w="1129"/>
        <w:gridCol w:w="1129"/>
        <w:gridCol w:w="1129"/>
      </w:tblGrid>
      <w:tr>
        <w:tc>
          <w:tcPr>
            <w:tcW w:type="dxa" w:w="1129"/>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936" w:type="dxa"/>
          </w:tcPr>
          <w:p>
            <w:pPr>
              <w:jc w:val="center"/>
            </w:pPr>
            <w:r>
              <w:rPr>
                <w:b/>
                <w:i w:val="0"/>
                <w:color w:val="FFFFFF"/>
                <w:sz w:val="18"/>
              </w:rPr>
              <w:t>Retailer</w:t>
            </w:r>
          </w:p>
        </w:tc>
        <w:tc>
          <w:tcPr>
            <w:tcW w:type="dxa" w:w="1129"/>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007" w:type="dxa"/>
          </w:tcPr>
          <w:p>
            <w:pPr>
              <w:jc w:val="center"/>
            </w:pPr>
            <w:r>
              <w:rPr>
                <w:b/>
                <w:i w:val="0"/>
                <w:color w:val="FFFFFF"/>
                <w:sz w:val="18"/>
              </w:rPr>
              <w:t>GA Target</w:t>
            </w:r>
          </w:p>
        </w:tc>
        <w:tc>
          <w:tcPr>
            <w:tcW w:type="dxa" w:w="1129"/>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080" w:type="dxa"/>
          </w:tcPr>
          <w:p>
            <w:pPr>
              <w:jc w:val="center"/>
            </w:pPr>
            <w:r>
              <w:rPr>
                <w:b/>
                <w:i w:val="0"/>
                <w:color w:val="FFFFFF"/>
                <w:sz w:val="18"/>
              </w:rPr>
              <w:t>Vetted GA</w:t>
            </w:r>
          </w:p>
        </w:tc>
        <w:tc>
          <w:tcPr>
            <w:tcW w:type="dxa" w:w="1129"/>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007" w:type="dxa"/>
          </w:tcPr>
          <w:p>
            <w:pPr>
              <w:jc w:val="center"/>
            </w:pPr>
            <w:r>
              <w:rPr>
                <w:b/>
                <w:i w:val="0"/>
                <w:color w:val="FFFFFF"/>
                <w:sz w:val="18"/>
              </w:rPr>
              <w:t>GA Ach%</w:t>
            </w:r>
          </w:p>
        </w:tc>
        <w:tc>
          <w:tcPr>
            <w:tcW w:type="dxa" w:w="1129"/>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152" w:type="dxa"/>
          </w:tcPr>
          <w:p>
            <w:pPr>
              <w:jc w:val="center"/>
            </w:pPr>
            <w:r>
              <w:rPr>
                <w:b/>
                <w:i w:val="0"/>
                <w:color w:val="FFFFFF"/>
                <w:sz w:val="18"/>
              </w:rPr>
              <w:t>C2S Target</w:t>
            </w:r>
          </w:p>
        </w:tc>
        <w:tc>
          <w:tcPr>
            <w:tcW w:type="dxa" w:w="1129"/>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080" w:type="dxa"/>
          </w:tcPr>
          <w:p>
            <w:pPr>
              <w:jc w:val="center"/>
            </w:pPr>
            <w:r>
              <w:rPr>
                <w:b/>
                <w:i w:val="0"/>
                <w:color w:val="FFFFFF"/>
                <w:sz w:val="18"/>
              </w:rPr>
              <w:t>C2S Ach</w:t>
            </w:r>
          </w:p>
        </w:tc>
        <w:tc>
          <w:tcPr>
            <w:tcW w:type="dxa" w:w="1129"/>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080" w:type="dxa"/>
          </w:tcPr>
          <w:p>
            <w:pPr>
              <w:jc w:val="center"/>
            </w:pPr>
            <w:r>
              <w:rPr>
                <w:b/>
                <w:i w:val="0"/>
                <w:color w:val="FFFFFF"/>
                <w:sz w:val="18"/>
              </w:rPr>
              <w:t>C2S Ach%</w:t>
            </w:r>
          </w:p>
        </w:tc>
        <w:tc>
          <w:tcPr>
            <w:tcW w:type="dxa" w:w="1129"/>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584" w:type="dxa"/>
          </w:tcPr>
          <w:p>
            <w:pPr>
              <w:jc w:val="center"/>
            </w:pPr>
            <w:r>
              <w:rPr>
                <w:b/>
                <w:i w:val="0"/>
                <w:color w:val="FFFFFF"/>
                <w:sz w:val="18"/>
              </w:rPr>
              <w:t>Status</w:t>
            </w:r>
          </w:p>
        </w:tc>
      </w:tr>
      <w:tr>
        <w:tc>
          <w:tcPr>
            <w:tcW w:type="dxa" w:w="1129"/>
            <w:shd w:val="clear" w:color="auto" w:fill="FCE4D6"/>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936" w:type="dxa"/>
          </w:tcPr>
          <w:p>
            <w:pPr>
              <w:jc w:val="left"/>
            </w:pPr>
            <w:r>
              <w:rPr>
                <w:b w:val="0"/>
                <w:i w:val="0"/>
                <w:color w:val="000000"/>
                <w:sz w:val="18"/>
              </w:rPr>
              <w:t>A</w:t>
            </w:r>
          </w:p>
        </w:tc>
        <w:tc>
          <w:tcPr>
            <w:tcW w:type="dxa" w:w="1129"/>
            <w:shd w:val="clear" w:color="auto" w:fill="FCE4D6"/>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07" w:type="dxa"/>
          </w:tcPr>
          <w:p>
            <w:pPr>
              <w:jc w:val="left"/>
            </w:pPr>
            <w:r>
              <w:rPr>
                <w:b w:val="0"/>
                <w:i w:val="0"/>
                <w:color w:val="000000"/>
                <w:sz w:val="18"/>
              </w:rPr>
              <w:t>50</w:t>
            </w:r>
          </w:p>
        </w:tc>
        <w:tc>
          <w:tcPr>
            <w:tcW w:type="dxa" w:w="1129"/>
            <w:shd w:val="clear" w:color="auto" w:fill="FCE4D6"/>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40</w:t>
            </w:r>
          </w:p>
        </w:tc>
        <w:tc>
          <w:tcPr>
            <w:tcW w:type="dxa" w:w="1129"/>
            <w:shd w:val="clear" w:color="auto" w:fill="FCE4D6"/>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07" w:type="dxa"/>
          </w:tcPr>
          <w:p>
            <w:pPr>
              <w:jc w:val="left"/>
            </w:pPr>
            <w:r>
              <w:rPr>
                <w:b w:val="0"/>
                <w:i w:val="0"/>
                <w:color w:val="000000"/>
                <w:sz w:val="18"/>
              </w:rPr>
              <w:t>80%</w:t>
            </w:r>
          </w:p>
        </w:tc>
        <w:tc>
          <w:tcPr>
            <w:tcW w:type="dxa" w:w="1129"/>
            <w:shd w:val="clear" w:color="auto" w:fill="FCE4D6"/>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2,000</w:t>
            </w:r>
          </w:p>
        </w:tc>
        <w:tc>
          <w:tcPr>
            <w:tcW w:type="dxa" w:w="1129"/>
            <w:shd w:val="clear" w:color="auto" w:fill="FCE4D6"/>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2,100</w:t>
            </w:r>
          </w:p>
        </w:tc>
        <w:tc>
          <w:tcPr>
            <w:tcW w:type="dxa" w:w="1129"/>
            <w:shd w:val="clear" w:color="auto" w:fill="FCE4D6"/>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105%</w:t>
            </w:r>
          </w:p>
        </w:tc>
        <w:tc>
          <w:tcPr>
            <w:tcW w:type="dxa" w:w="1129"/>
            <w:shd w:val="clear" w:color="auto" w:fill="FCE4D6"/>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NOT ELIGIBLE</w:t>
            </w:r>
          </w:p>
        </w:tc>
      </w:tr>
      <w:tr>
        <w:tc>
          <w:tcPr>
            <w:tcW w:type="dxa" w:w="1129"/>
            <w:shd w:val="clear" w:color="auto" w:fill="E2EFDA"/>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936" w:type="dxa"/>
          </w:tcPr>
          <w:p>
            <w:pPr>
              <w:jc w:val="left"/>
            </w:pPr>
            <w:r>
              <w:rPr>
                <w:b w:val="0"/>
                <w:i w:val="0"/>
                <w:color w:val="000000"/>
                <w:sz w:val="18"/>
              </w:rPr>
              <w:t>B</w:t>
            </w:r>
          </w:p>
        </w:tc>
        <w:tc>
          <w:tcPr>
            <w:tcW w:type="dxa" w:w="1129"/>
            <w:shd w:val="clear" w:color="auto" w:fill="E2EFDA"/>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07" w:type="dxa"/>
          </w:tcPr>
          <w:p>
            <w:pPr>
              <w:jc w:val="left"/>
            </w:pPr>
            <w:r>
              <w:rPr>
                <w:b w:val="0"/>
                <w:i w:val="0"/>
                <w:color w:val="000000"/>
                <w:sz w:val="18"/>
              </w:rPr>
              <w:t>50</w:t>
            </w:r>
          </w:p>
        </w:tc>
        <w:tc>
          <w:tcPr>
            <w:tcW w:type="dxa" w:w="1129"/>
            <w:shd w:val="clear" w:color="auto" w:fill="E2EFDA"/>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50</w:t>
            </w:r>
          </w:p>
        </w:tc>
        <w:tc>
          <w:tcPr>
            <w:tcW w:type="dxa" w:w="1129"/>
            <w:shd w:val="clear" w:color="auto" w:fill="E2EFDA"/>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07" w:type="dxa"/>
          </w:tcPr>
          <w:p>
            <w:pPr>
              <w:jc w:val="left"/>
            </w:pPr>
            <w:r>
              <w:rPr>
                <w:b w:val="0"/>
                <w:i w:val="0"/>
                <w:color w:val="000000"/>
                <w:sz w:val="18"/>
              </w:rPr>
              <w:t>100%</w:t>
            </w:r>
          </w:p>
        </w:tc>
        <w:tc>
          <w:tcPr>
            <w:tcW w:type="dxa" w:w="1129"/>
            <w:shd w:val="clear" w:color="auto" w:fill="E2EFDA"/>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Pr>
                <w:b w:val="0"/>
                <w:i w:val="0"/>
                <w:color w:val="000000"/>
                <w:sz w:val="18"/>
              </w:rPr>
              <w:t>5,000</w:t>
            </w:r>
          </w:p>
        </w:tc>
        <w:tc>
          <w:tcPr>
            <w:tcW w:type="dxa" w:w="1129"/>
            <w:shd w:val="clear" w:color="auto" w:fill="E2EFDA"/>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5,000</w:t>
            </w:r>
          </w:p>
        </w:tc>
        <w:tc>
          <w:tcPr>
            <w:tcW w:type="dxa" w:w="1129"/>
            <w:shd w:val="clear" w:color="auto" w:fill="E2EFDA"/>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100%</w:t>
            </w:r>
          </w:p>
        </w:tc>
        <w:tc>
          <w:tcPr>
            <w:tcW w:type="dxa" w:w="1129"/>
            <w:shd w:val="clear" w:color="auto" w:fill="E2EFDA"/>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ELIGIBLE</w:t>
            </w:r>
          </w:p>
        </w:tc>
      </w:tr>
    </w:tbl>
    <w:p/>
    <w:p>
      <w:pPr>
        <w:spacing w:before="40" w:after="40"/>
        <w:ind w:left="432"/>
      </w:pPr>
      <w:r>
        <w:rPr>
          <w:i/>
          <w:color w:val="595959"/>
          <w:sz w:val="17"/>
        </w:rPr>
        <w:t>Note: BOTH GA AND C2S targets must be achieved. Achieving one alone does NOT qualify the retailer for incentive.</w:t>
      </w:r>
    </w:p>
    <w:p>
      <w:pPr>
        <w:spacing w:before="120" w:after="80"/>
      </w:pPr>
      <w:r>
        <w:rPr>
          <w:b/>
          <w:color w:val="2E75B6"/>
          <w:sz w:val="22"/>
        </w:rPr>
        <w:t>GA Definition – Assisted Channel Exclusion</w:t>
      </w:r>
    </w:p>
    <w:tbl>
      <w:tblPr>
        <w:tblStyle w:val="TableGrid"/>
        <w:tblW w:type="auto" w:w="0"/>
        <w:tblLook w:firstColumn="1" w:firstRow="1" w:lastColumn="0" w:lastRow="0" w:noHBand="0" w:noVBand="1" w:val="04A0"/>
        <w:tblW w:w="9360" w:type="dxa"/>
      </w:tblPr>
      <w:tblGrid>
        <w:gridCol w:w="5472"/>
        <w:gridCol w:w="3888"/>
      </w:tblGrid>
      <w:tblGrid>
        <w:gridCol w:w="4514"/>
        <w:gridCol w:w="4514"/>
      </w:tblGrid>
      <w:tr>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5472" w:type="dxa"/>
          </w:tcPr>
          <w:p>
            <w:pPr>
              <w:jc w:val="center"/>
            </w:pPr>
            <w:r>
              <w:rPr>
                <w:b/>
                <w:i w:val="0"/>
                <w:color w:val="FFFFFF"/>
                <w:sz w:val="18"/>
              </w:rPr>
              <w:t>GA Count</w:t>
            </w:r>
          </w:p>
        </w:tc>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888" w:type="dxa"/>
          </w:tcPr>
          <w:p>
            <w:pPr>
              <w:jc w:val="center"/>
            </w:pPr>
            <w:r>
              <w:rPr>
                <w:b/>
                <w:i w:val="0"/>
                <w:color w:val="FFFFFF"/>
                <w:sz w:val="18"/>
              </w:rPr>
              <w:t>Included?</w:t>
            </w:r>
          </w:p>
        </w:tc>
      </w:tr>
      <w:tr>
        <w:tc>
          <w:tcPr>
            <w:tcW w:type="dxa" w:w="4514"/>
            <w:shd w:val="clear" w:color="auto" w:fill="E2EFDA"/>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472" w:type="dxa"/>
          </w:tcPr>
          <w:p>
            <w:pPr>
              <w:jc w:val="left"/>
            </w:pPr>
            <w:r>
              <w:rPr>
                <w:b w:val="0"/>
                <w:i w:val="0"/>
                <w:color w:val="000000"/>
                <w:sz w:val="18"/>
              </w:rPr>
              <w:t>Retailer self-sold Prepaid SIM activation</w:t>
            </w:r>
          </w:p>
        </w:tc>
        <w:tc>
          <w:tcPr>
            <w:tcW w:type="dxa" w:w="4514"/>
            <w:shd w:val="clear" w:color="auto" w:fill="E2EFDA"/>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888" w:type="dxa"/>
          </w:tcPr>
          <w:p>
            <w:pPr>
              <w:jc w:val="left"/>
            </w:pPr>
            <w:r>
              <w:rPr>
                <w:b w:val="0"/>
                <w:i w:val="0"/>
                <w:color w:val="000000"/>
                <w:sz w:val="18"/>
              </w:rPr>
              <w:t>Yes</w:t>
            </w:r>
          </w:p>
        </w:tc>
      </w:tr>
      <w:tr>
        <w:tc>
          <w:tcPr>
            <w:tcW w:type="dxa" w:w="4514"/>
            <w:shd w:val="clear" w:color="auto" w:fill="E2EFDA"/>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472" w:type="dxa"/>
          </w:tcPr>
          <w:p>
            <w:pPr>
              <w:jc w:val="left"/>
            </w:pPr>
            <w:r>
              <w:rPr>
                <w:b w:val="0"/>
                <w:i w:val="0"/>
                <w:color w:val="000000"/>
                <w:sz w:val="18"/>
              </w:rPr>
              <w:t>MNP port-in</w:t>
            </w:r>
          </w:p>
        </w:tc>
        <w:tc>
          <w:tcPr>
            <w:tcW w:type="dxa" w:w="4514"/>
            <w:shd w:val="clear" w:color="auto" w:fill="E2EFDA"/>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888" w:type="dxa"/>
          </w:tcPr>
          <w:p>
            <w:pPr>
              <w:jc w:val="left"/>
            </w:pPr>
            <w:r>
              <w:rPr>
                <w:b w:val="0"/>
                <w:i w:val="0"/>
                <w:color w:val="000000"/>
                <w:sz w:val="18"/>
              </w:rPr>
              <w:t>Yes</w:t>
            </w:r>
          </w:p>
        </w:tc>
      </w:tr>
      <w:tr>
        <w:tc>
          <w:tcPr>
            <w:tcW w:type="dxa" w:w="4514"/>
            <w:shd w:val="clear" w:color="auto" w:fill="FCE4D6"/>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472" w:type="dxa"/>
          </w:tcPr>
          <w:p>
            <w:pPr>
              <w:jc w:val="left"/>
            </w:pPr>
            <w:r>
              <w:rPr>
                <w:b w:val="0"/>
                <w:i w:val="0"/>
                <w:color w:val="000000"/>
                <w:sz w:val="18"/>
              </w:rPr>
              <w:t>RSO-assisted GA</w:t>
            </w:r>
          </w:p>
        </w:tc>
        <w:tc>
          <w:tcPr>
            <w:tcW w:type="dxa" w:w="4514"/>
            <w:shd w:val="clear" w:color="auto" w:fill="FCE4D6"/>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888" w:type="dxa"/>
          </w:tcPr>
          <w:p>
            <w:pPr>
              <w:jc w:val="left"/>
            </w:pPr>
            <w:r>
              <w:rPr>
                <w:b w:val="0"/>
                <w:i w:val="0"/>
                <w:color w:val="000000"/>
                <w:sz w:val="18"/>
              </w:rPr>
              <w:t>EXCLUDED</w:t>
            </w:r>
          </w:p>
        </w:tc>
      </w:tr>
      <w:tr>
        <w:tc>
          <w:tcPr>
            <w:tcW w:type="dxa" w:w="4514"/>
            <w:shd w:val="clear" w:color="auto" w:fill="FCE4D6"/>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472" w:type="dxa"/>
          </w:tcPr>
          <w:p>
            <w:pPr>
              <w:jc w:val="left"/>
            </w:pPr>
            <w:r>
              <w:rPr>
                <w:b w:val="0"/>
                <w:i w:val="0"/>
                <w:color w:val="000000"/>
                <w:sz w:val="18"/>
              </w:rPr>
              <w:t>BP (Business Partner)-assisted GA</w:t>
            </w:r>
          </w:p>
        </w:tc>
        <w:tc>
          <w:tcPr>
            <w:tcW w:type="dxa" w:w="4514"/>
            <w:shd w:val="clear" w:color="auto" w:fill="FCE4D6"/>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888" w:type="dxa"/>
          </w:tcPr>
          <w:p>
            <w:pPr>
              <w:jc w:val="left"/>
            </w:pPr>
            <w:r>
              <w:rPr>
                <w:b w:val="0"/>
                <w:i w:val="0"/>
                <w:color w:val="000000"/>
                <w:sz w:val="18"/>
              </w:rPr>
              <w:t>EXCLUDED</w:t>
            </w:r>
          </w:p>
        </w:tc>
      </w:tr>
    </w:tbl>
    <w:p/>
    <w:p>
      <w:r>
        <w:br w:type="page"/>
      </w:r>
    </w:p>
    <w:p>
      <w:pPr>
        <w:spacing w:before="200" w:after="80"/>
      </w:pPr>
      <w:r>
        <w:rPr>
          <w:b/>
          <w:color w:val="1F4E79"/>
          <w:sz w:val="26"/>
          <w:u w:val="single"/>
        </w:rPr>
        <w:t>16. FWA Router Installation – Retailer &amp; Monobrand (Sep 2025 / Jan 2026)</w:t>
      </w:r>
    </w:p>
    <w:p>
      <w:pPr>
        <w:spacing w:before="120" w:after="80"/>
      </w:pPr>
      <w:r>
        <w:rPr>
          <w:b/>
          <w:color w:val="2E75B6"/>
          <w:sz w:val="22"/>
        </w:rPr>
        <w:t>16A. Retailer FWA Router Installation (from Sep 2025)</w:t>
      </w:r>
    </w:p>
    <w:tbl>
      <w:tblPr>
        <w:tblStyle w:val="TableGrid"/>
        <w:tblW w:type="auto" w:w="0"/>
        <w:tblLook w:firstColumn="1" w:firstRow="1" w:lastColumn="0" w:lastRow="0" w:noHBand="0" w:noVBand="1" w:val="04A0"/>
        <w:tblW w:w="9360" w:type="dxa"/>
      </w:tblPr>
      <w:tblGrid>
        <w:gridCol w:w="3456"/>
        <w:gridCol w:w="5903"/>
      </w:tblGrid>
      <w:tblGrid>
        <w:gridCol w:w="4514"/>
        <w:gridCol w:w="4514"/>
      </w:tblGrid>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SRF Title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Retailer FWA Router Installation from Sep25</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Recipient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FWA Retailers</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Period</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01 Sep 2025 – Until further notice</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Commission</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BDT 100 per activation (at actual – no cap)</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GA</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Successful all Prepaid Activation (FAD-based)</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DMS Codes</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Product Code 'MMST', 'MMSTS' in DMS</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Target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1 (100% threshold, 100% KPI weight) – Achievement &gt;=100%: at actual payout</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AIT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Not applicable</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Maturity</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1st of following month</w:t>
            </w:r>
          </w:p>
        </w:tc>
      </w:tr>
    </w:tbl>
    <w:p/>
    <w:p/>
    <w:p>
      <w:pPr>
        <w:spacing w:before="120" w:after="80"/>
      </w:pPr>
      <w:r>
        <w:rPr>
          <w:b/>
          <w:color w:val="2E75B6"/>
          <w:sz w:val="22"/>
        </w:rPr>
        <w:t>16B. Monobrand FWA Router Installation (from Jan 2026)</w:t>
      </w:r>
    </w:p>
    <w:tbl>
      <w:tblPr>
        <w:tblStyle w:val="TableGrid"/>
        <w:tblW w:type="auto" w:w="0"/>
        <w:tblLook w:firstColumn="1" w:firstRow="1" w:lastColumn="0" w:lastRow="0" w:noHBand="0" w:noVBand="1" w:val="04A0"/>
        <w:tblW w:w="9360" w:type="dxa"/>
      </w:tblPr>
      <w:tblGrid>
        <w:gridCol w:w="3456"/>
        <w:gridCol w:w="5903"/>
      </w:tblGrid>
      <w:tblGrid>
        <w:gridCol w:w="4514"/>
        <w:gridCol w:w="4514"/>
      </w:tblGrid>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SRF Title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Monobrand FWA Router Installation from Jan26</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Recipient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Monobrand Agents (MB Agents)</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Period</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01 Jan 2026 – Until further notice</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Commission</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BDT 50 per successful lead generation</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Achievement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MB Agent achievement data shared by Business team</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AIT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Not applicable</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Maturity</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1st of following month</w:t>
            </w:r>
          </w:p>
        </w:tc>
      </w:tr>
    </w:tbl>
    <w:p/>
    <w:p>
      <w:pPr>
        <w:spacing w:before="120" w:after="80"/>
      </w:pPr>
      <w:r>
        <w:rPr>
          <w:b/>
          <w:color w:val="2E75B6"/>
          <w:sz w:val="22"/>
        </w:rPr>
        <w:t>Comparison: Retailer vs Monobrand FWA</w:t>
      </w:r>
    </w:p>
    <w:tbl>
      <w:tblPr>
        <w:tblStyle w:val="TableGrid"/>
        <w:tblW w:type="auto" w:w="0"/>
        <w:tblLook w:firstColumn="1" w:firstRow="1" w:lastColumn="0" w:lastRow="0" w:noHBand="0" w:noVBand="1" w:val="04A0"/>
        <w:tblW w:w="9360" w:type="dxa"/>
      </w:tblPr>
      <w:tblGrid>
        <w:gridCol w:w="2592"/>
        <w:gridCol w:w="3384"/>
        <w:gridCol w:w="3384"/>
      </w:tblGrid>
      <w:tblGrid>
        <w:gridCol w:w="3010"/>
        <w:gridCol w:w="3010"/>
        <w:gridCol w:w="3010"/>
      </w:tblGrid>
      <w:tr>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592" w:type="dxa"/>
          </w:tcPr>
          <w:p>
            <w:pPr>
              <w:jc w:val="center"/>
            </w:pPr>
            <w:r>
              <w:rPr>
                <w:b/>
                <w:i w:val="0"/>
                <w:color w:val="FFFFFF"/>
                <w:sz w:val="18"/>
              </w:rPr>
              <w:t>Parameter</w:t>
            </w:r>
          </w:p>
        </w:tc>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384" w:type="dxa"/>
          </w:tcPr>
          <w:p>
            <w:pPr>
              <w:jc w:val="center"/>
            </w:pPr>
            <w:r>
              <w:rPr>
                <w:b/>
                <w:i w:val="0"/>
                <w:color w:val="FFFFFF"/>
                <w:sz w:val="18"/>
              </w:rPr>
              <w:t>FWA Retailer (Sep25)</w:t>
            </w:r>
          </w:p>
        </w:tc>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384" w:type="dxa"/>
          </w:tcPr>
          <w:p>
            <w:pPr>
              <w:jc w:val="center"/>
            </w:pPr>
            <w:r>
              <w:rPr>
                <w:b/>
                <w:i w:val="0"/>
                <w:color w:val="FFFFFF"/>
                <w:sz w:val="18"/>
              </w:rPr>
              <w:t>Monobrand Agent (Jan26)</w:t>
            </w:r>
          </w:p>
        </w:tc>
      </w:tr>
      <w:tr>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Commission</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BDT 100/activation</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BDT 50/lead generation</w:t>
            </w:r>
          </w:p>
        </w:tc>
      </w:tr>
      <w:tr>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Trigger</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Successful FAD-based activation</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Successful lead generation</w:t>
            </w:r>
          </w:p>
        </w:tc>
      </w:tr>
      <w:tr>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DMS Code</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MMST, MMSTS</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N/A (business team data)</w:t>
            </w:r>
          </w:p>
        </w:tc>
      </w:tr>
      <w:tr>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KPI Model</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Target=1, 100% threshold</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Achievement data from business team</w:t>
            </w:r>
          </w:p>
        </w:tc>
      </w:tr>
      <w:tr>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Pr>
                <w:b w:val="0"/>
                <w:i w:val="0"/>
                <w:color w:val="000000"/>
                <w:sz w:val="18"/>
              </w:rPr>
              <w:t>AIT</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Not applicable</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Not applicable</w:t>
            </w:r>
          </w:p>
        </w:tc>
      </w:tr>
    </w:tbl>
    <w:p/>
    <w:p>
      <w:r>
        <w:br w:type="page"/>
      </w:r>
    </w:p>
    <w:p>
      <w:pPr>
        <w:spacing w:before="200" w:after="80"/>
      </w:pPr>
      <w:r>
        <w:rPr>
          <w:b/>
          <w:color w:val="1F4E79"/>
          <w:sz w:val="26"/>
          <w:u w:val="single"/>
        </w:rPr>
        <w:t>17. Monobrand CCR TOS Reward Campaign (Sep–Oct 2025)</w:t>
      </w:r>
    </w:p>
    <w:tbl>
      <w:tblPr>
        <w:tblStyle w:val="TableGrid"/>
        <w:tblW w:type="auto" w:w="0"/>
        <w:tblLook w:firstColumn="1" w:firstRow="1" w:lastColumn="0" w:lastRow="0" w:noHBand="0" w:noVBand="1" w:val="04A0"/>
        <w:tblW w:w="9360" w:type="dxa"/>
      </w:tblPr>
      <w:tblGrid>
        <w:gridCol w:w="3456"/>
        <w:gridCol w:w="5903"/>
      </w:tblGrid>
      <w:tblGrid>
        <w:gridCol w:w="4514"/>
        <w:gridCol w:w="4514"/>
      </w:tblGrid>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SRFs</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Reward Campaign for TOS drive for Monobrand CCR_Sep25 to Oct25 + Revision</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Recipient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Monobrand CCR (listed agents only)</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Period</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28 Sep 2025 – 31 Oct 2025</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KPI</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TOS – Transfer of Ownership (Individual to Individual, NID-verified)</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Mechanism</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Slab-based per-unit commission (no upper cap on Slab 2)</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AIT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Not applicable</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Eligible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Only listed Monobrand CCRs (list may be expanded during campaign)</w:t>
            </w:r>
          </w:p>
        </w:tc>
      </w:tr>
      <w:tr>
        <w:trPr/>
        <w:tc>
          <w:tcPr>
            <w:tcW w:type="dxa" w:w="4514"/>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Pr>
                <w:b/>
                <w:i w:val="0"/>
                <w:color w:val="000000"/>
                <w:sz w:val="18"/>
              </w:rPr>
              <w:t>Maturity</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903" w:type="dxa"/>
          </w:tcPr>
          <w:p>
            <w:pPr>
              <w:jc w:val="left"/>
            </w:pPr>
            <w:r>
              <w:rPr>
                <w:b w:val="0"/>
                <w:i w:val="0"/>
                <w:color w:val="000000"/>
                <w:sz w:val="18"/>
              </w:rPr>
              <w:t>1st of the following month</w:t>
            </w:r>
          </w:p>
        </w:tc>
      </w:tr>
    </w:tbl>
    <w:p/>
    <w:p>
      <w:pPr>
        <w:spacing w:before="120" w:after="80"/>
      </w:pPr>
      <w:r>
        <w:rPr>
          <w:b/>
          <w:color w:val="2E75B6"/>
          <w:sz w:val="22"/>
        </w:rPr>
        <w:t>Slab Structure</w:t>
      </w:r>
    </w:p>
    <w:tbl>
      <w:tblPr>
        <w:tblStyle w:val="TableGrid"/>
        <w:tblW w:type="auto" w:w="0"/>
        <w:tblLook w:firstColumn="1" w:firstRow="1" w:lastColumn="0" w:lastRow="0" w:noHBand="0" w:noVBand="1" w:val="04A0"/>
        <w:tblW w:w="9360" w:type="dxa"/>
      </w:tblPr>
      <w:tblGrid>
        <w:gridCol w:w="1872"/>
        <w:gridCol w:w="3744"/>
        <w:gridCol w:w="3744"/>
      </w:tblGrid>
      <w:tblGrid>
        <w:gridCol w:w="3010"/>
        <w:gridCol w:w="3010"/>
        <w:gridCol w:w="3010"/>
      </w:tblGrid>
      <w:tr>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872" w:type="dxa"/>
          </w:tcPr>
          <w:p>
            <w:pPr>
              <w:jc w:val="center"/>
            </w:pPr>
            <w:r>
              <w:rPr>
                <w:b/>
                <w:i w:val="0"/>
                <w:color w:val="FFFFFF"/>
                <w:sz w:val="18"/>
              </w:rPr>
              <w:t>Slab</w:t>
            </w:r>
          </w:p>
        </w:tc>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744" w:type="dxa"/>
          </w:tcPr>
          <w:p>
            <w:pPr>
              <w:jc w:val="center"/>
            </w:pPr>
            <w:r>
              <w:rPr>
                <w:b/>
                <w:i w:val="0"/>
                <w:color w:val="FFFFFF"/>
                <w:sz w:val="18"/>
              </w:rPr>
              <w:t>TOS Count</w:t>
            </w:r>
          </w:p>
        </w:tc>
        <w:tc>
          <w:tcPr>
            <w:tcW w:type="dxa" w:w="3010"/>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744" w:type="dxa"/>
          </w:tcPr>
          <w:p>
            <w:pPr>
              <w:jc w:val="center"/>
            </w:pPr>
            <w:r>
              <w:rPr>
                <w:b/>
                <w:i w:val="0"/>
                <w:color w:val="FFFFFF"/>
                <w:sz w:val="18"/>
              </w:rPr>
              <w:t>Incentive per Unit</w:t>
            </w:r>
          </w:p>
        </w:tc>
      </w:tr>
      <w:tr>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Pr>
                <w:b w:val="0"/>
                <w:i w:val="0"/>
                <w:color w:val="000000"/>
                <w:sz w:val="18"/>
              </w:rPr>
              <w:t>Slab 1</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744" w:type="dxa"/>
          </w:tcPr>
          <w:p>
            <w:pPr>
              <w:jc w:val="left"/>
            </w:pPr>
            <w:r>
              <w:rPr>
                <w:b w:val="0"/>
                <w:i w:val="0"/>
                <w:color w:val="000000"/>
                <w:sz w:val="18"/>
              </w:rPr>
              <w:t>50 – 100</w:t>
            </w:r>
          </w:p>
        </w:tc>
        <w:tc>
          <w:tcPr>
            <w:tcW w:type="dxa" w:w="3010"/>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744" w:type="dxa"/>
          </w:tcPr>
          <w:p>
            <w:pPr>
              <w:jc w:val="left"/>
            </w:pPr>
            <w:r>
              <w:rPr>
                <w:b w:val="0"/>
                <w:i w:val="0"/>
                <w:color w:val="000000"/>
                <w:sz w:val="18"/>
              </w:rPr>
              <w:t>BDT 50</w:t>
            </w:r>
          </w:p>
        </w:tc>
      </w:tr>
      <w:tr>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Pr>
                <w:b w:val="0"/>
                <w:i w:val="0"/>
                <w:color w:val="000000"/>
                <w:sz w:val="18"/>
              </w:rPr>
              <w:t>Slab 2</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744" w:type="dxa"/>
          </w:tcPr>
          <w:p>
            <w:pPr>
              <w:jc w:val="left"/>
            </w:pPr>
            <w:r>
              <w:rPr>
                <w:b w:val="0"/>
                <w:i w:val="0"/>
                <w:color w:val="000000"/>
                <w:sz w:val="18"/>
              </w:rPr>
              <w:t>100+</w:t>
            </w:r>
          </w:p>
        </w:tc>
        <w:tc>
          <w:tcPr>
            <w:tcW w:type="dxa" w:w="3010"/>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744" w:type="dxa"/>
          </w:tcPr>
          <w:p>
            <w:pPr>
              <w:jc w:val="left"/>
            </w:pPr>
            <w:r>
              <w:rPr>
                <w:b w:val="0"/>
                <w:i w:val="0"/>
                <w:color w:val="000000"/>
                <w:sz w:val="18"/>
              </w:rPr>
              <w:t>BDT 100 (No Capping)</w:t>
            </w:r>
          </w:p>
        </w:tc>
      </w:tr>
    </w:tbl>
    <w:p/>
    <w:p>
      <w:pPr>
        <w:spacing w:before="120" w:after="80"/>
      </w:pPr>
      <w:r>
        <w:rPr>
          <w:b/>
          <w:color w:val="2E75B6"/>
          <w:sz w:val="22"/>
        </w:rPr>
        <w:t>TOS Eligibility Rules</w:t>
      </w:r>
    </w:p>
    <w:tbl>
      <w:tblPr>
        <w:tblStyle w:val="TableGrid"/>
        <w:tblW w:type="auto" w:w="0"/>
        <w:tblLook w:firstColumn="1" w:firstRow="1" w:lastColumn="0" w:lastRow="0" w:noHBand="0" w:noVBand="1" w:val="04A0"/>
        <w:tblW w:w="9360" w:type="dxa"/>
      </w:tblPr>
      <w:tblGrid>
        <w:gridCol w:w="2304"/>
        <w:gridCol w:w="7056"/>
      </w:tblGrid>
      <w:tblGrid>
        <w:gridCol w:w="4514"/>
        <w:gridCol w:w="4514"/>
      </w:tblGrid>
      <w:tr>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304" w:type="dxa"/>
          </w:tcPr>
          <w:p>
            <w:pPr>
              <w:jc w:val="center"/>
            </w:pPr>
            <w:r>
              <w:rPr>
                <w:b/>
                <w:i w:val="0"/>
                <w:color w:val="FFFFFF"/>
                <w:sz w:val="18"/>
              </w:rPr>
              <w:t>Condition</w:t>
            </w:r>
          </w:p>
        </w:tc>
        <w:tc>
          <w:tcPr>
            <w:tcW w:type="dxa" w:w="4514"/>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7056" w:type="dxa"/>
          </w:tcPr>
          <w:p>
            <w:pPr>
              <w:jc w:val="center"/>
            </w:pPr>
            <w:r>
              <w:rPr>
                <w:b/>
                <w:i w:val="0"/>
                <w:color w:val="FFFFFF"/>
                <w:sz w:val="18"/>
              </w:rPr>
              <w:t>Detail</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304" w:type="dxa"/>
          </w:tcPr>
          <w:p>
            <w:pPr>
              <w:jc w:val="left"/>
            </w:pPr>
            <w:r>
              <w:rPr>
                <w:b w:val="0"/>
                <w:i w:val="0"/>
                <w:color w:val="000000"/>
                <w:sz w:val="18"/>
              </w:rPr>
              <w:t>Type</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7056" w:type="dxa"/>
          </w:tcPr>
          <w:p>
            <w:pPr>
              <w:jc w:val="left"/>
            </w:pPr>
            <w:r>
              <w:rPr>
                <w:b w:val="0"/>
                <w:i w:val="0"/>
                <w:color w:val="000000"/>
                <w:sz w:val="18"/>
              </w:rPr>
              <w:t>Individual to Individual NID customer TOS only (not corporate)</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304" w:type="dxa"/>
          </w:tcPr>
          <w:p>
            <w:pPr>
              <w:jc w:val="left"/>
            </w:pPr>
            <w:r>
              <w:rPr>
                <w:b w:val="0"/>
                <w:i w:val="0"/>
                <w:color w:val="000000"/>
                <w:sz w:val="18"/>
              </w:rPr>
              <w:t>Agent Scope</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7056" w:type="dxa"/>
          </w:tcPr>
          <w:p>
            <w:pPr>
              <w:jc w:val="left"/>
            </w:pPr>
            <w:r>
              <w:rPr>
                <w:b w:val="0"/>
                <w:i w:val="0"/>
                <w:color w:val="000000"/>
                <w:sz w:val="18"/>
              </w:rPr>
              <w:t>Only listed Monobrand CCRs – list may expand</w:t>
            </w:r>
          </w:p>
        </w:tc>
      </w:tr>
      <w:tr>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304" w:type="dxa"/>
          </w:tcPr>
          <w:p>
            <w:pPr>
              <w:jc w:val="left"/>
            </w:pPr>
            <w:r>
              <w:rPr>
                <w:b w:val="0"/>
                <w:i w:val="0"/>
                <w:color w:val="000000"/>
                <w:sz w:val="18"/>
              </w:rPr>
              <w:t>AIT</w:t>
            </w:r>
          </w:p>
        </w:tc>
        <w:tc>
          <w:tcPr>
            <w:tcW w:type="dxa" w:w="4514"/>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7056" w:type="dxa"/>
          </w:tcPr>
          <w:p>
            <w:pPr>
              <w:jc w:val="left"/>
            </w:pPr>
            <w:r>
              <w:rPr>
                <w:b w:val="0"/>
                <w:i w:val="0"/>
                <w:color w:val="000000"/>
                <w:sz w:val="18"/>
              </w:rPr>
              <w:t>Not applicable (Sales Team exemption)</w:t>
            </w:r>
          </w:p>
        </w:tc>
      </w:tr>
      <w:tr>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304" w:type="dxa"/>
          </w:tcPr>
          <w:p>
            <w:pPr>
              <w:jc w:val="left"/>
            </w:pPr>
            <w:r>
              <w:rPr>
                <w:b w:val="0"/>
                <w:i w:val="0"/>
                <w:color w:val="000000"/>
                <w:sz w:val="18"/>
              </w:rPr>
              <w:t>Data Source</w:t>
            </w:r>
          </w:p>
        </w:tc>
        <w:tc>
          <w:tcPr>
            <w:tcW w:type="dxa" w:w="4514"/>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7056" w:type="dxa"/>
          </w:tcPr>
          <w:p>
            <w:pPr>
              <w:jc w:val="left"/>
            </w:pPr>
            <w:r>
              <w:rPr>
                <w:b w:val="0"/>
                <w:i w:val="0"/>
                <w:color w:val="000000"/>
                <w:sz w:val="18"/>
              </w:rPr>
              <w:t>User team provides TOS data and eligible Monobrand CCR list</w:t>
            </w:r>
          </w:p>
        </w:tc>
      </w:tr>
    </w:tbl>
    <w:p/>
    <w:p>
      <w:pPr>
        <w:spacing w:before="40" w:after="40"/>
        <w:ind w:left="432"/>
      </w:pPr>
      <w:r>
        <w:rPr>
          <w:i/>
          <w:color w:val="595959"/>
          <w:sz w:val="17"/>
        </w:rPr>
        <w:t>Note: Original SRF and Revision SRF share identical conditions – the revision was a resubmission on 29 Dec 2025 with no structural changes to KPI logic.</w:t>
      </w:r>
    </w:p>
    <w:p>
      <w:r>
        <w:br w:type="page"/>
      </w:r>
    </w:p>
    <w:p>
      <w:pPr>
        <w:spacing w:before="200" w:after="80"/>
      </w:pPr>
      <w:r>
        <w:rPr>
          <w:b/>
          <w:color w:val="1F4E79"/>
          <w:sz w:val="26"/>
          <w:u w:val="single"/>
        </w:rPr>
        <w:t>18. SRF Summary Table</w:t>
      </w:r>
    </w:p>
    <w:tbl>
      <w:tblPr>
        <w:tblStyle w:val="TableGrid"/>
        <w:tblW w:type="auto" w:w="0"/>
        <w:tblLook w:firstColumn="1" w:firstRow="1" w:lastColumn="0" w:lastRow="0" w:noHBand="0" w:noVBand="1" w:val="04A0"/>
        <w:tblW w:w="9360" w:type="dxa"/>
      </w:tblPr>
      <w:tblGrid>
        <w:gridCol w:w="432"/>
        <w:gridCol w:w="3384"/>
        <w:gridCol w:w="1080"/>
        <w:gridCol w:w="1584"/>
        <w:gridCol w:w="1368"/>
        <w:gridCol w:w="1512"/>
      </w:tblGrid>
      <w:tblGrid>
        <w:gridCol w:w="1505"/>
        <w:gridCol w:w="1505"/>
        <w:gridCol w:w="1505"/>
        <w:gridCol w:w="1505"/>
        <w:gridCol w:w="1505"/>
        <w:gridCol w:w="1505"/>
      </w:tblGrid>
      <w:tr>
        <w:tc>
          <w:tcPr>
            <w:tcW w:type="dxa" w:w="1505"/>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432" w:type="dxa"/>
          </w:tcPr>
          <w:p>
            <w:pPr>
              <w:jc w:val="center"/>
            </w:pPr>
            <w:r>
              <w:rPr>
                <w:b/>
                <w:i w:val="0"/>
                <w:color w:val="FFFFFF"/>
                <w:sz w:val="18"/>
              </w:rPr>
              <w:t>#</w:t>
            </w:r>
          </w:p>
        </w:tc>
        <w:tc>
          <w:tcPr>
            <w:tcW w:type="dxa" w:w="1505"/>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384" w:type="dxa"/>
          </w:tcPr>
          <w:p>
            <w:pPr>
              <w:jc w:val="center"/>
            </w:pPr>
            <w:r>
              <w:rPr>
                <w:b/>
                <w:i w:val="0"/>
                <w:color w:val="FFFFFF"/>
                <w:sz w:val="18"/>
              </w:rPr>
              <w:t>SRF Title (Short)</w:t>
            </w:r>
          </w:p>
        </w:tc>
        <w:tc>
          <w:tcPr>
            <w:tcW w:type="dxa" w:w="1505"/>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080" w:type="dxa"/>
          </w:tcPr>
          <w:p>
            <w:pPr>
              <w:jc w:val="center"/>
            </w:pPr>
            <w:r>
              <w:rPr>
                <w:b/>
                <w:i w:val="0"/>
                <w:color w:val="FFFFFF"/>
                <w:sz w:val="18"/>
              </w:rPr>
              <w:t>Date</w:t>
            </w:r>
          </w:p>
        </w:tc>
        <w:tc>
          <w:tcPr>
            <w:tcW w:type="dxa" w:w="1505"/>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584" w:type="dxa"/>
          </w:tcPr>
          <w:p>
            <w:pPr>
              <w:jc w:val="center"/>
            </w:pPr>
            <w:r>
              <w:rPr>
                <w:b/>
                <w:i w:val="0"/>
                <w:color w:val="FFFFFF"/>
                <w:sz w:val="18"/>
              </w:rPr>
              <w:t>Recipient</w:t>
            </w:r>
          </w:p>
        </w:tc>
        <w:tc>
          <w:tcPr>
            <w:tcW w:type="dxa" w:w="1505"/>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368" w:type="dxa"/>
          </w:tcPr>
          <w:p>
            <w:pPr>
              <w:jc w:val="center"/>
            </w:pPr>
            <w:r>
              <w:rPr>
                <w:b/>
                <w:i w:val="0"/>
                <w:color w:val="FFFFFF"/>
                <w:sz w:val="18"/>
              </w:rPr>
              <w:t>KPI Type</w:t>
            </w:r>
          </w:p>
        </w:tc>
        <w:tc>
          <w:tcPr>
            <w:tcW w:type="dxa" w:w="1505"/>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512" w:type="dxa"/>
          </w:tcPr>
          <w:p>
            <w:pPr>
              <w:jc w:val="center"/>
            </w:pPr>
            <w:r>
              <w:rPr>
                <w:b/>
                <w:i w:val="0"/>
                <w:color w:val="FFFFFF"/>
                <w:sz w:val="18"/>
              </w:rPr>
              <w:t>Commission Mechanism</w:t>
            </w:r>
          </w:p>
        </w:tc>
      </w:tr>
      <w:tr>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1</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BL Prepaid_Campaign_Device_BP_July25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Aug 2025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Device BP SSE</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368" w:type="dxa"/>
          </w:tcPr>
          <w:p>
            <w:pPr>
              <w:jc w:val="left"/>
            </w:pPr>
            <w:r>
              <w:rPr>
                <w:b w:val="0"/>
                <w:i w:val="0"/>
                <w:color w:val="000000"/>
                <w:sz w:val="18"/>
              </w:rPr>
              <w:t>GA+VLR</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12" w:type="dxa"/>
          </w:tcPr>
          <w:p>
            <w:pPr>
              <w:jc w:val="left"/>
            </w:pPr>
            <w:r>
              <w:rPr>
                <w:b w:val="0"/>
                <w:i w:val="0"/>
                <w:color w:val="000000"/>
                <w:sz w:val="18"/>
              </w:rPr>
              <w:t>Slab BDT 20/30/40, cap 100 GA</w:t>
            </w:r>
          </w:p>
        </w:tc>
      </w:tr>
      <w:tr>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2</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BDSMayTPAY Recharge Commission</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May 2025</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Digital Distributor</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368" w:type="dxa"/>
          </w:tcPr>
          <w:p>
            <w:pPr>
              <w:jc w:val="left"/>
            </w:pPr>
            <w:r>
              <w:rPr>
                <w:b w:val="0"/>
                <w:i w:val="0"/>
                <w:color w:val="000000"/>
                <w:sz w:val="18"/>
              </w:rPr>
              <w:t>C2S Recharge</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12" w:type="dxa"/>
          </w:tcPr>
          <w:p>
            <w:pPr>
              <w:jc w:val="left"/>
            </w:pPr>
            <w:r>
              <w:rPr>
                <w:b w:val="0"/>
                <w:i w:val="0"/>
                <w:color w:val="000000"/>
                <w:sz w:val="18"/>
              </w:rPr>
              <w:t>1% of total, max BDT 35,000</w:t>
            </w:r>
          </w:p>
        </w:tc>
      </w:tr>
      <w:tr>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3</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DD Weekly Secondary Campaign 17–21 Feb26</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Feb 2026</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Distributor</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368" w:type="dxa"/>
          </w:tcPr>
          <w:p>
            <w:pPr>
              <w:jc w:val="left"/>
            </w:pPr>
            <w:r>
              <w:rPr>
                <w:b w:val="0"/>
                <w:i w:val="0"/>
                <w:color w:val="000000"/>
                <w:sz w:val="18"/>
              </w:rPr>
              <w:t>EV Secondary C2C</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12" w:type="dxa"/>
          </w:tcPr>
          <w:p>
            <w:pPr>
              <w:jc w:val="left"/>
            </w:pPr>
            <w:r>
              <w:rPr>
                <w:b w:val="0"/>
                <w:i w:val="0"/>
                <w:color w:val="000000"/>
                <w:sz w:val="18"/>
              </w:rPr>
              <w:t>Hit/Miss &gt;=100%</w:t>
            </w:r>
          </w:p>
        </w:tc>
      </w:tr>
      <w:tr>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4</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DD Weekly Secondary Campaign 22–28 Feb26</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Feb 2026</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Distributor</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368" w:type="dxa"/>
          </w:tcPr>
          <w:p>
            <w:pPr>
              <w:jc w:val="left"/>
            </w:pPr>
            <w:r>
              <w:rPr>
                <w:b w:val="0"/>
                <w:i w:val="0"/>
                <w:color w:val="000000"/>
                <w:sz w:val="18"/>
              </w:rPr>
              <w:t>EV Secondary C2C</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12" w:type="dxa"/>
          </w:tcPr>
          <w:p>
            <w:pPr>
              <w:jc w:val="left"/>
            </w:pPr>
            <w:r>
              <w:rPr>
                <w:b w:val="0"/>
                <w:i w:val="0"/>
                <w:color w:val="000000"/>
                <w:sz w:val="18"/>
              </w:rPr>
              <w:t>Hit/Miss &gt;=100%</w:t>
            </w:r>
          </w:p>
        </w:tc>
      </w:tr>
      <w:tr>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DD Weekly Tertiary Campaign 17–21 Feb26</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Feb 2026</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Distributor</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368" w:type="dxa"/>
          </w:tcPr>
          <w:p>
            <w:pPr>
              <w:jc w:val="left"/>
            </w:pPr>
            <w:r>
              <w:rPr>
                <w:b w:val="0"/>
                <w:i w:val="0"/>
                <w:color w:val="000000"/>
                <w:sz w:val="18"/>
              </w:rPr>
              <w:t>EV Tertiary C2S</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12" w:type="dxa"/>
          </w:tcPr>
          <w:p>
            <w:pPr>
              <w:jc w:val="left"/>
            </w:pPr>
            <w:r>
              <w:rPr>
                <w:b w:val="0"/>
                <w:i w:val="0"/>
                <w:color w:val="000000"/>
                <w:sz w:val="18"/>
              </w:rPr>
              <w:t>Hit/Miss &gt;=100%</w:t>
            </w:r>
          </w:p>
        </w:tc>
      </w:tr>
      <w:tr>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6</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DD Weekly Tertiary Campaign 22–28 Feb26</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Feb 2026</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Distributor</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368" w:type="dxa"/>
          </w:tcPr>
          <w:p>
            <w:pPr>
              <w:jc w:val="left"/>
            </w:pPr>
            <w:r>
              <w:rPr>
                <w:b w:val="0"/>
                <w:i w:val="0"/>
                <w:color w:val="000000"/>
                <w:sz w:val="18"/>
              </w:rPr>
              <w:t>EV Tertiary C2S</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12" w:type="dxa"/>
          </w:tcPr>
          <w:p>
            <w:pPr>
              <w:jc w:val="left"/>
            </w:pPr>
            <w:r>
              <w:rPr>
                <w:b w:val="0"/>
                <w:i w:val="0"/>
                <w:color w:val="000000"/>
                <w:sz w:val="18"/>
              </w:rPr>
              <w:t>Hit/Miss &gt;=100%</w:t>
            </w:r>
          </w:p>
        </w:tc>
      </w:tr>
      <w:tr>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7</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Daily FR Commission to DH – Promoter GA</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Jan 2026</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Promoter→DH</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368" w:type="dxa"/>
          </w:tcPr>
          <w:p>
            <w:pPr>
              <w:jc w:val="left"/>
            </w:pPr>
            <w:r>
              <w:rPr>
                <w:b w:val="0"/>
                <w:i w:val="0"/>
                <w:color w:val="000000"/>
                <w:sz w:val="18"/>
              </w:rPr>
              <w:t>FR793/1993 activation</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12" w:type="dxa"/>
          </w:tcPr>
          <w:p>
            <w:pPr>
              <w:jc w:val="left"/>
            </w:pPr>
            <w:r>
              <w:rPr>
                <w:b w:val="0"/>
                <w:i w:val="0"/>
                <w:color w:val="000000"/>
                <w:sz w:val="18"/>
              </w:rPr>
              <w:t>BDT 70/180 after AIT</w:t>
            </w:r>
          </w:p>
        </w:tc>
      </w:tr>
      <w:tr>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8</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Distributor Sprint Accelerate – Apr25</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Apr 2025</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Distributor</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368" w:type="dxa"/>
          </w:tcPr>
          <w:p>
            <w:pPr>
              <w:jc w:val="left"/>
            </w:pPr>
            <w:r>
              <w:rPr>
                <w:b w:val="0"/>
                <w:i w:val="0"/>
                <w:color w:val="000000"/>
                <w:sz w:val="18"/>
              </w:rPr>
              <w:t>Multi-KPI</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12" w:type="dxa"/>
          </w:tcPr>
          <w:p>
            <w:pPr>
              <w:jc w:val="left"/>
            </w:pPr>
            <w:r>
              <w:rPr>
                <w:b w:val="0"/>
                <w:i w:val="0"/>
                <w:color w:val="000000"/>
                <w:sz w:val="18"/>
              </w:rPr>
              <w:t>Cash incentive, Shera exclusion</w:t>
            </w:r>
          </w:p>
        </w:tc>
      </w:tr>
      <w:tr>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9</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GA Scale up for developing ESOs – Sep25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Sep 2025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SME ESO</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368" w:type="dxa"/>
          </w:tcPr>
          <w:p>
            <w:pPr>
              <w:jc w:val="left"/>
            </w:pPr>
            <w:r>
              <w:rPr>
                <w:b w:val="0"/>
                <w:i w:val="0"/>
                <w:color w:val="000000"/>
                <w:sz w:val="18"/>
              </w:rPr>
              <w:t>GA</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12" w:type="dxa"/>
          </w:tcPr>
          <w:p>
            <w:pPr>
              <w:jc w:val="left"/>
            </w:pPr>
            <w:r>
              <w:rPr>
                <w:b w:val="0"/>
                <w:i w:val="0"/>
                <w:color w:val="000000"/>
                <w:sz w:val="18"/>
              </w:rPr>
              <w:t>Slab BDT 80/GA, 7 slabs</w:t>
            </w:r>
          </w:p>
        </w:tc>
      </w:tr>
      <w:tr>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10</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Monobrand FWA Router Installation – Jan26</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Jan 2026</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Monobrand Agent</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368" w:type="dxa"/>
          </w:tcPr>
          <w:p>
            <w:pPr>
              <w:jc w:val="left"/>
            </w:pPr>
            <w:r>
              <w:rPr>
                <w:b w:val="0"/>
                <w:i w:val="0"/>
                <w:color w:val="000000"/>
                <w:sz w:val="18"/>
              </w:rPr>
              <w:t>Lead Gen</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12" w:type="dxa"/>
          </w:tcPr>
          <w:p>
            <w:pPr>
              <w:jc w:val="left"/>
            </w:pPr>
            <w:r>
              <w:rPr>
                <w:b w:val="0"/>
                <w:i w:val="0"/>
                <w:color w:val="000000"/>
                <w:sz w:val="18"/>
              </w:rPr>
              <w:t>BDT 50/lead</w:t>
            </w:r>
          </w:p>
        </w:tc>
      </w:tr>
      <w:tr>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11</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RBSP Commission from Apr25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Apr 2025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RBSP Retailer</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368" w:type="dxa"/>
          </w:tcPr>
          <w:p>
            <w:pPr>
              <w:jc w:val="left"/>
            </w:pPr>
            <w:r>
              <w:rPr>
                <w:b w:val="0"/>
                <w:i w:val="0"/>
                <w:color w:val="000000"/>
                <w:sz w:val="18"/>
              </w:rPr>
              <w:t>3-KPI Gate</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12" w:type="dxa"/>
          </w:tcPr>
          <w:p>
            <w:pPr>
              <w:jc w:val="left"/>
            </w:pPr>
            <w:r>
              <w:rPr>
                <w:b w:val="0"/>
                <w:i w:val="0"/>
                <w:color w:val="000000"/>
                <w:sz w:val="18"/>
              </w:rPr>
              <w:t>BDT 2,000/month at 80/100% payout</w:t>
            </w:r>
          </w:p>
        </w:tc>
      </w:tr>
      <w:tr>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12</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RBSP Commission from Jun25</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Jun 2025</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RBSP Retailer</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368" w:type="dxa"/>
          </w:tcPr>
          <w:p>
            <w:pPr>
              <w:jc w:val="left"/>
            </w:pPr>
            <w:r>
              <w:rPr>
                <w:b w:val="0"/>
                <w:i w:val="0"/>
                <w:color w:val="000000"/>
                <w:sz w:val="18"/>
              </w:rPr>
              <w:t>3-KPI Gate</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12" w:type="dxa"/>
          </w:tcPr>
          <w:p>
            <w:pPr>
              <w:jc w:val="left"/>
            </w:pPr>
            <w:r>
              <w:rPr>
                <w:b w:val="0"/>
                <w:i w:val="0"/>
                <w:color w:val="000000"/>
                <w:sz w:val="18"/>
              </w:rPr>
              <w:t>BDT 2,000/month, all Prepaid GA</w:t>
            </w:r>
          </w:p>
        </w:tc>
      </w:tr>
      <w:tr>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13</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RSO GA Booster Campaign – Jan26</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Feb 2026</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RSO</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368" w:type="dxa"/>
          </w:tcPr>
          <w:p>
            <w:pPr>
              <w:jc w:val="left"/>
            </w:pPr>
            <w:r>
              <w:rPr>
                <w:b w:val="0"/>
                <w:i w:val="0"/>
                <w:color w:val="000000"/>
                <w:sz w:val="18"/>
              </w:rPr>
              <w:t>GA</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12" w:type="dxa"/>
          </w:tcPr>
          <w:p>
            <w:pPr>
              <w:jc w:val="left"/>
            </w:pPr>
            <w:r>
              <w:rPr>
                <w:b w:val="0"/>
                <w:i w:val="0"/>
                <w:color w:val="000000"/>
                <w:sz w:val="18"/>
              </w:rPr>
              <w:t>48h+VLR gate, B2C amount</w:t>
            </w:r>
          </w:p>
        </w:tc>
      </w:tr>
      <w:tr>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14</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RSO Post Eid Productivity Booster – Jun25</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Jun 2025</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RSO</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368" w:type="dxa"/>
          </w:tcPr>
          <w:p>
            <w:pPr>
              <w:jc w:val="left"/>
            </w:pPr>
            <w:r>
              <w:rPr>
                <w:b w:val="0"/>
                <w:i w:val="0"/>
                <w:color w:val="000000"/>
                <w:sz w:val="18"/>
              </w:rPr>
              <w:t>Productivity</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12" w:type="dxa"/>
          </w:tcPr>
          <w:p>
            <w:pPr>
              <w:jc w:val="left"/>
            </w:pPr>
            <w:r>
              <w:rPr>
                <w:b w:val="0"/>
                <w:i w:val="0"/>
                <w:color w:val="000000"/>
                <w:sz w:val="18"/>
              </w:rPr>
              <w:t>BDT 200/RSO/day, all 3 criteria</w:t>
            </w:r>
          </w:p>
        </w:tc>
      </w:tr>
      <w:tr>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15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RSO Recharge Accelerate – Oct25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Oct 2025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RSO</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368" w:type="dxa"/>
          </w:tcPr>
          <w:p>
            <w:pPr>
              <w:jc w:val="left"/>
            </w:pPr>
            <w:r>
              <w:rPr>
                <w:b w:val="0"/>
                <w:i w:val="0"/>
                <w:color w:val="000000"/>
                <w:sz w:val="18"/>
              </w:rPr>
              <w:t>C2C Recharge</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12" w:type="dxa"/>
          </w:tcPr>
          <w:p>
            <w:pPr>
              <w:jc w:val="left"/>
            </w:pPr>
            <w:r>
              <w:rPr>
                <w:b w:val="0"/>
                <w:i w:val="0"/>
                <w:color w:val="000000"/>
                <w:sz w:val="18"/>
              </w:rPr>
              <w:t>BDT 100–300, RSO-wise</w:t>
            </w:r>
          </w:p>
        </w:tc>
      </w:tr>
      <w:tr>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16</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RSO Tiger Retailer Campaign – Jun25</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Jun 2025</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RSO</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368" w:type="dxa"/>
          </w:tcPr>
          <w:p>
            <w:pPr>
              <w:jc w:val="left"/>
            </w:pPr>
            <w:r>
              <w:rPr>
                <w:b w:val="0"/>
                <w:i w:val="0"/>
                <w:color w:val="000000"/>
                <w:sz w:val="18"/>
              </w:rPr>
              <w:t>C2C Retail Count</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12" w:type="dxa"/>
          </w:tcPr>
          <w:p>
            <w:pPr>
              <w:jc w:val="left"/>
            </w:pPr>
            <w:r>
              <w:rPr>
                <w:b w:val="0"/>
                <w:i w:val="0"/>
                <w:color w:val="000000"/>
                <w:sz w:val="18"/>
              </w:rPr>
              <w:t>BDT 20/retail, 95% 5TK usage gate</w:t>
            </w:r>
          </w:p>
        </w:tc>
      </w:tr>
      <w:tr>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17</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Region GA Booster Campaign – Jan26</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Feb 2026</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DD Manager</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368" w:type="dxa"/>
          </w:tcPr>
          <w:p>
            <w:pPr>
              <w:jc w:val="left"/>
            </w:pPr>
            <w:r>
              <w:rPr>
                <w:b w:val="0"/>
                <w:i w:val="0"/>
                <w:color w:val="000000"/>
                <w:sz w:val="18"/>
              </w:rPr>
              <w:t>GA</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12" w:type="dxa"/>
          </w:tcPr>
          <w:p>
            <w:pPr>
              <w:jc w:val="left"/>
            </w:pPr>
            <w:r>
              <w:rPr>
                <w:b w:val="0"/>
                <w:i w:val="0"/>
                <w:color w:val="000000"/>
                <w:sz w:val="18"/>
              </w:rPr>
              <w:t>FF Celebration Budget, TCG excl.</w:t>
            </w:r>
          </w:p>
        </w:tc>
      </w:tr>
      <w:tr>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18</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Retailer Campaign_Banglalink Utsob – Nov25</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Dec 2025</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Retailer</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368" w:type="dxa"/>
          </w:tcPr>
          <w:p>
            <w:pPr>
              <w:jc w:val="left"/>
            </w:pPr>
            <w:r>
              <w:rPr>
                <w:b w:val="0"/>
                <w:i w:val="0"/>
                <w:color w:val="000000"/>
                <w:sz w:val="18"/>
              </w:rPr>
              <w:t>GA+C2S Dual Gate</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12" w:type="dxa"/>
          </w:tcPr>
          <w:p>
            <w:pPr>
              <w:jc w:val="left"/>
            </w:pPr>
            <w:r>
              <w:rPr>
                <w:b w:val="0"/>
                <w:i w:val="0"/>
                <w:color w:val="000000"/>
                <w:sz w:val="18"/>
              </w:rPr>
              <w:t>Fixed reward, both KPIs required</w:t>
            </w:r>
          </w:p>
        </w:tc>
      </w:tr>
      <w:tr>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19</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Retailer FWA Router Installation – Sep25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Oct 2025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FWA Retailer</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368" w:type="dxa"/>
          </w:tcPr>
          <w:p>
            <w:pPr>
              <w:jc w:val="left"/>
            </w:pPr>
            <w:r>
              <w:rPr>
                <w:b w:val="0"/>
                <w:i w:val="0"/>
                <w:color w:val="000000"/>
                <w:sz w:val="18"/>
              </w:rPr>
              <w:t>GA</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12" w:type="dxa"/>
          </w:tcPr>
          <w:p>
            <w:pPr>
              <w:jc w:val="left"/>
            </w:pPr>
            <w:r>
              <w:rPr>
                <w:b w:val="0"/>
                <w:i w:val="0"/>
                <w:color w:val="000000"/>
                <w:sz w:val="18"/>
              </w:rPr>
              <w:t>BDT 100/activation, at actual</w:t>
            </w:r>
          </w:p>
        </w:tc>
      </w:tr>
      <w:tr>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20</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Reward Monobrand CCR TOS – Sep–Oct25</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Dec 2025</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Monobrand CCR</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368" w:type="dxa"/>
          </w:tcPr>
          <w:p>
            <w:pPr>
              <w:jc w:val="left"/>
            </w:pPr>
            <w:r>
              <w:rPr>
                <w:b w:val="0"/>
                <w:i w:val="0"/>
                <w:color w:val="000000"/>
                <w:sz w:val="18"/>
              </w:rPr>
              <w:t>TOS</w:t>
            </w:r>
          </w:p>
        </w:tc>
        <w:tc>
          <w:tcPr>
            <w:tcW w:type="dxa" w:w="1505"/>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12" w:type="dxa"/>
          </w:tcPr>
          <w:p>
            <w:pPr>
              <w:jc w:val="left"/>
            </w:pPr>
            <w:r>
              <w:rPr>
                <w:b w:val="0"/>
                <w:i w:val="0"/>
                <w:color w:val="000000"/>
                <w:sz w:val="18"/>
              </w:rPr>
              <w:t>Slab BDT 50/100 per unit</w:t>
            </w:r>
          </w:p>
        </w:tc>
      </w:tr>
      <w:tr>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 w:type="dxa"/>
          </w:tcPr>
          <w:p>
            <w:pPr>
              <w:jc w:val="left"/>
            </w:pPr>
            <w:r>
              <w:rPr>
                <w:b w:val="0"/>
                <w:i w:val="0"/>
                <w:color w:val="000000"/>
                <w:sz w:val="18"/>
              </w:rPr>
              <w:t>21</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84" w:type="dxa"/>
          </w:tcPr>
          <w:p>
            <w:pPr>
              <w:jc w:val="left"/>
            </w:pPr>
            <w:r>
              <w:rPr>
                <w:b w:val="0"/>
                <w:i w:val="0"/>
                <w:color w:val="000000"/>
                <w:sz w:val="18"/>
              </w:rPr>
              <w:t>Reward Monobrand CCR TOS_Revision</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080" w:type="dxa"/>
          </w:tcPr>
          <w:p>
            <w:pPr>
              <w:jc w:val="left"/>
            </w:pPr>
            <w:r>
              <w:rPr>
                <w:b w:val="0"/>
                <w:i w:val="0"/>
                <w:color w:val="000000"/>
                <w:sz w:val="18"/>
              </w:rPr>
              <w:t>Dec 2025</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Pr>
                <w:b w:val="0"/>
                <w:i w:val="0"/>
                <w:color w:val="000000"/>
                <w:sz w:val="18"/>
              </w:rPr>
              <w:t>Monobrand CCR</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368" w:type="dxa"/>
          </w:tcPr>
          <w:p>
            <w:pPr>
              <w:jc w:val="left"/>
            </w:pPr>
            <w:r>
              <w:rPr>
                <w:b w:val="0"/>
                <w:i w:val="0"/>
                <w:color w:val="000000"/>
                <w:sz w:val="18"/>
              </w:rPr>
              <w:t>TOS</w:t>
            </w:r>
          </w:p>
        </w:tc>
        <w:tc>
          <w:tcPr>
            <w:tcW w:type="dxa" w:w="1505"/>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12" w:type="dxa"/>
          </w:tcPr>
          <w:p>
            <w:pPr>
              <w:jc w:val="left"/>
            </w:pPr>
            <w:r>
              <w:rPr>
                <w:b w:val="0"/>
                <w:i w:val="0"/>
                <w:color w:val="000000"/>
                <w:sz w:val="18"/>
              </w:rPr>
              <w:t>Same as above (revision only)</w:t>
            </w:r>
          </w:p>
        </w:tc>
      </w:tr>
    </w:tbl>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