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4E79"/>
          <w:sz w:val="44"/>
        </w:rPr>
        <w:t>Monobrand Officers Variable</w:t>
        <w:br/>
        <w:t>Incentive SRF</w:t>
      </w:r>
    </w:p>
    <w:p/>
    <w:p>
      <w:pPr>
        <w:jc w:val="center"/>
      </w:pPr>
      <w:r>
        <w:rPr>
          <w:color w:val="2E75B6"/>
          <w:sz w:val="26"/>
        </w:rPr>
        <w:t>Unique KPI Conditions – All Epochs (Jan 2025 – Jan 2026)</w:t>
      </w:r>
    </w:p>
    <w:p/>
    <w:p>
      <w:pPr>
        <w:jc w:val="center"/>
      </w:pPr>
      <w:r>
        <w:rPr>
          <w:color w:val="595959"/>
          <w:sz w:val="18"/>
        </w:rPr>
        <w:t>Source: 11 SRFs  |  Prepared for SalesCom Automation Development</w:t>
      </w:r>
    </w:p>
    <w:p>
      <w:r>
        <w:br w:type="page"/>
      </w:r>
    </w:p>
    <w:p>
      <w:pPr>
        <w:spacing w:before="200" w:after="80"/>
      </w:pPr>
      <w:r>
        <w:rPr>
          <w:b/>
          <w:color w:val="1F4E79"/>
          <w:sz w:val="26"/>
          <w:u w:val="single"/>
        </w:rPr>
        <w:t>INDEX</w:t>
      </w:r>
    </w:p>
    <w:tbl>
      <w:tblPr>
        <w:tblStyle w:val="TableGrid"/>
        <w:tblW w:type="auto" w:w="0"/>
        <w:tblLook w:firstColumn="1" w:firstRow="1" w:lastColumn="0" w:lastRow="0" w:noHBand="0" w:noVBand="1" w:val="04A0"/>
        <w:tblW w:w="9360" w:type="dxa"/>
      </w:tblPr>
      <w:tblGrid>
        <w:gridCol w:w="576"/>
        <w:gridCol w:w="8784"/>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76" w:type="dxa"/>
          </w:tcPr>
          <w:p>
            <w:pPr>
              <w:jc w:val="center"/>
            </w:pPr>
            <w:r>
              <w:rPr>
                <w:b/>
                <w:i w:val="0"/>
                <w:color w:val="FFFFFF"/>
                <w:sz w:val="18"/>
              </w:rPr>
              <w:t>#</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8784" w:type="dxa"/>
          </w:tcPr>
          <w:p>
            <w:pPr>
              <w:jc w:val="center"/>
            </w:pPr>
            <w:r>
              <w:rPr>
                <w:b/>
                <w:i w:val="0"/>
                <w:color w:val="FFFFFF"/>
                <w:sz w:val="18"/>
              </w:rPr>
              <w:t>Section</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Overview &amp; Epoch Timeline</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2</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Fixed Incentive Structure (BDT 4,000 / 6,000)</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3</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Dual SAF Framework – Manual &amp; ETSAF</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4</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Postpaid GA Eligibility &amp; Security Deposit Rules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5</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Epoch 1 – Jan–Mar 2025: Ryze Migration + GA + iTOP + First Visit Resolution</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6</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Epoch 2 – Apr 2025: GA + iTOP (Ryze Migration KPI Removed)</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7</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RYZE Separate Slab Commission (from Apr 2025 – Standalone SRF)</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8</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Epoch 3 – May 2025: GA + Recharge &amp; Bundle + Daily Participation + App Install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9</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Epoch 4 – Jul 2025: Bundle Ratio &amp; Security Deposit Changes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10</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Epoch 5 – Oct–Dec 2025: CSAT Added, Multi-Slab Payout, First Recharge 45-day Window</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11</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Epoch 6 – Jan 2026: FWA KPI Added, 93% GA Threshold, 95%/110%/120% Payout Model</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12</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Monobrand Agent Reactivation Campaign (10 Feb – 10 Mar 2025)</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13</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SRF Summary Table</w:t>
            </w:r>
          </w:p>
        </w:tc>
      </w:tr>
    </w:tbl>
    <w:p/>
    <w:p>
      <w:r>
        <w:br w:type="page"/>
      </w:r>
    </w:p>
    <w:p>
      <w:pPr>
        <w:spacing w:before="200" w:after="80"/>
      </w:pPr>
      <w:r>
        <w:rPr>
          <w:b/>
          <w:color w:val="1F4E79"/>
          <w:sz w:val="26"/>
          <w:u w:val="single"/>
        </w:rPr>
        <w:t>1. Overview &amp; Epoch Timeline</w:t>
      </w:r>
    </w:p>
    <w:p>
      <w:r>
        <w:rPr>
          <w:sz w:val="20"/>
        </w:rPr>
        <w:t>This document extracts all unique KPI conditions from 11 SRFs in the Monobrand Officers Variable folder. The primary commission scheme (Variable Incentive) evolved through six distinct structural epochs between January 2025 and January 2026, with an additional standalone RYZE slab commission and a separate Reactivation Campaign.</w:t>
      </w:r>
    </w:p>
    <w:p/>
    <w:p>
      <w:pPr>
        <w:spacing w:before="120" w:after="80"/>
      </w:pPr>
      <w:r>
        <w:rPr>
          <w:b/>
          <w:color w:val="2E75B6"/>
          <w:sz w:val="22"/>
        </w:rPr>
        <w:t>Epoch Timeline</w:t>
      </w:r>
    </w:p>
    <w:tbl>
      <w:tblPr>
        <w:tblStyle w:val="TableGrid"/>
        <w:tblW w:type="auto" w:w="0"/>
        <w:tblLook w:firstColumn="1" w:firstRow="1" w:lastColumn="0" w:lastRow="0" w:noHBand="0" w:noVBand="1" w:val="04A0"/>
        <w:tblW w:w="9360" w:type="dxa"/>
      </w:tblPr>
      <w:tblGrid>
        <w:gridCol w:w="1007"/>
        <w:gridCol w:w="1728"/>
        <w:gridCol w:w="6623"/>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07" w:type="dxa"/>
          </w:tcPr>
          <w:p>
            <w:pPr>
              <w:jc w:val="center"/>
            </w:pPr>
            <w:r>
              <w:rPr>
                <w:b/>
                <w:i w:val="0"/>
                <w:color w:val="FFFFFF"/>
                <w:sz w:val="18"/>
              </w:rPr>
              <w:t>Epoch</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728" w:type="dxa"/>
          </w:tcPr>
          <w:p>
            <w:pPr>
              <w:jc w:val="center"/>
            </w:pPr>
            <w:r>
              <w:rPr>
                <w:b/>
                <w:i w:val="0"/>
                <w:color w:val="FFFFFF"/>
                <w:sz w:val="18"/>
              </w:rPr>
              <w:t>Period</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623" w:type="dxa"/>
          </w:tcPr>
          <w:p>
            <w:pPr>
              <w:jc w:val="center"/>
            </w:pPr>
            <w:r>
              <w:rPr>
                <w:b/>
                <w:i w:val="0"/>
                <w:color w:val="FFFFFF"/>
                <w:sz w:val="18"/>
              </w:rPr>
              <w:t>Key Changes</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1</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Jan–Mar 2025</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623" w:type="dxa"/>
          </w:tcPr>
          <w:p>
            <w:pPr>
              <w:jc w:val="left"/>
            </w:pPr>
            <w:r>
              <w:rPr>
                <w:b w:val="0"/>
                <w:i w:val="0"/>
                <w:color w:val="000000"/>
                <w:sz w:val="18"/>
              </w:rPr>
              <w:t>Ryze Migration (10%) + GA (10%) + iTOP (40%) + First Visit Resolution (20%). 100% SAF.</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2</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Apr 2025</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623" w:type="dxa"/>
          </w:tcPr>
          <w:p>
            <w:pPr>
              <w:jc w:val="left"/>
            </w:pPr>
            <w:r>
              <w:rPr>
                <w:b w:val="0"/>
                <w:i w:val="0"/>
                <w:color w:val="000000"/>
                <w:sz w:val="18"/>
              </w:rPr>
              <w:t>Ryze Migration KPI dropped. GA weight raised to 20%. 100% SAF.</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3</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May 2025</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623" w:type="dxa"/>
          </w:tcPr>
          <w:p>
            <w:pPr>
              <w:jc w:val="left"/>
            </w:pPr>
            <w:r>
              <w:rPr>
                <w:b w:val="0"/>
                <w:i w:val="0"/>
                <w:color w:val="000000"/>
                <w:sz w:val="18"/>
              </w:rPr>
              <w:t>Recharge &amp; Bundle Upsell (20%), Daily Participation (20%), App Install (20%) added. SAF lowered to 98%. iTOP dropped.</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4</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Jul 2025</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623" w:type="dxa"/>
          </w:tcPr>
          <w:p>
            <w:pPr>
              <w:jc w:val="left"/>
            </w:pPr>
            <w:r>
              <w:rPr>
                <w:b w:val="0"/>
                <w:i w:val="0"/>
                <w:color w:val="000000"/>
                <w:sz w:val="18"/>
              </w:rPr>
              <w:t>Bundle ratio reduced to 10% (from 15%). Security deposits updated.</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5</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Oct–Dec 2025</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623" w:type="dxa"/>
          </w:tcPr>
          <w:p>
            <w:pPr>
              <w:jc w:val="left"/>
            </w:pPr>
            <w:r>
              <w:rPr>
                <w:b w:val="0"/>
                <w:i w:val="0"/>
                <w:color w:val="000000"/>
                <w:sz w:val="18"/>
              </w:rPr>
              <w:t>CSAT (15%) added. GA weight raised to 30%. Multi-slab payout (60%/70%/80%/90%/100%). First Recharge sub-KPI (rolling 45 days). Maturity: 45 days.</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6</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Jan 2026</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623" w:type="dxa"/>
          </w:tcPr>
          <w:p>
            <w:pPr>
              <w:jc w:val="left"/>
            </w:pPr>
            <w:r>
              <w:rPr>
                <w:b w:val="0"/>
                <w:i w:val="0"/>
                <w:color w:val="000000"/>
                <w:sz w:val="18"/>
              </w:rPr>
              <w:t>FWA lead generation (10%) added. GA threshold raised to 93%. New payout tiers (95%/110%/120%). CSAT split: Platinum+Signature (15%) + Overall (15%) = 30%.</w:t>
            </w:r>
          </w:p>
        </w:tc>
      </w:tr>
    </w:tbl>
    <w:p/>
    <w:p>
      <w:r>
        <w:br w:type="page"/>
      </w:r>
    </w:p>
    <w:p>
      <w:pPr>
        <w:spacing w:before="200" w:after="80"/>
      </w:pPr>
      <w:r>
        <w:rPr>
          <w:b/>
          <w:color w:val="1F4E79"/>
          <w:sz w:val="26"/>
          <w:u w:val="single"/>
        </w:rPr>
        <w:t>2. Fixed Incentive Structure (BDT 4,000 / 6,000)</w:t>
      </w:r>
    </w:p>
    <w:p>
      <w:r>
        <w:rPr>
          <w:sz w:val="20"/>
        </w:rPr>
        <w:t>Throughout all epochs, the fixed monthly variable incentive pool remains unchanged. KPI achievement determines what percentage of this pool each CCR receives.</w:t>
      </w:r>
    </w:p>
    <w:tbl>
      <w:tblPr>
        <w:tblStyle w:val="TableGrid"/>
        <w:tblW w:type="auto" w:w="0"/>
        <w:tblLook w:firstColumn="1" w:firstRow="1" w:lastColumn="0" w:lastRow="0" w:noHBand="0" w:noVBand="1" w:val="04A0"/>
        <w:tblW w:w="9360" w:type="dxa"/>
      </w:tblPr>
      <w:tblGrid>
        <w:gridCol w:w="4031"/>
        <w:gridCol w:w="5328"/>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031" w:type="dxa"/>
          </w:tcPr>
          <w:p>
            <w:pPr>
              <w:jc w:val="center"/>
            </w:pPr>
            <w:r>
              <w:rPr>
                <w:b/>
                <w:i w:val="0"/>
                <w:color w:val="FFFFFF"/>
                <w:sz w:val="18"/>
              </w:rPr>
              <w:t>Recipient Type</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328" w:type="dxa"/>
          </w:tcPr>
          <w:p>
            <w:pPr>
              <w:jc w:val="center"/>
            </w:pPr>
            <w:r>
              <w:rPr>
                <w:b/>
                <w:i w:val="0"/>
                <w:color w:val="FFFFFF"/>
                <w:sz w:val="18"/>
              </w:rPr>
              <w:t>Fixed Variable Incentive (Performance-Based)</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Pr>
                <w:b w:val="0"/>
                <w:i w:val="0"/>
                <w:color w:val="000000"/>
                <w:sz w:val="18"/>
              </w:rPr>
              <w:t>All Monobrand CCR</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328" w:type="dxa"/>
          </w:tcPr>
          <w:p>
            <w:pPr>
              <w:jc w:val="left"/>
            </w:pPr>
            <w:r>
              <w:rPr>
                <w:b w:val="0"/>
                <w:i w:val="0"/>
                <w:color w:val="000000"/>
                <w:sz w:val="18"/>
              </w:rPr>
              <w:t>BDT 4,000 per month</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Pr>
                <w:b w:val="0"/>
                <w:i w:val="0"/>
                <w:color w:val="000000"/>
                <w:sz w:val="18"/>
              </w:rPr>
              <w:t>Monobrand Store In-charge</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328" w:type="dxa"/>
          </w:tcPr>
          <w:p>
            <w:pPr>
              <w:jc w:val="left"/>
            </w:pPr>
            <w:r>
              <w:rPr>
                <w:b w:val="0"/>
                <w:i w:val="0"/>
                <w:color w:val="000000"/>
                <w:sz w:val="18"/>
              </w:rPr>
              <w:t>BDT 6,000 per month</w:t>
            </w:r>
          </w:p>
        </w:tc>
      </w:tr>
    </w:tbl>
    <w:p/>
    <w:p>
      <w:pPr>
        <w:spacing w:before="40" w:after="40"/>
        <w:ind w:left="432"/>
      </w:pPr>
      <w:r>
        <w:rPr>
          <w:i/>
          <w:color w:val="595959"/>
          <w:sz w:val="17"/>
        </w:rPr>
        <w:t>Note: Actual payout = Fixed incentive × weighted KPI achievement score. Consistent across all 6 epochs.</w:t>
      </w:r>
    </w:p>
    <w:p>
      <w:r>
        <w:br w:type="page"/>
      </w:r>
    </w:p>
    <w:p>
      <w:pPr>
        <w:spacing w:before="200" w:after="80"/>
      </w:pPr>
      <w:r>
        <w:rPr>
          <w:b/>
          <w:color w:val="1F4E79"/>
          <w:sz w:val="26"/>
          <w:u w:val="single"/>
        </w:rPr>
        <w:t>3. Dual SAF Framework – Manual &amp; ETSAF</w:t>
      </w:r>
    </w:p>
    <w:p>
      <w:r>
        <w:rPr>
          <w:sz w:val="20"/>
        </w:rPr>
        <w:t>Monobrand channel uniquely operates two SAF submission pathways simultaneously. Both must be tracked separately and have distinct deadlines and rules.</w:t>
      </w:r>
    </w:p>
    <w:p>
      <w:pPr>
        <w:spacing w:before="120" w:after="80"/>
      </w:pPr>
      <w:r>
        <w:rPr>
          <w:b/>
          <w:color w:val="2E75B6"/>
          <w:sz w:val="22"/>
        </w:rPr>
        <w:t>Manual SAF (Alternate ID / Alternative ID)</w:t>
      </w:r>
    </w:p>
    <w:tbl>
      <w:tblPr>
        <w:tblStyle w:val="TableGrid"/>
        <w:tblW w:type="auto" w:w="0"/>
        <w:tblLook w:firstColumn="1" w:firstRow="1" w:lastColumn="0" w:lastRow="0" w:noHBand="0" w:noVBand="1" w:val="04A0"/>
        <w:tblW w:w="9360" w:type="dxa"/>
      </w:tblPr>
      <w:tblGrid>
        <w:gridCol w:w="2880"/>
        <w:gridCol w:w="6480"/>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880" w:type="dxa"/>
          </w:tcPr>
          <w:p>
            <w:pPr>
              <w:jc w:val="center"/>
            </w:pPr>
            <w:r>
              <w:rPr>
                <w:b/>
                <w:i w:val="0"/>
                <w:color w:val="FFFFFF"/>
                <w:sz w:val="18"/>
              </w:rPr>
              <w:t>Parameter</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480"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Trigger</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Pr>
                <w:b w:val="0"/>
                <w:i w:val="0"/>
                <w:color w:val="000000"/>
                <w:sz w:val="18"/>
              </w:rPr>
              <w:t>Alternate ID-based acquisitions from Monobrand Channel</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Data Source</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Pr>
                <w:b w:val="0"/>
                <w:i w:val="0"/>
                <w:color w:val="000000"/>
                <w:sz w:val="18"/>
              </w:rPr>
              <w:t>BSS Commission team considers submitted &amp; Non-Submitted SAF from system</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Deadline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Pr>
                <w:b w:val="0"/>
                <w:i w:val="0"/>
                <w:color w:val="000000"/>
                <w:sz w:val="18"/>
              </w:rPr>
              <w:t>Must be Cleared (vetted &amp; accepted by CO Team) by T+6 (7th day from activation)</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MNP</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Pr>
                <w:b w:val="0"/>
                <w:i w:val="0"/>
                <w:color w:val="000000"/>
                <w:sz w:val="18"/>
              </w:rPr>
              <w:t>Not considered for Manual SAF commission</w:t>
            </w:r>
          </w:p>
        </w:tc>
      </w:tr>
    </w:tbl>
    <w:p/>
    <w:p>
      <w:pPr>
        <w:spacing w:before="120" w:after="80"/>
      </w:pPr>
      <w:r>
        <w:rPr>
          <w:b/>
          <w:color w:val="2E75B6"/>
          <w:sz w:val="22"/>
        </w:rPr>
        <w:t>ET SAF (ETSAF) Process</w:t>
      </w:r>
    </w:p>
    <w:tbl>
      <w:tblPr>
        <w:tblStyle w:val="TableGrid"/>
        <w:tblW w:type="auto" w:w="0"/>
        <w:tblLook w:firstColumn="1" w:firstRow="1" w:lastColumn="0" w:lastRow="0" w:noHBand="0" w:noVBand="1" w:val="04A0"/>
        <w:tblW w:w="9360" w:type="dxa"/>
      </w:tblPr>
      <w:tblGrid>
        <w:gridCol w:w="4031"/>
        <w:gridCol w:w="5328"/>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031" w:type="dxa"/>
          </w:tcPr>
          <w:p>
            <w:pPr>
              <w:jc w:val="center"/>
            </w:pPr>
            <w:r>
              <w:rPr>
                <w:b/>
                <w:i w:val="0"/>
                <w:color w:val="FFFFFF"/>
                <w:sz w:val="18"/>
              </w:rPr>
              <w:t>Parameter</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328"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Pr>
                <w:b w:val="0"/>
                <w:i w:val="0"/>
                <w:color w:val="000000"/>
                <w:sz w:val="18"/>
              </w:rPr>
              <w:t>Correction Window</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328" w:type="dxa"/>
          </w:tcPr>
          <w:p>
            <w:pPr>
              <w:jc w:val="left"/>
            </w:pPr>
            <w:r>
              <w:rPr>
                <w:b w:val="0"/>
                <w:i w:val="0"/>
                <w:color w:val="000000"/>
                <w:sz w:val="18"/>
              </w:rPr>
              <w:t>ETSAF correction must be within 72 hours to be eligible</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Pr>
                <w:b w:val="0"/>
                <w:i w:val="0"/>
                <w:color w:val="000000"/>
                <w:sz w:val="18"/>
              </w:rPr>
              <w:t>SAF Threshold – Epoch 1–2 (Jan–Mar 2025)</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328" w:type="dxa"/>
          </w:tcPr>
          <w:p>
            <w:pPr>
              <w:jc w:val="left"/>
            </w:pPr>
            <w:r>
              <w:rPr>
                <w:b w:val="0"/>
                <w:i w:val="0"/>
                <w:color w:val="000000"/>
                <w:sz w:val="18"/>
              </w:rPr>
              <w:t>100% SAF submission required. If count is 90, all 90 must qualify</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Pr>
                <w:b w:val="0"/>
                <w:i w:val="0"/>
                <w:color w:val="000000"/>
                <w:sz w:val="18"/>
              </w:rPr>
              <w:t>SAF Threshold – Epoch 3–6 (May 2025+)</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328" w:type="dxa"/>
          </w:tcPr>
          <w:p>
            <w:pPr>
              <w:jc w:val="left"/>
            </w:pPr>
            <w:r>
              <w:rPr>
                <w:b w:val="0"/>
                <w:i w:val="0"/>
                <w:color w:val="000000"/>
                <w:sz w:val="18"/>
              </w:rPr>
              <w:t>98% SAF submission required. If count is 100, 98 must qualify</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Pr>
                <w:b w:val="0"/>
                <w:i w:val="0"/>
                <w:color w:val="000000"/>
                <w:sz w:val="18"/>
              </w:rPr>
              <w:t>Zero Incentive Rule</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328" w:type="dxa"/>
          </w:tcPr>
          <w:p>
            <w:pPr>
              <w:jc w:val="left"/>
            </w:pPr>
            <w:r>
              <w:rPr>
                <w:b w:val="0"/>
                <w:i w:val="0"/>
                <w:color w:val="000000"/>
                <w:sz w:val="18"/>
              </w:rPr>
              <w:t>If SAF qualifies below threshold, GA KPI = zero incentive for that CCR</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Pr>
                <w:b w:val="0"/>
                <w:i w:val="0"/>
                <w:color w:val="000000"/>
                <w:sz w:val="18"/>
              </w:rPr>
              <w:t>MNP</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328" w:type="dxa"/>
          </w:tcPr>
          <w:p>
            <w:pPr>
              <w:jc w:val="left"/>
            </w:pPr>
            <w:r>
              <w:rPr>
                <w:b w:val="0"/>
                <w:i w:val="0"/>
                <w:color w:val="000000"/>
                <w:sz w:val="18"/>
              </w:rPr>
              <w:t>Not considered in ETSAF commission</w:t>
            </w:r>
          </w:p>
        </w:tc>
      </w:tr>
    </w:tbl>
    <w:p/>
    <w:p>
      <w:pPr>
        <w:spacing w:before="120" w:after="80"/>
      </w:pPr>
      <w:r>
        <w:rPr>
          <w:b/>
          <w:color w:val="2E75B6"/>
          <w:sz w:val="22"/>
        </w:rPr>
        <w:t>Key SAF Change: Epoch 1–2 → Epoch 3+</w:t>
      </w:r>
    </w:p>
    <w:tbl>
      <w:tblPr>
        <w:tblStyle w:val="TableGrid"/>
        <w:tblW w:type="auto" w:w="0"/>
        <w:tblLook w:firstColumn="1" w:firstRow="1" w:lastColumn="0" w:lastRow="0" w:noHBand="0" w:noVBand="1" w:val="04A0"/>
        <w:tblW w:w="9360" w:type="dxa"/>
      </w:tblPr>
      <w:tblGrid>
        <w:gridCol w:w="3600"/>
        <w:gridCol w:w="2736"/>
        <w:gridCol w:w="3024"/>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600" w:type="dxa"/>
          </w:tcPr>
          <w:p>
            <w:pPr>
              <w:jc w:val="center"/>
            </w:pPr>
            <w:r>
              <w:rPr>
                <w:b/>
                <w:i w:val="0"/>
                <w:color w:val="FFFFFF"/>
                <w:sz w:val="18"/>
              </w:rPr>
              <w:t>Period</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736" w:type="dxa"/>
          </w:tcPr>
          <w:p>
            <w:pPr>
              <w:jc w:val="center"/>
            </w:pPr>
            <w:r>
              <w:rPr>
                <w:b/>
                <w:i w:val="0"/>
                <w:color w:val="FFFFFF"/>
                <w:sz w:val="18"/>
              </w:rPr>
              <w:t>SAF Threshold</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024" w:type="dxa"/>
          </w:tcPr>
          <w:p>
            <w:pPr>
              <w:jc w:val="center"/>
            </w:pPr>
            <w:r>
              <w:rPr>
                <w:b/>
                <w:i w:val="0"/>
                <w:color w:val="FFFFFF"/>
                <w:sz w:val="18"/>
              </w:rPr>
              <w:t>Effect</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Pr>
                <w:b w:val="0"/>
                <w:i w:val="0"/>
                <w:color w:val="000000"/>
                <w:sz w:val="18"/>
              </w:rPr>
              <w:t>Jan 2025 – Apr 2025 (Epochs 1–2)</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100% SAF required</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Any single unqualified SAF zeroes GA KPI</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Pr>
                <w:b w:val="0"/>
                <w:i w:val="0"/>
                <w:color w:val="000000"/>
                <w:sz w:val="18"/>
              </w:rPr>
              <w:t>May 2025 onwards (Epochs 3–6)</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98% SAF required</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Up to 2% SAF shortfall allowed before GA KPI zeroed</w:t>
            </w:r>
          </w:p>
        </w:tc>
      </w:tr>
    </w:tbl>
    <w:p/>
    <w:p>
      <w:r>
        <w:br w:type="page"/>
      </w:r>
    </w:p>
    <w:p>
      <w:pPr>
        <w:spacing w:before="200" w:after="80"/>
      </w:pPr>
      <w:r>
        <w:rPr>
          <w:b/>
          <w:color w:val="1F4E79"/>
          <w:sz w:val="26"/>
          <w:u w:val="single"/>
        </w:rPr>
        <w:t>4. Postpaid GA Eligibility &amp; Security Deposit Rules</w:t>
      </w:r>
    </w:p>
    <w:p>
      <w:r>
        <w:rPr>
          <w:sz w:val="20"/>
        </w:rPr>
        <w:t>Postpaid connections are counted as GA only when all of the following conditions are met: activation and bundle activated on the same day, and the required minimum security deposit is paid in full by same day (can be multiple shots but same day). Only MNP and new acquisition are eligible — not renewal. The deposit thresholds evolved across epochs.</w:t>
      </w:r>
    </w:p>
    <w:p>
      <w:pPr>
        <w:spacing w:before="120" w:after="80"/>
      </w:pPr>
      <w:r>
        <w:rPr>
          <w:b/>
          <w:color w:val="2E75B6"/>
          <w:sz w:val="22"/>
        </w:rPr>
        <w:t>Propaid Packages Counted as GA</w:t>
      </w:r>
    </w:p>
    <w:tbl>
      <w:tblPr>
        <w:tblStyle w:val="TableGrid"/>
        <w:tblW w:type="auto" w:w="0"/>
        <w:tblLook w:firstColumn="1" w:firstRow="1" w:lastColumn="0" w:lastRow="0" w:noHBand="0" w:noVBand="1" w:val="04A0"/>
        <w:tblW w:w="9360" w:type="dxa"/>
      </w:tblPr>
      <w:tblGrid>
        <w:gridCol w:w="2304"/>
        <w:gridCol w:w="4320"/>
        <w:gridCol w:w="2736"/>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304" w:type="dxa"/>
          </w:tcPr>
          <w:p>
            <w:pPr>
              <w:jc w:val="center"/>
            </w:pPr>
            <w:r>
              <w:rPr>
                <w:b/>
                <w:i w:val="0"/>
                <w:color w:val="FFFFFF"/>
                <w:sz w:val="18"/>
              </w:rPr>
              <w:t>Type</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320" w:type="dxa"/>
          </w:tcPr>
          <w:p>
            <w:pPr>
              <w:jc w:val="center"/>
            </w:pPr>
            <w:r>
              <w:rPr>
                <w:b/>
                <w:i w:val="0"/>
                <w:color w:val="FFFFFF"/>
                <w:sz w:val="18"/>
              </w:rPr>
              <w:t>EQUIPID</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736" w:type="dxa"/>
          </w:tcPr>
          <w:p>
            <w:pPr>
              <w:jc w:val="center"/>
            </w:pPr>
            <w:r>
              <w:rPr>
                <w:b/>
                <w:i w:val="0"/>
                <w:color w:val="FFFFFF"/>
                <w:sz w:val="18"/>
              </w:rPr>
              <w:t>Min Security Deposit</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304" w:type="dxa"/>
          </w:tcPr>
          <w:p>
            <w:pPr>
              <w:jc w:val="left"/>
            </w:pPr>
            <w:r>
              <w:rPr>
                <w:b w:val="0"/>
                <w:i w:val="0"/>
                <w:color w:val="000000"/>
                <w:sz w:val="18"/>
              </w:rPr>
              <w:t>Activation</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0" w:type="dxa"/>
          </w:tcPr>
          <w:p>
            <w:pPr>
              <w:jc w:val="left"/>
            </w:pPr>
            <w:r>
              <w:rPr>
                <w:b w:val="0"/>
                <w:i w:val="0"/>
                <w:color w:val="000000"/>
                <w:sz w:val="18"/>
              </w:rPr>
              <w:t>Retail2Postpaid / Banglalink Select Postpaid (M2MADV) + (blkSelPostpaid)</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Base package – no deposit specified</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304" w:type="dxa"/>
          </w:tcPr>
          <w:p>
            <w:pPr>
              <w:jc w:val="left"/>
            </w:pPr>
            <w:r>
              <w:rPr>
                <w:b w:val="0"/>
                <w:i w:val="0"/>
                <w:color w:val="000000"/>
                <w:sz w:val="18"/>
              </w:rPr>
              <w:t>Bundle Package</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0" w:type="dxa"/>
          </w:tcPr>
          <w:p>
            <w:pPr>
              <w:jc w:val="left"/>
            </w:pPr>
            <w:r>
              <w:rPr>
                <w:b w:val="0"/>
                <w:i w:val="0"/>
                <w:color w:val="000000"/>
                <w:sz w:val="18"/>
              </w:rPr>
              <w:t>NEWPROPAID222</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BDT 250</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304" w:type="dxa"/>
          </w:tcPr>
          <w:p>
            <w:pPr>
              <w:jc w:val="left"/>
            </w:pPr>
            <w:r>
              <w:rPr>
                <w:b w:val="0"/>
                <w:i w:val="0"/>
                <w:color w:val="000000"/>
                <w:sz w:val="18"/>
              </w:rPr>
              <w:t>Renewal bundle Package</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0" w:type="dxa"/>
          </w:tcPr>
          <w:p>
            <w:pPr>
              <w:jc w:val="left"/>
            </w:pPr>
            <w:r>
              <w:rPr>
                <w:b w:val="0"/>
                <w:i w:val="0"/>
                <w:color w:val="000000"/>
                <w:sz w:val="18"/>
              </w:rPr>
              <w:t>RCNEWPROPAID222</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BDT 250</w:t>
            </w:r>
          </w:p>
        </w:tc>
      </w:tr>
    </w:tbl>
    <w:p/>
    <w:p>
      <w:pPr>
        <w:spacing w:before="120" w:after="80"/>
      </w:pPr>
      <w:r>
        <w:rPr>
          <w:b/>
          <w:color w:val="2E75B6"/>
          <w:sz w:val="22"/>
        </w:rPr>
        <w:t>Postpaid Packages – High Value FTR &amp; GA (Security Deposit Evolution)</w:t>
      </w:r>
    </w:p>
    <w:tbl>
      <w:tblPr>
        <w:tblStyle w:val="TableGrid"/>
        <w:tblW w:type="auto" w:w="0"/>
        <w:tblLook w:firstColumn="1" w:firstRow="1" w:lastColumn="0" w:lastRow="0" w:noHBand="0" w:noVBand="1" w:val="04A0"/>
        <w:tblW w:w="9360" w:type="dxa"/>
      </w:tblPr>
      <w:tblGrid>
        <w:gridCol w:w="3024"/>
        <w:gridCol w:w="1296"/>
        <w:gridCol w:w="2015"/>
        <w:gridCol w:w="1440"/>
        <w:gridCol w:w="1584"/>
      </w:tblGrid>
      <w:tblGrid>
        <w:gridCol w:w="1806"/>
        <w:gridCol w:w="1806"/>
        <w:gridCol w:w="1806"/>
        <w:gridCol w:w="1806"/>
        <w:gridCol w:w="1806"/>
      </w:tblGrid>
      <w:tr>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024" w:type="dxa"/>
          </w:tcPr>
          <w:p>
            <w:pPr>
              <w:jc w:val="center"/>
            </w:pPr>
            <w:r>
              <w:rPr>
                <w:b/>
                <w:i w:val="0"/>
                <w:color w:val="FFFFFF"/>
                <w:sz w:val="18"/>
              </w:rPr>
              <w:t>EQUIPID</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296" w:type="dxa"/>
          </w:tcPr>
          <w:p>
            <w:pPr>
              <w:jc w:val="center"/>
            </w:pPr>
            <w:r>
              <w:rPr>
                <w:b/>
                <w:i w:val="0"/>
                <w:color w:val="FFFFFF"/>
                <w:sz w:val="18"/>
              </w:rPr>
              <w:t>Type</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015" w:type="dxa"/>
          </w:tcPr>
          <w:p>
            <w:pPr>
              <w:jc w:val="center"/>
            </w:pPr>
            <w:r>
              <w:rPr>
                <w:b/>
                <w:i w:val="0"/>
                <w:color w:val="FFFFFF"/>
                <w:sz w:val="18"/>
              </w:rPr>
              <w:t>Jan–Mar 2025</w:t>
              <w:br/>
              <w:t>(till 27 Jan / from 28 Jan)</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440" w:type="dxa"/>
          </w:tcPr>
          <w:p>
            <w:pPr>
              <w:jc w:val="center"/>
            </w:pPr>
            <w:r>
              <w:rPr>
                <w:b/>
                <w:i w:val="0"/>
                <w:color w:val="FFFFFF"/>
                <w:sz w:val="18"/>
              </w:rPr>
              <w:t>Apr 2025</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584" w:type="dxa"/>
          </w:tcPr>
          <w:p>
            <w:pPr>
              <w:jc w:val="center"/>
            </w:pPr>
            <w:r>
              <w:rPr>
                <w:b/>
                <w:i w:val="0"/>
                <w:color w:val="FFFFFF"/>
                <w:sz w:val="18"/>
              </w:rPr>
              <w:t>Jul 2025 onwards</w:t>
            </w:r>
          </w:p>
        </w:tc>
      </w:tr>
      <w:tr>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TK200NB30DPOSTOG</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NON-BUNDLE</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200 / 150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150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170</w:t>
            </w:r>
          </w:p>
        </w:tc>
      </w:tr>
      <w:tr>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RCTK794POSTGAUMIXBDNLOG</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Bundle</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800 / 800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800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750</w:t>
            </w:r>
          </w:p>
        </w:tc>
      </w:tr>
      <w:tr>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TK794POSTGAUMIXBDNLOG</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Bundle</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800 / 800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800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750</w:t>
            </w:r>
          </w:p>
        </w:tc>
      </w:tr>
      <w:tr>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RCTK394POSTGAUMIXBDNLOG</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Bundle</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400 / 400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400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350</w:t>
            </w:r>
          </w:p>
        </w:tc>
      </w:tr>
      <w:tr>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TK394POSTGAUMIXBDNLOG</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Bundle</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400 / 400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400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350</w:t>
            </w:r>
          </w:p>
        </w:tc>
      </w:tr>
      <w:tr>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RCTK494POSTGAUSSDMIXOG</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Bundle</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500 / 500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500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450</w:t>
            </w:r>
          </w:p>
        </w:tc>
      </w:tr>
      <w:tr>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TK494POSTGAUSSDMIXOG</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Bundle</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500 / 500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500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450</w:t>
            </w:r>
          </w:p>
        </w:tc>
      </w:tr>
      <w:tr>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TK214USSD30DPOSTOG</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Bundle</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220 / 220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220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Not Applicable</w:t>
            </w:r>
          </w:p>
        </w:tc>
      </w:tr>
      <w:tr>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TK1143CGAMXBOGPOST</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Bundle</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1,150 (from Jan26)</w:t>
            </w:r>
          </w:p>
        </w:tc>
      </w:tr>
      <w:tr>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TK2343CGAMXBOGPOST</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Bundle</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2,350 (from Jan26)</w:t>
            </w:r>
          </w:p>
        </w:tc>
      </w:tr>
    </w:tbl>
    <w:p/>
    <w:p>
      <w:pPr>
        <w:spacing w:before="40" w:after="40"/>
        <w:ind w:left="432"/>
      </w:pPr>
      <w:r>
        <w:rPr>
          <w:i/>
          <w:color w:val="595959"/>
          <w:sz w:val="17"/>
        </w:rPr>
        <w:t>Note: TK300BORGAPOSTOG is sourced from POSTPAID_COMMISSION_DATA_MONTHLY_DWH across all epochs.</w:t>
      </w:r>
    </w:p>
    <w:p>
      <w:pPr>
        <w:spacing w:before="120" w:after="80"/>
      </w:pPr>
      <w:r>
        <w:rPr>
          <w:b/>
          <w:color w:val="2E75B6"/>
          <w:sz w:val="22"/>
        </w:rPr>
        <w:t>Security Deposit Rules (Consistent Across All Epochs)</w:t>
      </w:r>
    </w:p>
    <w:tbl>
      <w:tblPr>
        <w:tblStyle w:val="TableGrid"/>
        <w:tblW w:type="auto" w:w="0"/>
        <w:tblLook w:firstColumn="1" w:firstRow="1" w:lastColumn="0" w:lastRow="0" w:noHBand="0" w:noVBand="1" w:val="04A0"/>
        <w:tblW w:w="9360" w:type="dxa"/>
      </w:tblPr>
      <w:tblGrid>
        <w:gridCol w:w="3168"/>
        <w:gridCol w:w="6192"/>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168" w:type="dxa"/>
          </w:tcPr>
          <w:p>
            <w:pPr>
              <w:jc w:val="center"/>
            </w:pPr>
            <w:r>
              <w:rPr>
                <w:b/>
                <w:i w:val="0"/>
                <w:color w:val="FFFFFF"/>
                <w:sz w:val="18"/>
              </w:rPr>
              <w:t>Rule</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192"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Same-day deposit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Full security deposit must be paid on the same day as activation</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Multiple shots allowed</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Deposit can be paid in multiple instalments within the same day</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Minimum or above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Deposit must be equal to or greater than the specified amount</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DPOS source</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200 taka package deposit verified from DPOS by activation date</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Eligible only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Only MNP and new acquisition considered; renewals excluded</w:t>
            </w:r>
          </w:p>
        </w:tc>
      </w:tr>
    </w:tbl>
    <w:p/>
    <w:p>
      <w:r>
        <w:br w:type="page"/>
      </w:r>
    </w:p>
    <w:p>
      <w:pPr>
        <w:spacing w:before="200" w:after="80"/>
      </w:pPr>
      <w:r>
        <w:rPr>
          <w:b/>
          <w:color w:val="1F4E79"/>
          <w:sz w:val="26"/>
          <w:u w:val="single"/>
        </w:rPr>
        <w:t>5. Epoch 1 – Jan–Mar 2025: Ryze Migration + GA + iTOP + First Visit Resolution</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Variable Incentive Jan25–Feb25 | Variable Incentive Mar25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01 Jan 2025 – 31 Mar 2025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Total Weight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Ryze 10% + GA 10% + iTOP 40% + First Visit Resolution 20% = 80% accounted (remaining 20% implied from structure)</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SAF</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100% SAF required</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Maturity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8th of the following month</w:t>
            </w:r>
          </w:p>
        </w:tc>
      </w:tr>
    </w:tbl>
    <w:p/>
    <w:p>
      <w:pPr>
        <w:spacing w:before="120" w:after="80"/>
      </w:pPr>
      <w:r>
        <w:rPr>
          <w:b/>
          <w:color w:val="2E75B6"/>
          <w:sz w:val="22"/>
        </w:rPr>
        <w:t>KPI Structure – Epoch 1</w:t>
      </w:r>
    </w:p>
    <w:tbl>
      <w:tblPr>
        <w:tblStyle w:val="TableGrid"/>
        <w:tblW w:type="auto" w:w="0"/>
        <w:tblLook w:firstColumn="1" w:firstRow="1" w:lastColumn="0" w:lastRow="0" w:noHBand="0" w:noVBand="1" w:val="04A0"/>
        <w:tblW w:w="9360" w:type="dxa"/>
      </w:tblPr>
      <w:tblGrid>
        <w:gridCol w:w="2736"/>
        <w:gridCol w:w="1007"/>
        <w:gridCol w:w="1224"/>
        <w:gridCol w:w="1007"/>
        <w:gridCol w:w="3384"/>
      </w:tblGrid>
      <w:tblGrid>
        <w:gridCol w:w="1806"/>
        <w:gridCol w:w="1806"/>
        <w:gridCol w:w="1806"/>
        <w:gridCol w:w="1806"/>
        <w:gridCol w:w="1806"/>
      </w:tblGrid>
      <w:tr>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736" w:type="dxa"/>
          </w:tcPr>
          <w:p>
            <w:pPr>
              <w:jc w:val="center"/>
            </w:pPr>
            <w:r>
              <w:rPr>
                <w:b/>
                <w:i w:val="0"/>
                <w:color w:val="FFFFFF"/>
                <w:sz w:val="18"/>
              </w:rPr>
              <w:t>KPI</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07" w:type="dxa"/>
          </w:tcPr>
          <w:p>
            <w:pPr>
              <w:jc w:val="center"/>
            </w:pPr>
            <w:r>
              <w:rPr>
                <w:b/>
                <w:i w:val="0"/>
                <w:color w:val="FFFFFF"/>
                <w:sz w:val="18"/>
              </w:rPr>
              <w:t>Target</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224" w:type="dxa"/>
          </w:tcPr>
          <w:p>
            <w:pPr>
              <w:jc w:val="center"/>
            </w:pPr>
            <w:r>
              <w:rPr>
                <w:b/>
                <w:i w:val="0"/>
                <w:color w:val="FFFFFF"/>
                <w:sz w:val="18"/>
              </w:rPr>
              <w:t>Threshold</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07" w:type="dxa"/>
          </w:tcPr>
          <w:p>
            <w:pPr>
              <w:jc w:val="center"/>
            </w:pPr>
            <w:r>
              <w:rPr>
                <w:b/>
                <w:i w:val="0"/>
                <w:color w:val="FFFFFF"/>
                <w:sz w:val="18"/>
              </w:rPr>
              <w:t>Weight</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384" w:type="dxa"/>
          </w:tcPr>
          <w:p>
            <w:pPr>
              <w:jc w:val="center"/>
            </w:pPr>
            <w:r>
              <w:rPr>
                <w:b/>
                <w:i w:val="0"/>
                <w:color w:val="FFFFFF"/>
                <w:sz w:val="18"/>
              </w:rPr>
              <w:t>Remarks</w:t>
            </w:r>
          </w:p>
        </w:tc>
      </w:tr>
      <w:tr>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Ryze Migration</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80%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24" w:type="dxa"/>
          </w:tcPr>
          <w:p>
            <w:pPr>
              <w:jc w:val="left"/>
            </w:pPr>
            <w:r>
              <w:rPr>
                <w:b w:val="0"/>
                <w:i w:val="0"/>
                <w:color w:val="000000"/>
                <w:sz w:val="18"/>
              </w:rPr>
              <w:t>80%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10%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BL Prepaid to RYZE Migration (Prepaid only). Via SQMS.</w:t>
            </w:r>
          </w:p>
        </w:tc>
      </w:tr>
      <w:tr>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Gross Add (GA)</w:t>
              <w:br/>
              <w:t>Prepaid+Postpaid+MNP+Reactivation with FR</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80%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24" w:type="dxa"/>
          </w:tcPr>
          <w:p>
            <w:pPr>
              <w:jc w:val="left"/>
            </w:pPr>
            <w:r>
              <w:rPr>
                <w:b w:val="0"/>
                <w:i w:val="0"/>
                <w:color w:val="000000"/>
                <w:sz w:val="18"/>
              </w:rPr>
              <w:t>80%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10%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Jan–Feb: no RYZE in GA scope.</w:t>
              <w:br/>
              <w:t>Mar25: RYZE added to GA scope.</w:t>
            </w:r>
          </w:p>
        </w:tc>
      </w:tr>
      <w:tr>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iTOP Up (Any deno drive)</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90%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24" w:type="dxa"/>
          </w:tcPr>
          <w:p>
            <w:pPr>
              <w:jc w:val="left"/>
            </w:pPr>
            <w:r>
              <w:rPr>
                <w:b w:val="0"/>
                <w:i w:val="0"/>
                <w:color w:val="000000"/>
                <w:sz w:val="18"/>
              </w:rPr>
              <w:t>90%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40%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All EV considered. Teller/Staff code wise from CC Recharge data.</w:t>
            </w:r>
          </w:p>
        </w:tc>
      </w:tr>
      <w:tr>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First Visit Resolution (SQMS)</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24" w:type="dxa"/>
          </w:tcPr>
          <w:p>
            <w:pPr>
              <w:jc w:val="left"/>
            </w:pPr>
            <w:r>
              <w:rPr>
                <w:b w:val="0"/>
                <w:i w:val="0"/>
                <w:color w:val="000000"/>
                <w:sz w:val="18"/>
              </w:rPr>
              <w:t>95%</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20%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Unique work code &gt;= 95% of total work code = eligible</w:t>
            </w:r>
          </w:p>
        </w:tc>
      </w:tr>
    </w:tbl>
    <w:p/>
    <w:p>
      <w:pPr>
        <w:spacing w:before="120" w:after="80"/>
      </w:pPr>
      <w:r>
        <w:rPr>
          <w:b/>
          <w:color w:val="2E75B6"/>
          <w:sz w:val="22"/>
        </w:rPr>
        <w:t>Ryze Migration – Unique Conditions</w:t>
      </w:r>
    </w:p>
    <w:tbl>
      <w:tblPr>
        <w:tblStyle w:val="TableGrid"/>
        <w:tblW w:type="auto" w:w="0"/>
        <w:tblLook w:firstColumn="1" w:firstRow="1" w:lastColumn="0" w:lastRow="0" w:noHBand="0" w:noVBand="1" w:val="04A0"/>
        <w:tblW w:w="9360" w:type="dxa"/>
      </w:tblPr>
      <w:tblGrid>
        <w:gridCol w:w="2592"/>
        <w:gridCol w:w="6768"/>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Pr>
                <w:b/>
                <w:i w:val="0"/>
                <w:color w:val="FFFFFF"/>
                <w:sz w:val="18"/>
              </w:rPr>
              <w:t>Condition</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768"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Mechanism</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Frontliners input customer MSISDN under specified service name in SQMS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Unique MSISDN</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Unique MSISDNs on the same date and within KPI month (30 days) considered</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Service Name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Ryze migration</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Product</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BL Prepaid to Ryze migration only</w:t>
            </w:r>
          </w:p>
        </w:tc>
      </w:tr>
    </w:tbl>
    <w:p/>
    <w:p>
      <w:pPr>
        <w:spacing w:before="120" w:after="80"/>
      </w:pPr>
      <w:r>
        <w:rPr>
          <w:b/>
          <w:color w:val="2E75B6"/>
          <w:sz w:val="22"/>
        </w:rPr>
        <w:t>First Visit Resolution – Unique Conditions</w:t>
      </w:r>
    </w:p>
    <w:tbl>
      <w:tblPr>
        <w:tblStyle w:val="TableGrid"/>
        <w:tblW w:type="auto" w:w="0"/>
        <w:tblLook w:firstColumn="1" w:firstRow="1" w:lastColumn="0" w:lastRow="0" w:noHBand="0" w:noVBand="1" w:val="04A0"/>
        <w:tblW w:w="9360" w:type="dxa"/>
      </w:tblPr>
      <w:tblGrid>
        <w:gridCol w:w="2592"/>
        <w:gridCol w:w="6768"/>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Pr>
                <w:b/>
                <w:i w:val="0"/>
                <w:color w:val="FFFFFF"/>
                <w:sz w:val="18"/>
              </w:rPr>
              <w:t>Condition</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768"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Weight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20% of total incentive</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Trigger</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Customer MSISDN unique service on same day</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Source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SQMS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Gate</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If unique work code &lt; 95% of total work code → NOT eligible</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Eligible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If unique work code count &gt;= 95% of actualization data → eligible for incentive</w:t>
            </w:r>
          </w:p>
        </w:tc>
      </w:tr>
    </w:tbl>
    <w:p/>
    <w:p>
      <w:pPr>
        <w:spacing w:before="120" w:after="80"/>
      </w:pPr>
      <w:r>
        <w:rPr>
          <w:b/>
          <w:color w:val="2E75B6"/>
          <w:sz w:val="22"/>
        </w:rPr>
        <w:t>GA Scope Change: Jan–Feb25 vs Mar25</w:t>
      </w:r>
    </w:p>
    <w:tbl>
      <w:tblPr>
        <w:tblStyle w:val="TableGrid"/>
        <w:tblW w:type="auto" w:w="0"/>
        <w:tblLook w:firstColumn="1" w:firstRow="1" w:lastColumn="0" w:lastRow="0" w:noHBand="0" w:noVBand="1" w:val="04A0"/>
        <w:tblW w:w="9360" w:type="dxa"/>
      </w:tblPr>
      <w:tblGrid>
        <w:gridCol w:w="2592"/>
        <w:gridCol w:w="6768"/>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Pr>
                <w:b/>
                <w:i w:val="0"/>
                <w:color w:val="FFFFFF"/>
                <w:sz w:val="18"/>
              </w:rPr>
              <w:t>Period</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768" w:type="dxa"/>
          </w:tcPr>
          <w:p>
            <w:pPr>
              <w:jc w:val="center"/>
            </w:pPr>
            <w:r>
              <w:rPr>
                <w:b/>
                <w:i w:val="0"/>
                <w:color w:val="FFFFFF"/>
                <w:sz w:val="18"/>
              </w:rPr>
              <w:t>GA Scope</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Jan–Feb 2025</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Prepaid + Postpaid + MNP + Reactivation with FR (NO RYZE in scope)</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Mar 2025</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Prepaid + RYZE + Postpaid + MNP + Reactivation with FR</w:t>
            </w:r>
          </w:p>
        </w:tc>
      </w:tr>
    </w:tbl>
    <w:p/>
    <w:p>
      <w:pPr>
        <w:spacing w:before="120" w:after="80"/>
      </w:pPr>
      <w:r>
        <w:rPr>
          <w:b/>
          <w:color w:val="2E75B6"/>
          <w:sz w:val="22"/>
        </w:rPr>
        <w:t>Recharge Conditions – Epoch 1</w:t>
      </w:r>
    </w:p>
    <w:p>
      <w:r>
        <w:rPr>
          <w:sz w:val="20"/>
        </w:rPr>
        <w:t>Prepaid GA: First recharge of BDT 48, 81, 222, or 224 must achieve 98% on GA after disconnection. Valid recharge = recharged from Customer Care Centre &amp; EV Recharge.</w:t>
      </w:r>
    </w:p>
    <w:p>
      <w:r>
        <w:br w:type="page"/>
      </w:r>
    </w:p>
    <w:p>
      <w:pPr>
        <w:spacing w:before="200" w:after="80"/>
      </w:pPr>
      <w:r>
        <w:rPr>
          <w:b/>
          <w:color w:val="1F4E79"/>
          <w:sz w:val="26"/>
          <w:u w:val="single"/>
        </w:rPr>
        <w:t>6. Epoch 2 – Apr 2025: GA + iTOP (Ryze Migration KPI Removed)</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Monobrand Officers Variable Incentive from Apr25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01 Apr 2025 – Until further notice</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SAF</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100% SAF required (unchanged from Epoch 1)</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Key Change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Ryze Migration KPI (10%) REMOVED. GA weight raised from 10% to 20%.</w:t>
            </w:r>
          </w:p>
        </w:tc>
      </w:tr>
    </w:tbl>
    <w:p/>
    <w:p>
      <w:pPr>
        <w:spacing w:before="120" w:after="80"/>
      </w:pPr>
      <w:r>
        <w:rPr>
          <w:b/>
          <w:color w:val="2E75B6"/>
          <w:sz w:val="22"/>
        </w:rPr>
        <w:t>KPI Structure – Epoch 2</w:t>
      </w:r>
    </w:p>
    <w:tbl>
      <w:tblPr>
        <w:tblStyle w:val="TableGrid"/>
        <w:tblW w:type="auto" w:w="0"/>
        <w:tblLook w:firstColumn="1" w:firstRow="1" w:lastColumn="0" w:lastRow="0" w:noHBand="0" w:noVBand="1" w:val="04A0"/>
        <w:tblW w:w="9288" w:type="dxa"/>
      </w:tblPr>
      <w:tblGrid>
        <w:gridCol w:w="3456"/>
        <w:gridCol w:w="864"/>
        <w:gridCol w:w="1224"/>
        <w:gridCol w:w="1007"/>
        <w:gridCol w:w="2736"/>
      </w:tblGrid>
      <w:tblGrid>
        <w:gridCol w:w="1806"/>
        <w:gridCol w:w="1806"/>
        <w:gridCol w:w="1806"/>
        <w:gridCol w:w="1806"/>
        <w:gridCol w:w="1806"/>
      </w:tblGrid>
      <w:tr>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456" w:type="dxa"/>
          </w:tcPr>
          <w:p>
            <w:pPr>
              <w:jc w:val="center"/>
            </w:pPr>
            <w:r>
              <w:rPr>
                <w:b/>
                <w:i w:val="0"/>
                <w:color w:val="FFFFFF"/>
                <w:sz w:val="18"/>
              </w:rPr>
              <w:t>KPI</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864" w:type="dxa"/>
          </w:tcPr>
          <w:p>
            <w:pPr>
              <w:jc w:val="center"/>
            </w:pPr>
            <w:r>
              <w:rPr>
                <w:b/>
                <w:i w:val="0"/>
                <w:color w:val="FFFFFF"/>
                <w:sz w:val="18"/>
              </w:rPr>
              <w:t>Target</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224" w:type="dxa"/>
          </w:tcPr>
          <w:p>
            <w:pPr>
              <w:jc w:val="center"/>
            </w:pPr>
            <w:r>
              <w:rPr>
                <w:b/>
                <w:i w:val="0"/>
                <w:color w:val="FFFFFF"/>
                <w:sz w:val="18"/>
              </w:rPr>
              <w:t>Threshold</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07" w:type="dxa"/>
          </w:tcPr>
          <w:p>
            <w:pPr>
              <w:jc w:val="center"/>
            </w:pPr>
            <w:r>
              <w:rPr>
                <w:b/>
                <w:i w:val="0"/>
                <w:color w:val="FFFFFF"/>
                <w:sz w:val="18"/>
              </w:rPr>
              <w:t>Weight</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736" w:type="dxa"/>
          </w:tcPr>
          <w:p>
            <w:pPr>
              <w:jc w:val="center"/>
            </w:pPr>
            <w:r>
              <w:rPr>
                <w:b/>
                <w:i w:val="0"/>
                <w:color w:val="FFFFFF"/>
                <w:sz w:val="18"/>
              </w:rPr>
              <w:t>Remarks</w:t>
            </w:r>
          </w:p>
        </w:tc>
      </w:tr>
      <w:tr>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val="0"/>
                <w:i w:val="0"/>
                <w:color w:val="000000"/>
                <w:sz w:val="18"/>
              </w:rPr>
              <w:t>Gross Add</w:t>
              <w:br/>
              <w:t>(Prepaid incl. RYZE + Postpaid + MNP + Reactivation with FR)</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Pr>
                <w:b w:val="0"/>
                <w:i w:val="0"/>
                <w:color w:val="000000"/>
                <w:sz w:val="18"/>
              </w:rPr>
              <w:t>80%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24" w:type="dxa"/>
          </w:tcPr>
          <w:p>
            <w:pPr>
              <w:jc w:val="left"/>
            </w:pPr>
            <w:r>
              <w:rPr>
                <w:b w:val="0"/>
                <w:i w:val="0"/>
                <w:color w:val="000000"/>
                <w:sz w:val="18"/>
              </w:rPr>
              <w:t>80%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20%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FCD and ETSAF vetting. RYZE now included in main GA scope.</w:t>
            </w:r>
          </w:p>
        </w:tc>
      </w:tr>
      <w:tr>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val="0"/>
                <w:i w:val="0"/>
                <w:color w:val="000000"/>
                <w:sz w:val="18"/>
              </w:rPr>
              <w:t>iTOP Up (Any deno drive)</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Pr>
                <w:b w:val="0"/>
                <w:i w:val="0"/>
                <w:color w:val="000000"/>
                <w:sz w:val="18"/>
              </w:rPr>
              <w:t>90%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24" w:type="dxa"/>
          </w:tcPr>
          <w:p>
            <w:pPr>
              <w:jc w:val="left"/>
            </w:pPr>
            <w:r>
              <w:rPr>
                <w:b w:val="0"/>
                <w:i w:val="0"/>
                <w:color w:val="000000"/>
                <w:sz w:val="18"/>
              </w:rPr>
              <w:t>90%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40%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All EV. No change from Epoch 1.</w:t>
            </w:r>
          </w:p>
        </w:tc>
      </w:tr>
    </w:tbl>
    <w:p/>
    <w:p>
      <w:pPr>
        <w:spacing w:before="40" w:after="40"/>
        <w:ind w:left="432"/>
      </w:pPr>
      <w:r>
        <w:rPr>
          <w:i/>
          <w:color w:val="595959"/>
          <w:sz w:val="17"/>
        </w:rPr>
        <w:t>Note: The remaining 40% not shown in the SRF is not explicitly detailed — likely reflects the First Visit Resolution component (20%) or other targets shared separately by user team.</w:t>
      </w:r>
    </w:p>
    <w:p>
      <w:r>
        <w:br w:type="page"/>
      </w:r>
    </w:p>
    <w:p>
      <w:pPr>
        <w:spacing w:before="200" w:after="80"/>
      </w:pPr>
      <w:r>
        <w:rPr>
          <w:b/>
          <w:color w:val="1F4E79"/>
          <w:sz w:val="26"/>
          <w:u w:val="single"/>
        </w:rPr>
        <w:t>7. RYZE Separate Slab Commission (from Apr 2025 – Standalone SRF)</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Monobrand Officers RIZE Incentive from Apr25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Monobrand CCR (listed only)</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01 Apr 2025 – Until further notice</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Product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RYZE Prepaid only (Product Name: 'Sim Card Ryze Package')</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Gate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Cumulative GA of CCRs assigned to a Monobrand must be &gt;=70% of that Monobrand's Monthly Target</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GA Cap</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Incentive eligible up to 100 GA for Slab 3 (even if achievement &gt; 100)</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AIT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Not applicable</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Maturity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1st of following month</w:t>
            </w:r>
          </w:p>
        </w:tc>
      </w:tr>
    </w:tbl>
    <w:p/>
    <w:p>
      <w:pPr>
        <w:spacing w:before="120" w:after="80"/>
      </w:pPr>
      <w:r>
        <w:rPr>
          <w:b/>
          <w:color w:val="2E75B6"/>
          <w:sz w:val="22"/>
        </w:rPr>
        <w:t>RYZE Slab Commission Structure</w:t>
      </w:r>
    </w:p>
    <w:tbl>
      <w:tblPr>
        <w:tblStyle w:val="TableGrid"/>
        <w:tblW w:type="auto" w:w="0"/>
        <w:tblLook w:firstColumn="1" w:firstRow="1" w:lastColumn="0" w:lastRow="0" w:noHBand="0" w:noVBand="1" w:val="04A0"/>
        <w:tblW w:w="9360" w:type="dxa"/>
      </w:tblPr>
      <w:tblGrid>
        <w:gridCol w:w="1728"/>
        <w:gridCol w:w="3600"/>
        <w:gridCol w:w="4031"/>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728" w:type="dxa"/>
          </w:tcPr>
          <w:p>
            <w:pPr>
              <w:jc w:val="center"/>
            </w:pPr>
            <w:r>
              <w:rPr>
                <w:b/>
                <w:i w:val="0"/>
                <w:color w:val="FFFFFF"/>
                <w:sz w:val="18"/>
              </w:rPr>
              <w:t>Slab</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600" w:type="dxa"/>
          </w:tcPr>
          <w:p>
            <w:pPr>
              <w:jc w:val="center"/>
            </w:pPr>
            <w:r>
              <w:rPr>
                <w:b/>
                <w:i w:val="0"/>
                <w:color w:val="FFFFFF"/>
                <w:sz w:val="18"/>
              </w:rPr>
              <w:t>RYZE Activation Range</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031" w:type="dxa"/>
          </w:tcPr>
          <w:p>
            <w:pPr>
              <w:jc w:val="center"/>
            </w:pPr>
            <w:r>
              <w:rPr>
                <w:b/>
                <w:i w:val="0"/>
                <w:color w:val="FFFFFF"/>
                <w:sz w:val="18"/>
              </w:rPr>
              <w:t>Commission per Activation</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Slab 1</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Pr>
                <w:b w:val="0"/>
                <w:i w:val="0"/>
                <w:color w:val="000000"/>
                <w:sz w:val="18"/>
              </w:rPr>
              <w:t>20 – 29</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Pr>
                <w:b w:val="0"/>
                <w:i w:val="0"/>
                <w:color w:val="000000"/>
                <w:sz w:val="18"/>
              </w:rPr>
              <w:t>BDT 50</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Slab 2</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Pr>
                <w:b w:val="0"/>
                <w:i w:val="0"/>
                <w:color w:val="000000"/>
                <w:sz w:val="18"/>
              </w:rPr>
              <w:t>30 – 59</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Pr>
                <w:b w:val="0"/>
                <w:i w:val="0"/>
                <w:color w:val="000000"/>
                <w:sz w:val="18"/>
              </w:rPr>
              <w:t>BDT 70</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Slab 3</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Pr>
                <w:b w:val="0"/>
                <w:i w:val="0"/>
                <w:color w:val="000000"/>
                <w:sz w:val="18"/>
              </w:rPr>
              <w:t>60 – up to 100</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Pr>
                <w:b w:val="0"/>
                <w:i w:val="0"/>
                <w:color w:val="000000"/>
                <w:sz w:val="18"/>
              </w:rPr>
              <w:t>BDT 100 (capped at 100 GA)</w:t>
            </w:r>
          </w:p>
        </w:tc>
      </w:tr>
    </w:tbl>
    <w:p/>
    <w:p>
      <w:pPr>
        <w:spacing w:before="120" w:after="80"/>
      </w:pPr>
      <w:r>
        <w:rPr>
          <w:b/>
          <w:color w:val="2E75B6"/>
          <w:sz w:val="22"/>
        </w:rPr>
        <w:t>RYZE Slab – Key Unique Conditions</w:t>
      </w:r>
    </w:p>
    <w:tbl>
      <w:tblPr>
        <w:tblStyle w:val="TableGrid"/>
        <w:tblW w:type="auto" w:w="0"/>
        <w:tblLook w:firstColumn="1" w:firstRow="1" w:lastColumn="0" w:lastRow="0" w:noHBand="0" w:noVBand="1" w:val="04A0"/>
        <w:tblW w:w="9360" w:type="dxa"/>
      </w:tblPr>
      <w:tblGrid>
        <w:gridCol w:w="2736"/>
        <w:gridCol w:w="6623"/>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736" w:type="dxa"/>
          </w:tcPr>
          <w:p>
            <w:pPr>
              <w:jc w:val="center"/>
            </w:pPr>
            <w:r>
              <w:rPr>
                <w:b/>
                <w:i w:val="0"/>
                <w:color w:val="FFFFFF"/>
                <w:sz w:val="18"/>
              </w:rPr>
              <w:t>Condition</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623"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Store-level gate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623" w:type="dxa"/>
          </w:tcPr>
          <w:p>
            <w:pPr>
              <w:jc w:val="left"/>
            </w:pPr>
            <w:r>
              <w:rPr>
                <w:b w:val="0"/>
                <w:i w:val="0"/>
                <w:color w:val="000000"/>
                <w:sz w:val="18"/>
              </w:rPr>
              <w:t>Cumulative GA of all CCRs in a Monobrand must reach &gt;=70% of that store's monthly target before any individual CCR qualifies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Individual cap</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623" w:type="dxa"/>
          </w:tcPr>
          <w:p>
            <w:pPr>
              <w:jc w:val="left"/>
            </w:pPr>
            <w:r>
              <w:rPr>
                <w:b w:val="0"/>
                <w:i w:val="0"/>
                <w:color w:val="000000"/>
                <w:sz w:val="18"/>
              </w:rPr>
              <w:t>Slab 3 commission only paid on first 100 RYZE activations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Minimum threshold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623" w:type="dxa"/>
          </w:tcPr>
          <w:p>
            <w:pPr>
              <w:jc w:val="left"/>
            </w:pPr>
            <w:r>
              <w:rPr>
                <w:b w:val="0"/>
                <w:i w:val="0"/>
                <w:color w:val="000000"/>
                <w:sz w:val="18"/>
              </w:rPr>
              <w:t>Below 20 RYZE activations: no slab commission</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Product restriction</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623" w:type="dxa"/>
          </w:tcPr>
          <w:p>
            <w:pPr>
              <w:jc w:val="left"/>
            </w:pPr>
            <w:r>
              <w:rPr>
                <w:b w:val="0"/>
                <w:i w:val="0"/>
                <w:color w:val="000000"/>
                <w:sz w:val="18"/>
              </w:rPr>
              <w:t>RYZE Prepaid activations only — standard Prepaid/Postpaid not counted here</w:t>
            </w:r>
          </w:p>
        </w:tc>
      </w:tr>
    </w:tbl>
    <w:p/>
    <w:p>
      <w:r>
        <w:br w:type="page"/>
      </w:r>
    </w:p>
    <w:p>
      <w:pPr>
        <w:spacing w:before="200" w:after="80"/>
      </w:pPr>
      <w:r>
        <w:rPr>
          <w:b/>
          <w:color w:val="1F4E79"/>
          <w:sz w:val="26"/>
          <w:u w:val="single"/>
        </w:rPr>
        <w:t>8. Epoch 3 – May 2025: GA + Recharge &amp; Bundle + Daily Participation + App Install</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Monobrand Officers Variable Incentive from May25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01 May 2025 – Until further notice</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SAF Change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100% → 98% SAF threshold (major change)</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Key Changes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iTOP KPI replaced by Recharge &amp; Bundle Upsell. Daily Participation and App Install added. Payout model: At Actual for 80-99%, 100% payout for &gt;=100%.</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Bundle Condition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15% of Total Recharge must be either data bundle or mix bundle</w:t>
            </w:r>
          </w:p>
        </w:tc>
      </w:tr>
    </w:tbl>
    <w:p/>
    <w:p>
      <w:pPr>
        <w:spacing w:before="120" w:after="80"/>
      </w:pPr>
      <w:r>
        <w:rPr>
          <w:b/>
          <w:color w:val="2E75B6"/>
          <w:sz w:val="22"/>
        </w:rPr>
        <w:t>KPI Structure – Epoch 3 (May 2025)</w:t>
      </w:r>
    </w:p>
    <w:tbl>
      <w:tblPr>
        <w:tblStyle w:val="TableGrid"/>
        <w:tblW w:type="auto" w:w="0"/>
        <w:tblLook w:firstColumn="1" w:firstRow="1" w:lastColumn="0" w:lastRow="0" w:noHBand="0" w:noVBand="1" w:val="04A0"/>
        <w:tblW w:w="9360" w:type="dxa"/>
      </w:tblPr>
      <w:tblGrid>
        <w:gridCol w:w="3024"/>
        <w:gridCol w:w="1080"/>
        <w:gridCol w:w="1872"/>
        <w:gridCol w:w="1584"/>
        <w:gridCol w:w="1800"/>
      </w:tblGrid>
      <w:tblGrid>
        <w:gridCol w:w="1806"/>
        <w:gridCol w:w="1806"/>
        <w:gridCol w:w="1806"/>
        <w:gridCol w:w="1806"/>
        <w:gridCol w:w="1806"/>
      </w:tblGrid>
      <w:tr>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024" w:type="dxa"/>
          </w:tcPr>
          <w:p>
            <w:pPr>
              <w:jc w:val="center"/>
            </w:pPr>
            <w:r>
              <w:rPr>
                <w:b/>
                <w:i w:val="0"/>
                <w:color w:val="FFFFFF"/>
                <w:sz w:val="18"/>
              </w:rPr>
              <w:t>KPI</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80" w:type="dxa"/>
          </w:tcPr>
          <w:p>
            <w:pPr>
              <w:jc w:val="center"/>
            </w:pPr>
            <w:r>
              <w:rPr>
                <w:b/>
                <w:i w:val="0"/>
                <w:color w:val="FFFFFF"/>
                <w:sz w:val="18"/>
              </w:rPr>
              <w:t>Weight</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872" w:type="dxa"/>
          </w:tcPr>
          <w:p>
            <w:pPr>
              <w:jc w:val="center"/>
            </w:pPr>
            <w:r>
              <w:rPr>
                <w:b/>
                <w:i w:val="0"/>
                <w:color w:val="FFFFFF"/>
                <w:sz w:val="18"/>
              </w:rPr>
              <w:t>Payout: 80%–&lt;100%</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584" w:type="dxa"/>
          </w:tcPr>
          <w:p>
            <w:pPr>
              <w:jc w:val="center"/>
            </w:pPr>
            <w:r>
              <w:rPr>
                <w:b/>
                <w:i w:val="0"/>
                <w:color w:val="FFFFFF"/>
                <w:sz w:val="18"/>
              </w:rPr>
              <w:t>Payout: &gt;=100%</w:t>
            </w:r>
          </w:p>
        </w:tc>
        <w:tc>
          <w:tcPr>
            <w:tcW w:type="dxa" w:w="1806"/>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800" w:type="dxa"/>
          </w:tcPr>
          <w:p>
            <w:pPr>
              <w:jc w:val="center"/>
            </w:pPr>
            <w:r>
              <w:rPr>
                <w:b/>
                <w:i w:val="0"/>
                <w:color w:val="FFFFFF"/>
                <w:sz w:val="18"/>
              </w:rPr>
              <w:t>Remarks</w:t>
            </w:r>
          </w:p>
        </w:tc>
      </w:tr>
      <w:tr>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Gross Add</w:t>
              <w:br/>
              <w:t>(Prepaid incl. RYZE + Postpaid + MNP)</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20%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Pr>
                <w:b w:val="0"/>
                <w:i w:val="0"/>
                <w:color w:val="000000"/>
                <w:sz w:val="18"/>
              </w:rPr>
              <w:t>At Actual</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100%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00" w:type="dxa"/>
          </w:tcPr>
          <w:p>
            <w:pPr>
              <w:jc w:val="left"/>
            </w:pPr>
            <w:r>
              <w:rPr>
                <w:b w:val="0"/>
                <w:i w:val="0"/>
                <w:color w:val="000000"/>
                <w:sz w:val="18"/>
              </w:rPr>
              <w:t>FCD + ETSAF vetting. No Reactivation with FR from May25.</w:t>
            </w:r>
          </w:p>
        </w:tc>
      </w:tr>
      <w:tr>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Recharge &amp; Bundle Upsell</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20%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Pr>
                <w:b w:val="0"/>
                <w:i w:val="0"/>
                <w:color w:val="000000"/>
                <w:sz w:val="18"/>
              </w:rPr>
              <w:t>At Actual</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100%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00" w:type="dxa"/>
          </w:tcPr>
          <w:p>
            <w:pPr>
              <w:jc w:val="left"/>
            </w:pPr>
            <w:r>
              <w:rPr>
                <w:b w:val="0"/>
                <w:i w:val="0"/>
                <w:color w:val="000000"/>
                <w:sz w:val="18"/>
              </w:rPr>
              <w:t>15% of Total Recharge must be data/mix bundle</w:t>
            </w:r>
          </w:p>
        </w:tc>
      </w:tr>
      <w:tr>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Daily Participation in GA &amp; Recharge</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20%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Pr>
                <w:b w:val="0"/>
                <w:i w:val="0"/>
                <w:color w:val="000000"/>
                <w:sz w:val="18"/>
              </w:rPr>
              <w:t>At Actual</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100%</w:t>
            </w:r>
          </w:p>
        </w:tc>
        <w:tc>
          <w:tcPr>
            <w:tcW w:type="dxa" w:w="1806"/>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00" w:type="dxa"/>
          </w:tcPr>
          <w:p>
            <w:pPr>
              <w:jc w:val="left"/>
            </w:pPr>
            <w:r>
              <w:rPr>
                <w:b w:val="0"/>
                <w:i w:val="0"/>
                <w:color w:val="000000"/>
                <w:sz w:val="18"/>
              </w:rPr>
              <w:t>No. of unique days with GA or Recharge achievement vs. scheduled working days/month</w:t>
            </w:r>
          </w:p>
        </w:tc>
      </w:tr>
      <w:tr>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Toffee / MY BL App Installation</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20%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Pr>
                <w:b w:val="0"/>
                <w:i w:val="0"/>
                <w:color w:val="000000"/>
                <w:sz w:val="18"/>
              </w:rPr>
              <w:t>At Actual</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100%</w:t>
            </w:r>
          </w:p>
        </w:tc>
        <w:tc>
          <w:tcPr>
            <w:tcW w:type="dxa" w:w="1806"/>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00" w:type="dxa"/>
          </w:tcPr>
          <w:p>
            <w:pPr>
              <w:jc w:val="left"/>
            </w:pPr>
            <w:r>
              <w:rPr>
                <w:b w:val="0"/>
                <w:i w:val="0"/>
                <w:color w:val="000000"/>
                <w:sz w:val="18"/>
              </w:rPr>
              <w:t>BL App + Toffee App; using referral codes</w:t>
            </w:r>
          </w:p>
        </w:tc>
      </w:tr>
    </w:tbl>
    <w:p/>
    <w:p>
      <w:pPr>
        <w:spacing w:before="40" w:after="40"/>
        <w:ind w:left="432"/>
      </w:pPr>
      <w:r>
        <w:rPr>
          <w:i/>
          <w:color w:val="595959"/>
          <w:sz w:val="17"/>
        </w:rPr>
        <w:t>Note: Below 80% achievement on any KPI = 0% payout for that KPI. The remaining 20% weight (not shown) likely represents First Visit Resolution carried from prior epochs or other targets.</w:t>
      </w:r>
    </w:p>
    <w:p>
      <w:pPr>
        <w:spacing w:before="120" w:after="80"/>
      </w:pPr>
      <w:r>
        <w:rPr>
          <w:b/>
          <w:color w:val="2E75B6"/>
          <w:sz w:val="22"/>
        </w:rPr>
        <w:t>App Installation Conditions (New from Epoch 3)</w:t>
      </w:r>
    </w:p>
    <w:tbl>
      <w:tblPr>
        <w:tblStyle w:val="TableGrid"/>
        <w:tblW w:type="auto" w:w="0"/>
        <w:tblLook w:firstColumn="1" w:firstRow="1" w:lastColumn="0" w:lastRow="0" w:noHBand="0" w:noVBand="1" w:val="04A0"/>
        <w:tblW w:w="9360" w:type="dxa"/>
      </w:tblPr>
      <w:tblGrid>
        <w:gridCol w:w="2160"/>
        <w:gridCol w:w="7200"/>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Pr>
                <w:b/>
                <w:i w:val="0"/>
                <w:color w:val="FFFFFF"/>
                <w:sz w:val="18"/>
              </w:rPr>
              <w:t>App</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7200" w:type="dxa"/>
          </w:tcPr>
          <w:p>
            <w:pPr>
              <w:jc w:val="center"/>
            </w:pPr>
            <w:r>
              <w:rPr>
                <w:b/>
                <w:i w:val="0"/>
                <w:color w:val="FFFFFF"/>
                <w:sz w:val="18"/>
              </w:rPr>
              <w:t>Condition</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My BL App</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0" w:type="dxa"/>
          </w:tcPr>
          <w:p>
            <w:pPr>
              <w:jc w:val="left"/>
            </w:pPr>
            <w:r>
              <w:rPr>
                <w:b w:val="0"/>
                <w:i w:val="0"/>
                <w:color w:val="000000"/>
                <w:sz w:val="18"/>
              </w:rPr>
              <w:t>Install from Play Store (Android) or App Store (Apple) using referral code of the CCR</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Toffee App</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0" w:type="dxa"/>
          </w:tcPr>
          <w:p>
            <w:pPr>
              <w:jc w:val="left"/>
            </w:pPr>
            <w:r>
              <w:rPr>
                <w:b w:val="0"/>
                <w:i w:val="0"/>
                <w:color w:val="000000"/>
                <w:sz w:val="18"/>
              </w:rPr>
              <w:t>Install from Play Store (Android) or App Store (Apple) using Toffee referral code of the CCR</w:t>
            </w:r>
          </w:p>
        </w:tc>
      </w:tr>
    </w:tbl>
    <w:p/>
    <w:p>
      <w:r>
        <w:br w:type="page"/>
      </w:r>
    </w:p>
    <w:p>
      <w:pPr>
        <w:spacing w:before="200" w:after="80"/>
      </w:pPr>
      <w:r>
        <w:rPr>
          <w:b/>
          <w:color w:val="1F4E79"/>
          <w:sz w:val="26"/>
          <w:u w:val="single"/>
        </w:rPr>
        <w:t>9. Epoch 4 – Jul 2025: Bundle Ratio &amp; Security Deposit Changes</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Monobrand Officers Variable Incentive from July25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01 Jul 2025 – Until further notice</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KPI Structure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Unchanged from Epoch 3 (same 4 KPIs at 20% each)</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Bundle Change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Data/mix bundle ratio reduced from 15% to 10% of Total Recharge</w:t>
            </w:r>
          </w:p>
        </w:tc>
      </w:tr>
    </w:tbl>
    <w:p/>
    <w:p>
      <w:pPr>
        <w:spacing w:before="120" w:after="80"/>
      </w:pPr>
      <w:r>
        <w:rPr>
          <w:b/>
          <w:color w:val="2E75B6"/>
          <w:sz w:val="22"/>
        </w:rPr>
        <w:t>Bundle Ratio Change</w:t>
      </w:r>
    </w:p>
    <w:tbl>
      <w:tblPr>
        <w:tblStyle w:val="TableGrid"/>
        <w:tblW w:type="auto" w:w="0"/>
        <w:tblLook w:firstColumn="1" w:firstRow="1" w:lastColumn="0" w:lastRow="0" w:noHBand="0" w:noVBand="1" w:val="04A0"/>
        <w:tblW w:w="9360" w:type="dxa"/>
      </w:tblPr>
      <w:tblGrid>
        <w:gridCol w:w="2880"/>
        <w:gridCol w:w="3240"/>
        <w:gridCol w:w="3240"/>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880" w:type="dxa"/>
          </w:tcPr>
          <w:p>
            <w:pPr>
              <w:jc w:val="center"/>
            </w:pPr>
            <w:r>
              <w:rPr>
                <w:b/>
                <w:i w:val="0"/>
                <w:color w:val="FFFFFF"/>
                <w:sz w:val="18"/>
              </w:rPr>
              <w:t>Parameter</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240" w:type="dxa"/>
          </w:tcPr>
          <w:p>
            <w:pPr>
              <w:jc w:val="center"/>
            </w:pPr>
            <w:r>
              <w:rPr>
                <w:b/>
                <w:i w:val="0"/>
                <w:color w:val="FFFFFF"/>
                <w:sz w:val="18"/>
              </w:rPr>
              <w:t>Epoch 3 (May 2025)</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240" w:type="dxa"/>
          </w:tcPr>
          <w:p>
            <w:pPr>
              <w:jc w:val="center"/>
            </w:pPr>
            <w:r>
              <w:rPr>
                <w:b/>
                <w:i w:val="0"/>
                <w:color w:val="FFFFFF"/>
                <w:sz w:val="18"/>
              </w:rPr>
              <w:t>Epoch 4 (Jul 2025)</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Bundle type</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Data bundle or mix bundle</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Data bundle or mix bundle (same)</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Minimum % of recharge</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15% of Total Recharge</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10% of Total Recharge</w:t>
            </w:r>
          </w:p>
        </w:tc>
      </w:tr>
    </w:tbl>
    <w:p/>
    <w:p>
      <w:pPr>
        <w:spacing w:before="120" w:after="80"/>
      </w:pPr>
      <w:r>
        <w:rPr>
          <w:b/>
          <w:color w:val="2E75B6"/>
          <w:sz w:val="22"/>
        </w:rPr>
        <w:t>Security Deposit Changes (Jul 2025)</w:t>
      </w:r>
    </w:p>
    <w:tbl>
      <w:tblPr>
        <w:tblStyle w:val="TableGrid"/>
        <w:tblW w:type="auto" w:w="0"/>
        <w:tblLook w:firstColumn="1" w:firstRow="1" w:lastColumn="0" w:lastRow="0" w:noHBand="0" w:noVBand="1" w:val="04A0"/>
        <w:tblW w:w="9360" w:type="dxa"/>
      </w:tblPr>
      <w:tblGrid>
        <w:gridCol w:w="3600"/>
        <w:gridCol w:w="2880"/>
        <w:gridCol w:w="2880"/>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600" w:type="dxa"/>
          </w:tcPr>
          <w:p>
            <w:pPr>
              <w:jc w:val="center"/>
            </w:pPr>
            <w:r>
              <w:rPr>
                <w:b/>
                <w:i w:val="0"/>
                <w:color w:val="FFFFFF"/>
                <w:sz w:val="18"/>
              </w:rPr>
              <w:t>EQUIPID</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880" w:type="dxa"/>
          </w:tcPr>
          <w:p>
            <w:pPr>
              <w:jc w:val="center"/>
            </w:pPr>
            <w:r>
              <w:rPr>
                <w:b/>
                <w:i w:val="0"/>
                <w:color w:val="FFFFFF"/>
                <w:sz w:val="18"/>
              </w:rPr>
              <w:t>Pre-Jul 2025</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880" w:type="dxa"/>
          </w:tcPr>
          <w:p>
            <w:pPr>
              <w:jc w:val="center"/>
            </w:pPr>
            <w:r>
              <w:rPr>
                <w:b/>
                <w:i w:val="0"/>
                <w:color w:val="FFFFFF"/>
                <w:sz w:val="18"/>
              </w:rPr>
              <w:t>Jul 2025 onwards</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Pr>
                <w:b w:val="0"/>
                <w:i w:val="0"/>
                <w:color w:val="000000"/>
                <w:sz w:val="18"/>
              </w:rPr>
              <w:t>TK200NB30DPOSTOG</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BDT 150</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BDT 170</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Pr>
                <w:b w:val="0"/>
                <w:i w:val="0"/>
                <w:color w:val="000000"/>
                <w:sz w:val="18"/>
              </w:rPr>
              <w:t>TK794POSTGAUMIXBDNLOG</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BDT 800</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BDT 750</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Pr>
                <w:b w:val="0"/>
                <w:i w:val="0"/>
                <w:color w:val="000000"/>
                <w:sz w:val="18"/>
              </w:rPr>
              <w:t>TK394POSTGAUMIXBDNLOG</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BDT 400</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BDT 350</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Pr>
                <w:b w:val="0"/>
                <w:i w:val="0"/>
                <w:color w:val="000000"/>
                <w:sz w:val="18"/>
              </w:rPr>
              <w:t>TK494POSTGAUSSDMIXOG</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BDT 500</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BDT 450</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Pr>
                <w:b w:val="0"/>
                <w:i w:val="0"/>
                <w:color w:val="000000"/>
                <w:sz w:val="18"/>
              </w:rPr>
              <w:t>TK214USSD30DPOSTOG</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BDT 220</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Not Applicable</w:t>
            </w:r>
          </w:p>
        </w:tc>
      </w:tr>
    </w:tbl>
    <w:p/>
    <w:p>
      <w:r>
        <w:br w:type="page"/>
      </w:r>
    </w:p>
    <w:p>
      <w:pPr>
        <w:spacing w:before="200" w:after="80"/>
      </w:pPr>
      <w:r>
        <w:rPr>
          <w:b/>
          <w:color w:val="1F4E79"/>
          <w:sz w:val="26"/>
          <w:u w:val="single"/>
        </w:rPr>
        <w:t>10. Epoch 5 – Oct–Dec 2025: CSAT Added, Multi-Slab Payout, First Recharge 45-Day Window</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Variable Incentive from Oct25 | Variable Incentive Dec25_proy</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01 Oct 2025 – 31 Dec 2025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Maturity Change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Changed to 45 days after activation (was 8th of following month)</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CSAT Added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Customer Satisfaction Score (CSAT) introduced at 15% weight</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GA Weight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Raised from 20% to 30% (split: 15% Target Achievement + 15% First Recharge)</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Recharge Weight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Raised from 20% to 25%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Daily Part.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Reduced from 20% to 10%</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App Install</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Unchanged at 20%; target = 50% of GA Target</w:t>
            </w:r>
          </w:p>
        </w:tc>
      </w:tr>
    </w:tbl>
    <w:p/>
    <w:p>
      <w:pPr>
        <w:spacing w:before="120" w:after="80"/>
      </w:pPr>
      <w:r>
        <w:rPr>
          <w:b/>
          <w:color w:val="2E75B6"/>
          <w:sz w:val="22"/>
        </w:rPr>
        <w:t>KPI Structure – Epoch 5</w:t>
      </w:r>
    </w:p>
    <w:tbl>
      <w:tblPr>
        <w:tblStyle w:val="TableGrid"/>
        <w:tblW w:type="auto" w:w="0"/>
        <w:tblLook w:firstColumn="1" w:firstRow="1" w:lastColumn="0" w:lastRow="0" w:noHBand="0" w:noVBand="1" w:val="04A0"/>
        <w:tblW w:w="9360" w:type="dxa"/>
      </w:tblPr>
      <w:tblGrid>
        <w:gridCol w:w="2736"/>
        <w:gridCol w:w="648"/>
        <w:gridCol w:w="1296"/>
        <w:gridCol w:w="4680"/>
      </w:tblGrid>
      <w:tblGrid>
        <w:gridCol w:w="2257"/>
        <w:gridCol w:w="2257"/>
        <w:gridCol w:w="2257"/>
        <w:gridCol w:w="2257"/>
      </w:tblGrid>
      <w:tr>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736" w:type="dxa"/>
          </w:tcPr>
          <w:p>
            <w:pPr>
              <w:jc w:val="center"/>
            </w:pPr>
            <w:r>
              <w:rPr>
                <w:b/>
                <w:i w:val="0"/>
                <w:color w:val="FFFFFF"/>
                <w:sz w:val="18"/>
              </w:rPr>
              <w:t>KPI</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48" w:type="dxa"/>
          </w:tcPr>
          <w:p>
            <w:pPr>
              <w:jc w:val="center"/>
            </w:pPr>
            <w:r>
              <w:rPr>
                <w:b/>
                <w:i w:val="0"/>
                <w:color w:val="FFFFFF"/>
                <w:sz w:val="18"/>
              </w:rPr>
              <w:t>Wt</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296" w:type="dxa"/>
          </w:tcPr>
          <w:p>
            <w:pPr>
              <w:jc w:val="center"/>
            </w:pPr>
            <w:r>
              <w:rPr>
                <w:b/>
                <w:i w:val="0"/>
                <w:color w:val="FFFFFF"/>
                <w:sz w:val="18"/>
              </w:rPr>
              <w:t>Threshold</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680" w:type="dxa"/>
          </w:tcPr>
          <w:p>
            <w:pPr>
              <w:jc w:val="center"/>
            </w:pPr>
            <w:r>
              <w:rPr>
                <w:b/>
                <w:i w:val="0"/>
                <w:color w:val="FFFFFF"/>
                <w:sz w:val="18"/>
              </w:rPr>
              <w:t>Payout Tiers</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Gross Add</w:t>
              <w:br/>
              <w:t>(GA Target Achievement – 15%)</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30%</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80%</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&lt; 80% = 0%</w:t>
              <w:br/>
              <w:t>80–84.99% = 60%</w:t>
              <w:br/>
              <w:t>85–89.99% = 70%</w:t>
              <w:br/>
              <w:t>90–94.99% = 80%</w:t>
              <w:br/>
              <w:t>95–&lt;100% = 90%</w:t>
              <w:br/>
              <w:t>&gt;=100% = 100%</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Gross Add</w:t>
              <w:br/>
              <w:t>(First Recharge – 15%)</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60%</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60–85%: Pro-rated payout</w:t>
              <w:br/>
              <w:t>&gt;=85%: 100% payout</w:t>
              <w:br/>
              <w:t>(Rolling 45-day window from acquisition)</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Recharge &amp; Bundle Upsell</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25%</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80%</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&lt; 80% = 0%</w:t>
              <w:br/>
              <w:t>80–84.99% = 60%</w:t>
              <w:br/>
              <w:t>85–89.99% = 70%</w:t>
              <w:br/>
              <w:t>90–94.99% = 80%</w:t>
              <w:br/>
              <w:t>95–&lt;100% = 90%</w:t>
              <w:br/>
              <w:t>&gt;=100% = 100%</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Daily Participation in GA &amp; Recharge</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10%</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90%</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Must participate in both GA &amp; Recharge on &gt;= 90% of operational days</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Toffee &amp; My BL App Installation</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20%</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80%</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Same 5-level slab as Recharge (60%/70%/80%/90%/100%)</w:t>
              <w:br/>
              <w:t>Target: 50% of GA Target</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CSAT</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15%</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&gt;97%</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Score &lt; 97% = 0%</w:t>
              <w:br/>
              <w:t>Score &gt;97% to &lt;=98% = 80%</w:t>
              <w:br/>
              <w:t>Score &gt;98% to &lt;=99% = 100%</w:t>
            </w:r>
          </w:p>
        </w:tc>
      </w:tr>
    </w:tbl>
    <w:p/>
    <w:p>
      <w:pPr>
        <w:spacing w:before="120" w:after="80"/>
      </w:pPr>
      <w:r>
        <w:rPr>
          <w:b/>
          <w:color w:val="2E75B6"/>
          <w:sz w:val="22"/>
        </w:rPr>
        <w:t>First Recharge Sub-KPI – Key Details</w:t>
      </w:r>
    </w:p>
    <w:tbl>
      <w:tblPr>
        <w:tblStyle w:val="TableGrid"/>
        <w:tblW w:type="auto" w:w="0"/>
        <w:tblLook w:firstColumn="1" w:firstRow="1" w:lastColumn="0" w:lastRow="0" w:noHBand="0" w:noVBand="1" w:val="04A0"/>
        <w:tblW w:w="9360" w:type="dxa"/>
      </w:tblPr>
      <w:tblGrid>
        <w:gridCol w:w="2880"/>
        <w:gridCol w:w="6480"/>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880" w:type="dxa"/>
          </w:tcPr>
          <w:p>
            <w:pPr>
              <w:jc w:val="center"/>
            </w:pPr>
            <w:r>
              <w:rPr>
                <w:b/>
                <w:i w:val="0"/>
                <w:color w:val="FFFFFF"/>
                <w:sz w:val="18"/>
              </w:rPr>
              <w:t>Parameter</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480"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Window</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Pr>
                <w:b w:val="0"/>
                <w:i w:val="0"/>
                <w:color w:val="000000"/>
                <w:sz w:val="18"/>
              </w:rPr>
              <w:t>Rolling 45 days from acquisition date</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Payout model</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Pr>
                <w:b w:val="0"/>
                <w:i w:val="0"/>
                <w:color w:val="000000"/>
                <w:sz w:val="18"/>
              </w:rPr>
              <w:t>60%–85% achievement: pro-rated; &gt;=85% achievement: 100% payout</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Purpose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Pr>
                <w:b w:val="0"/>
                <w:i w:val="0"/>
                <w:color w:val="000000"/>
                <w:sz w:val="18"/>
              </w:rPr>
              <w:t>Measures how many of the CCR's new activations achieve first recharge</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Data source</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Pr>
                <w:b w:val="0"/>
                <w:i w:val="0"/>
                <w:color w:val="000000"/>
                <w:sz w:val="18"/>
              </w:rPr>
              <w:t>DWH with 45-day rolling lookback</w:t>
            </w:r>
          </w:p>
        </w:tc>
      </w:tr>
    </w:tbl>
    <w:p/>
    <w:p>
      <w:r>
        <w:br w:type="page"/>
      </w:r>
    </w:p>
    <w:p>
      <w:pPr>
        <w:spacing w:before="200" w:after="80"/>
      </w:pPr>
      <w:r>
        <w:rPr>
          <w:b/>
          <w:color w:val="1F4E79"/>
          <w:sz w:val="26"/>
          <w:u w:val="single"/>
        </w:rPr>
        <w:t>11. Epoch 6 – Jan 2026: FWA KPI, 93% GA Threshold, 95%/110%/120% Payout Model</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Variable Incentive from Jan26 | Variable Incentive Jan26_Revision</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01 Jan 2026 – Until further notice</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Major Changes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GA threshold: 80% → 93%. Payout model: 95%/110%/120% overperformance tiers. FWA KPI (10%) added. CSAT raised to 30% (split into Platinum+Signature 15% + Overall 15%).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Maturity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45 days after activation (unchanged from Epoch 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Min CSAT Feedback</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Agent must ensure at least 20 CSAT feedbacks per month</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New Postpaid Packages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TK1143CGAMXBOGPOST (BDT 1,150) and TK2343CGAMXBOGPOST (BDT 2,350) added</w:t>
            </w:r>
          </w:p>
        </w:tc>
      </w:tr>
    </w:tbl>
    <w:p/>
    <w:p>
      <w:pPr>
        <w:spacing w:before="120" w:after="80"/>
      </w:pPr>
      <w:r>
        <w:rPr>
          <w:b/>
          <w:color w:val="2E75B6"/>
          <w:sz w:val="22"/>
        </w:rPr>
        <w:t>KPI Structure – Epoch 6 (Jan 2026)</w:t>
      </w:r>
    </w:p>
    <w:tbl>
      <w:tblPr>
        <w:tblStyle w:val="TableGrid"/>
        <w:tblW w:type="auto" w:w="0"/>
        <w:tblLook w:firstColumn="1" w:firstRow="1" w:lastColumn="0" w:lastRow="0" w:noHBand="0" w:noVBand="1" w:val="04A0"/>
        <w:tblW w:w="9360" w:type="dxa"/>
      </w:tblPr>
      <w:tblGrid>
        <w:gridCol w:w="3024"/>
        <w:gridCol w:w="648"/>
        <w:gridCol w:w="1296"/>
        <w:gridCol w:w="4392"/>
      </w:tblGrid>
      <w:tblGrid>
        <w:gridCol w:w="2257"/>
        <w:gridCol w:w="2257"/>
        <w:gridCol w:w="2257"/>
        <w:gridCol w:w="2257"/>
      </w:tblGrid>
      <w:tr>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024" w:type="dxa"/>
          </w:tcPr>
          <w:p>
            <w:pPr>
              <w:jc w:val="center"/>
            </w:pPr>
            <w:r>
              <w:rPr>
                <w:b/>
                <w:i w:val="0"/>
                <w:color w:val="FFFFFF"/>
                <w:sz w:val="18"/>
              </w:rPr>
              <w:t>KPI</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48" w:type="dxa"/>
          </w:tcPr>
          <w:p>
            <w:pPr>
              <w:jc w:val="center"/>
            </w:pPr>
            <w:r>
              <w:rPr>
                <w:b/>
                <w:i w:val="0"/>
                <w:color w:val="FFFFFF"/>
                <w:sz w:val="18"/>
              </w:rPr>
              <w:t>Wt</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296" w:type="dxa"/>
          </w:tcPr>
          <w:p>
            <w:pPr>
              <w:jc w:val="center"/>
            </w:pPr>
            <w:r>
              <w:rPr>
                <w:b/>
                <w:i w:val="0"/>
                <w:color w:val="FFFFFF"/>
                <w:sz w:val="18"/>
              </w:rPr>
              <w:t>Threshold</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392" w:type="dxa"/>
          </w:tcPr>
          <w:p>
            <w:pPr>
              <w:jc w:val="center"/>
            </w:pPr>
            <w:r>
              <w:rPr>
                <w:b/>
                <w:i w:val="0"/>
                <w:color w:val="FFFFFF"/>
                <w:sz w:val="18"/>
              </w:rPr>
              <w:t>Payout Tiers</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Gross Add – Target Achievement (15%)</w:t>
              <w:br/>
              <w:t>(Prepaid + Postpaid + MNP)</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25%</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93%</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92" w:type="dxa"/>
          </w:tcPr>
          <w:p>
            <w:pPr>
              <w:jc w:val="left"/>
            </w:pPr>
            <w:r>
              <w:rPr>
                <w:b w:val="0"/>
                <w:i w:val="0"/>
                <w:color w:val="000000"/>
                <w:sz w:val="18"/>
              </w:rPr>
              <w:t>&lt;93% = 0%</w:t>
              <w:br/>
              <w:t>&gt;=93%, &lt;101% = 95%</w:t>
              <w:br/>
              <w:t>&gt;=101%, &lt;108% = 110%</w:t>
              <w:br/>
              <w:t>&gt;=108% = 120%</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Gross Add – First Recharge (10%)</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60%</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92" w:type="dxa"/>
          </w:tcPr>
          <w:p>
            <w:pPr>
              <w:jc w:val="left"/>
            </w:pPr>
            <w:r>
              <w:rPr>
                <w:b w:val="0"/>
                <w:i w:val="0"/>
                <w:color w:val="000000"/>
                <w:sz w:val="18"/>
              </w:rPr>
              <w:t>60–85%: Pro-rated payout</w:t>
              <w:br/>
              <w:t>&gt;=85%: 100% payout</w:t>
              <w:br/>
              <w:t>(Rolling 45 days)</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Recharge &amp; Bundle Upsell</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15%</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92%</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92" w:type="dxa"/>
          </w:tcPr>
          <w:p>
            <w:pPr>
              <w:jc w:val="left"/>
            </w:pPr>
            <w:r>
              <w:rPr>
                <w:b w:val="0"/>
                <w:i w:val="0"/>
                <w:color w:val="000000"/>
                <w:sz w:val="18"/>
              </w:rPr>
              <w:t>&lt;92% = 0%</w:t>
              <w:br/>
              <w:t>&gt;=92%, &lt;98% = 95%</w:t>
              <w:br/>
              <w:t>&gt;=98%, &lt;103% = 110%</w:t>
              <w:br/>
              <w:t>&gt;=103% = 120%</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Daily Participation in GA &amp; Recharge</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10%</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95%</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92" w:type="dxa"/>
          </w:tcPr>
          <w:p>
            <w:pPr>
              <w:jc w:val="left"/>
            </w:pPr>
            <w:r>
              <w:rPr>
                <w:b w:val="0"/>
                <w:i w:val="0"/>
                <w:color w:val="000000"/>
                <w:sz w:val="18"/>
              </w:rPr>
              <w:t>Must participate in both GA &amp; Recharge on &gt;= 95% of operational days</w:t>
              <w:br/>
              <w:t>(Threshold raised from 90% to 95%)</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FWA – Home Internet</w:t>
              <w:br/>
              <w:t>(Successful lead generation/conversion)</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10%</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93%</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92" w:type="dxa"/>
          </w:tcPr>
          <w:p>
            <w:pPr>
              <w:jc w:val="left"/>
            </w:pPr>
            <w:r>
              <w:rPr>
                <w:b w:val="0"/>
                <w:i w:val="0"/>
                <w:color w:val="000000"/>
                <w:sz w:val="18"/>
              </w:rPr>
              <w:t>&lt;93% = 0%</w:t>
              <w:br/>
              <w:t>&gt;=93%, &lt;101% = 95%</w:t>
              <w:br/>
              <w:t>&gt;=101%, &lt;108% = 110%</w:t>
              <w:br/>
              <w:t>&gt;=108% = 120%</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Toffee &amp; My BL App Installation</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10%</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81.5%</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92" w:type="dxa"/>
          </w:tcPr>
          <w:p>
            <w:pPr>
              <w:jc w:val="left"/>
            </w:pPr>
            <w:r>
              <w:rPr>
                <w:b w:val="0"/>
                <w:i w:val="0"/>
                <w:color w:val="000000"/>
                <w:sz w:val="18"/>
              </w:rPr>
              <w:t>&lt;81.5% = 0%</w:t>
              <w:br/>
              <w:t>81.5–87.19% = 95%</w:t>
              <w:br/>
              <w:t>87.2–91.59% = 110%</w:t>
              <w:br/>
              <w:t>&gt;=91.60% = 120%</w:t>
              <w:br/>
              <w:t>Target: 50% of GA Target</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CSAT – Platinum &amp; Signature (15%)</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30%</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&gt;97%</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92" w:type="dxa"/>
          </w:tcPr>
          <w:p>
            <w:pPr>
              <w:jc w:val="left"/>
            </w:pPr>
            <w:r>
              <w:rPr>
                <w:b w:val="0"/>
                <w:i w:val="0"/>
                <w:color w:val="000000"/>
                <w:sz w:val="18"/>
              </w:rPr>
              <w:t>Score &lt;98% = 0%</w:t>
              <w:br/>
              <w:t>Score 98–99% = 80%</w:t>
              <w:br/>
              <w:t>Score &gt;99–99.8% = 100%</w:t>
              <w:br/>
              <w:t>Score &gt;99.8% = 120%</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CSAT – Overall (15%)</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 w:type="dxa"/>
          </w:tcPr>
          <w:p>
            <w:pPr>
              <w:jc w:val="left"/>
            </w:pPr>
            <w:r>
              <w:rPr>
                <w:b w:val="0"/>
                <w:i w:val="0"/>
                <w:color w:val="000000"/>
                <w:sz w:val="18"/>
              </w:rPr>
              <w:t>–</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Pr>
                <w:b w:val="0"/>
                <w:i w:val="0"/>
                <w:color w:val="000000"/>
                <w:sz w:val="18"/>
              </w:rPr>
              <w:t>&gt;97%</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92" w:type="dxa"/>
          </w:tcPr>
          <w:p>
            <w:pPr>
              <w:jc w:val="left"/>
            </w:pPr>
            <w:r>
              <w:rPr>
                <w:b w:val="0"/>
                <w:i w:val="0"/>
                <w:color w:val="000000"/>
                <w:sz w:val="18"/>
              </w:rPr>
              <w:t>Score &lt;97% = 0%</w:t>
              <w:br/>
              <w:t>Score 97–98% = 80%</w:t>
              <w:br/>
              <w:t>Score &gt;98–99.5% = 100%</w:t>
              <w:br/>
              <w:t>Score &gt;99.5% = 120%</w:t>
            </w:r>
          </w:p>
        </w:tc>
      </w:tr>
    </w:tbl>
    <w:p/>
    <w:p>
      <w:pPr>
        <w:spacing w:before="120" w:after="80"/>
      </w:pPr>
      <w:r>
        <w:rPr>
          <w:b/>
          <w:color w:val="2E75B6"/>
          <w:sz w:val="22"/>
        </w:rPr>
        <w:t>Epoch 6 vs Epoch 5 – Key Changes Summary</w:t>
      </w:r>
    </w:p>
    <w:tbl>
      <w:tblPr>
        <w:tblStyle w:val="TableGrid"/>
        <w:tblW w:type="auto" w:w="0"/>
        <w:tblLook w:firstColumn="1" w:firstRow="1" w:lastColumn="0" w:lastRow="0" w:noHBand="0" w:noVBand="1" w:val="04A0"/>
        <w:tblW w:w="9360" w:type="dxa"/>
      </w:tblPr>
      <w:tblGrid>
        <w:gridCol w:w="3311"/>
        <w:gridCol w:w="3024"/>
        <w:gridCol w:w="3024"/>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311" w:type="dxa"/>
          </w:tcPr>
          <w:p>
            <w:pPr>
              <w:jc w:val="center"/>
            </w:pPr>
            <w:r>
              <w:rPr>
                <w:b/>
                <w:i w:val="0"/>
                <w:color w:val="FFFFFF"/>
                <w:sz w:val="18"/>
              </w:rPr>
              <w:t>Parameter</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024" w:type="dxa"/>
          </w:tcPr>
          <w:p>
            <w:pPr>
              <w:jc w:val="center"/>
            </w:pPr>
            <w:r>
              <w:rPr>
                <w:b/>
                <w:i w:val="0"/>
                <w:color w:val="FFFFFF"/>
                <w:sz w:val="18"/>
              </w:rPr>
              <w:t>Epoch 5 (Oct–Dec 2025)</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024" w:type="dxa"/>
          </w:tcPr>
          <w:p>
            <w:pPr>
              <w:jc w:val="center"/>
            </w:pPr>
            <w:r>
              <w:rPr>
                <w:b/>
                <w:i w:val="0"/>
                <w:color w:val="FFFFFF"/>
                <w:sz w:val="18"/>
              </w:rPr>
              <w:t>Epoch 6 (Jan 2026+)</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Pr>
                <w:b w:val="0"/>
                <w:i w:val="0"/>
                <w:color w:val="000000"/>
                <w:sz w:val="18"/>
              </w:rPr>
              <w:t>GA Threshold</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80%</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93%</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Pr>
                <w:b w:val="0"/>
                <w:i w:val="0"/>
                <w:color w:val="000000"/>
                <w:sz w:val="18"/>
              </w:rPr>
              <w:t>GA Payout Model</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60/70/80/90/100%</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0% / 95% / 110% / 120%</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Pr>
                <w:b w:val="0"/>
                <w:i w:val="0"/>
                <w:color w:val="000000"/>
                <w:sz w:val="18"/>
              </w:rPr>
              <w:t>Recharge Threshold</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80%</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92%</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Pr>
                <w:b w:val="0"/>
                <w:i w:val="0"/>
                <w:color w:val="000000"/>
                <w:sz w:val="18"/>
              </w:rPr>
              <w:t>Recharge Payout</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60/70/80/90/100%</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0% / 95% / 110% / 120%</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Pr>
                <w:b w:val="0"/>
                <w:i w:val="0"/>
                <w:color w:val="000000"/>
                <w:sz w:val="18"/>
              </w:rPr>
              <w:t>Daily Participation Threshold</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90%</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95%</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Pr>
                <w:b w:val="0"/>
                <w:i w:val="0"/>
                <w:color w:val="000000"/>
                <w:sz w:val="18"/>
              </w:rPr>
              <w:t>FWA KPI</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Not present</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10% weight – lead generation</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Pr>
                <w:b w:val="0"/>
                <w:i w:val="0"/>
                <w:color w:val="000000"/>
                <w:sz w:val="18"/>
              </w:rPr>
              <w:t>App KPI Weight</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20%</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10%</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Pr>
                <w:b w:val="0"/>
                <w:i w:val="0"/>
                <w:color w:val="000000"/>
                <w:sz w:val="18"/>
              </w:rPr>
              <w:t>App Threshold</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80%</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81.5%</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Pr>
                <w:b w:val="0"/>
                <w:i w:val="0"/>
                <w:color w:val="000000"/>
                <w:sz w:val="18"/>
              </w:rPr>
              <w:t>App Payout Model</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60/70/80/90/100%</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0% / 95% / 110% / 120%</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Pr>
                <w:b w:val="0"/>
                <w:i w:val="0"/>
                <w:color w:val="000000"/>
                <w:sz w:val="18"/>
              </w:rPr>
              <w:t>CSAT Weight</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15% (single tier)</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30% (Platinum+Sig 15% + Overall 15%)</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Pr>
                <w:b w:val="0"/>
                <w:i w:val="0"/>
                <w:color w:val="000000"/>
                <w:sz w:val="18"/>
              </w:rPr>
              <w:t>CSAT – Premium Gate</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N/A</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&gt;99.8% = 120% payout</w:t>
            </w:r>
          </w:p>
        </w:tc>
      </w:tr>
    </w:tbl>
    <w:p/>
    <w:p>
      <w:pPr>
        <w:spacing w:before="120" w:after="80"/>
      </w:pPr>
      <w:r>
        <w:rPr>
          <w:b/>
          <w:color w:val="2E75B6"/>
          <w:sz w:val="22"/>
        </w:rPr>
        <w:t>Jan26 Revision – CSAT Correction</w:t>
      </w:r>
    </w:p>
    <w:p>
      <w:r>
        <w:rPr>
          <w:sz w:val="20"/>
        </w:rPr>
        <w:t>A separate revision SRF was submitted (Apr 2026) covering only the Platinum &amp; Signature CSAT sub-component (15%) for January 2026. The payout structure for this component is: Score &lt;98% = Zero; Score 98–99% = 80%; Score &gt;99–99.8% = 100%; Score &gt;99.8% = 120%. Minimum 20 CSAT feedbacks/month required. This SRF is a correction only — no other KPIs changed.</w:t>
      </w:r>
    </w:p>
    <w:p>
      <w:r>
        <w:br w:type="page"/>
      </w:r>
    </w:p>
    <w:p>
      <w:pPr>
        <w:spacing w:before="200" w:after="80"/>
      </w:pPr>
      <w:r>
        <w:rPr>
          <w:b/>
          <w:color w:val="1F4E79"/>
          <w:sz w:val="26"/>
          <w:u w:val="single"/>
        </w:rPr>
        <w:t>12. Monobrand Agent Reactivation Campaign (10 Feb – 10 Mar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Monobrand officers Reactivation Commission_10th Feb25 to 10th Mar25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Monobrand Agent (Field Force category – RSO)</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10 Feb 2025 – 10 Mar 2025</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KPI</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Monobrand Agent Reactivation – Hit Count</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Target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15 reactivation hits per agent (above specified deno list)</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Incentive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BDT 400 per agent upon achieving target</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Total Agents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142 agents in scope</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Mapping</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Recharge must be via Monobrand user ID (mapping shared by User team)</w:t>
            </w:r>
          </w:p>
        </w:tc>
      </w:tr>
      <w:t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MSISDN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Individual MSISDN counted only</w:t>
            </w:r>
          </w:p>
        </w:tc>
      </w:tr>
    </w:tbl>
    <w:p/>
    <w:p>
      <w:pPr>
        <w:spacing w:before="120" w:after="80"/>
      </w:pPr>
      <w:r>
        <w:rPr>
          <w:b/>
          <w:color w:val="2E75B6"/>
          <w:sz w:val="22"/>
        </w:rPr>
        <w:t>Eligible Reactivation Denomination List</w:t>
      </w:r>
    </w:p>
    <w:tbl>
      <w:tblPr>
        <w:tblStyle w:val="TableGrid"/>
        <w:tblW w:type="auto" w:w="0"/>
        <w:tblLook w:firstColumn="1" w:firstRow="1" w:lastColumn="0" w:lastRow="0" w:noHBand="0" w:noVBand="1" w:val="04A0"/>
        <w:tblW w:w="9360" w:type="dxa"/>
      </w:tblPr>
      <w:tblGrid>
        <w:gridCol w:w="2592"/>
        <w:gridCol w:w="6768"/>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Pr>
                <w:b/>
                <w:i w:val="0"/>
                <w:color w:val="FFFFFF"/>
                <w:sz w:val="18"/>
              </w:rPr>
              <w:t>Denomination (BDT)</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768" w:type="dxa"/>
          </w:tcPr>
          <w:p>
            <w:pPr>
              <w:jc w:val="center"/>
            </w:pPr>
            <w:r>
              <w:rPr>
                <w:b/>
                <w:i w:val="0"/>
                <w:color w:val="FFFFFF"/>
                <w:sz w:val="18"/>
              </w:rPr>
              <w:t>Offer Description</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498</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40GB + 500min – 30 Days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298</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20GB + 300min – 30 Days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209</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25GB – 30 Days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139</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6GB + 150min – 30 Days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117</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180min – 30 Days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99</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8GB – 7 Days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78</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4GB + 50min – 7 Days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57</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80min – 15 Days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49</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2GB – 3 Days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39</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1P/Sec – 90 Days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27</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40min – 7 Days</w:t>
            </w:r>
          </w:p>
        </w:tc>
      </w:tr>
    </w:tbl>
    <w:p/>
    <w:p>
      <w:pPr>
        <w:spacing w:before="120" w:after="80"/>
      </w:pPr>
      <w:r>
        <w:rPr>
          <w:b/>
          <w:color w:val="2E75B6"/>
          <w:sz w:val="22"/>
        </w:rPr>
        <w:t>Reactivation Campaign – Conditions</w:t>
      </w:r>
    </w:p>
    <w:tbl>
      <w:tblPr>
        <w:tblStyle w:val="TableGrid"/>
        <w:tblW w:type="auto" w:w="0"/>
        <w:tblLook w:firstColumn="1" w:firstRow="1" w:lastColumn="0" w:lastRow="0" w:noHBand="0" w:noVBand="1" w:val="04A0"/>
        <w:tblW w:w="9360" w:type="dxa"/>
      </w:tblPr>
      <w:tblGrid>
        <w:gridCol w:w="2592"/>
        <w:gridCol w:w="6768"/>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Pr>
                <w:b/>
                <w:i w:val="0"/>
                <w:color w:val="FFFFFF"/>
                <w:sz w:val="18"/>
              </w:rPr>
              <w:t>Condition</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768"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Eligibility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Each reactivated connection must have recharge from above deno list via Monobrand user ID</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Hit definition</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1 hit = 1 individual MSISDN reactivated with eligible deno</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Usage gate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At least 95% of total GA must have more than BDT 5 in usage within 7th of next month</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ETSAF</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ETSAF QC condition applied (implemented from previous period)</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Threshold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768" w:type="dxa"/>
          </w:tcPr>
          <w:p>
            <w:pPr>
              <w:jc w:val="left"/>
            </w:pPr>
            <w:r>
              <w:rPr>
                <w:b w:val="0"/>
                <w:i w:val="0"/>
                <w:color w:val="000000"/>
                <w:sz w:val="18"/>
              </w:rPr>
              <w:t>Hit-or-miss model: 15 hits required; BDT 400 incentive only on reaching threshold</w:t>
            </w:r>
          </w:p>
        </w:tc>
      </w:tr>
    </w:tbl>
    <w:p/>
    <w:p>
      <w:r>
        <w:br w:type="page"/>
      </w:r>
    </w:p>
    <w:p>
      <w:pPr>
        <w:spacing w:before="200" w:after="80"/>
      </w:pPr>
      <w:r>
        <w:rPr>
          <w:b/>
          <w:color w:val="1F4E79"/>
          <w:sz w:val="26"/>
          <w:u w:val="single"/>
        </w:rPr>
        <w:t>13. SRF Summary Table</w:t>
      </w:r>
    </w:p>
    <w:tbl>
      <w:tblPr>
        <w:tblStyle w:val="TableGrid"/>
        <w:tblW w:type="auto" w:w="0"/>
        <w:tblLook w:firstColumn="1" w:firstRow="1" w:lastColumn="0" w:lastRow="0" w:noHBand="0" w:noVBand="1" w:val="04A0"/>
        <w:tblW w:w="10080" w:type="dxa"/>
      </w:tblPr>
      <w:tblGrid>
        <w:gridCol w:w="432"/>
        <w:gridCol w:w="3024"/>
        <w:gridCol w:w="1440"/>
        <w:gridCol w:w="792"/>
        <w:gridCol w:w="3240"/>
        <w:gridCol w:w="1152"/>
      </w:tblGrid>
      <w:tblGrid>
        <w:gridCol w:w="1505"/>
        <w:gridCol w:w="1505"/>
        <w:gridCol w:w="1505"/>
        <w:gridCol w:w="1505"/>
        <w:gridCol w:w="1505"/>
        <w:gridCol w:w="1505"/>
      </w:tblGrid>
      <w:tr>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32" w:type="dxa"/>
          </w:tcPr>
          <w:p>
            <w:pPr>
              <w:jc w:val="center"/>
            </w:pPr>
            <w:r>
              <w:rPr>
                <w:b/>
                <w:i w:val="0"/>
                <w:color w:val="FFFFFF"/>
                <w:sz w:val="18"/>
              </w:rPr>
              <w:t>#</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024" w:type="dxa"/>
          </w:tcPr>
          <w:p>
            <w:pPr>
              <w:jc w:val="center"/>
            </w:pPr>
            <w:r>
              <w:rPr>
                <w:b/>
                <w:i w:val="0"/>
                <w:color w:val="FFFFFF"/>
                <w:sz w:val="18"/>
              </w:rPr>
              <w:t>SRF Title (Short)</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440" w:type="dxa"/>
          </w:tcPr>
          <w:p>
            <w:pPr>
              <w:jc w:val="center"/>
            </w:pPr>
            <w:r>
              <w:rPr>
                <w:b/>
                <w:i w:val="0"/>
                <w:color w:val="FFFFFF"/>
                <w:sz w:val="18"/>
              </w:rPr>
              <w:t>Period</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792" w:type="dxa"/>
          </w:tcPr>
          <w:p>
            <w:pPr>
              <w:jc w:val="center"/>
            </w:pPr>
            <w:r>
              <w:rPr>
                <w:b/>
                <w:i w:val="0"/>
                <w:color w:val="FFFFFF"/>
                <w:sz w:val="18"/>
              </w:rPr>
              <w:t>Epoch</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240" w:type="dxa"/>
          </w:tcPr>
          <w:p>
            <w:pPr>
              <w:jc w:val="center"/>
            </w:pPr>
            <w:r>
              <w:rPr>
                <w:b/>
                <w:i w:val="0"/>
                <w:color w:val="FFFFFF"/>
                <w:sz w:val="18"/>
              </w:rPr>
              <w:t>Key KPIs</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152" w:type="dxa"/>
          </w:tcPr>
          <w:p>
            <w:pPr>
              <w:jc w:val="center"/>
            </w:pPr>
            <w:r>
              <w:rPr>
                <w:b/>
                <w:i w:val="0"/>
                <w:color w:val="FFFFFF"/>
                <w:sz w:val="18"/>
              </w:rPr>
              <w:t>SAF</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Variable Incentive Jan25–Feb25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Jan–Feb 2025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92" w:type="dxa"/>
          </w:tcPr>
          <w:p>
            <w:pPr>
              <w:jc w:val="left"/>
            </w:pPr>
            <w:r>
              <w:rPr>
                <w:b w:val="0"/>
                <w:i w:val="0"/>
                <w:color w:val="000000"/>
                <w:sz w:val="18"/>
              </w:rPr>
              <w:t>1</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Ryze Migr(10%)+GA(10%)+iTOP(40%)+FVR(20%)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100%</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2</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Variable Incentive Mar25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Mar 2025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92" w:type="dxa"/>
          </w:tcPr>
          <w:p>
            <w:pPr>
              <w:jc w:val="left"/>
            </w:pPr>
            <w:r>
              <w:rPr>
                <w:b w:val="0"/>
                <w:i w:val="0"/>
                <w:color w:val="000000"/>
                <w:sz w:val="18"/>
              </w:rPr>
              <w:t>1</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Same + RYZE added to GA scope</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100%</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3</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Variable Incentive from Apr25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Apr 2025+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92" w:type="dxa"/>
          </w:tcPr>
          <w:p>
            <w:pPr>
              <w:jc w:val="left"/>
            </w:pPr>
            <w:r>
              <w:rPr>
                <w:b w:val="0"/>
                <w:i w:val="0"/>
                <w:color w:val="000000"/>
                <w:sz w:val="18"/>
              </w:rPr>
              <w:t>2</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GA(20%)+iTOP(40%); Ryze KPI removed</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100%</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4</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RIZE Incentive from Apr25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Apr 2025+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92" w:type="dxa"/>
          </w:tcPr>
          <w:p>
            <w:pPr>
              <w:jc w:val="left"/>
            </w:pPr>
            <w:r>
              <w:rPr>
                <w:b w:val="0"/>
                <w:i w:val="0"/>
                <w:color w:val="000000"/>
                <w:sz w:val="18"/>
              </w:rPr>
              <w:t>–</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Separate RYZE slab: BDT 50/70/100; 70% store gate</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N/A</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Variable Incentive from May25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May 2025+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92" w:type="dxa"/>
          </w:tcPr>
          <w:p>
            <w:pPr>
              <w:jc w:val="left"/>
            </w:pPr>
            <w:r>
              <w:rPr>
                <w:b w:val="0"/>
                <w:i w:val="0"/>
                <w:color w:val="000000"/>
                <w:sz w:val="18"/>
              </w:rPr>
              <w:t>3</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GA(20%)+Recharge(20%)+DailyPart(20%)+App(20%); 15% bundle ratio</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98%</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Variable Incentive from July25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Jul 2025+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92" w:type="dxa"/>
          </w:tcPr>
          <w:p>
            <w:pPr>
              <w:jc w:val="left"/>
            </w:pPr>
            <w:r>
              <w:rPr>
                <w:b w:val="0"/>
                <w:i w:val="0"/>
                <w:color w:val="000000"/>
                <w:sz w:val="18"/>
              </w:rPr>
              <w:t>4</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Same as Epoch 3; bundle ratio 10%; deposits updated</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98%</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7</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Variable Incentive from Oct25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Oct 2025+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92" w:type="dxa"/>
          </w:tcPr>
          <w:p>
            <w:pPr>
              <w:jc w:val="left"/>
            </w:pPr>
            <w:r>
              <w:rPr>
                <w:b w:val="0"/>
                <w:i w:val="0"/>
                <w:color w:val="000000"/>
                <w:sz w:val="18"/>
              </w:rPr>
              <w:t>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GA(30%)+Recharge(25%)+DailyPart(10%)+App(20%)+CSAT(15%); First Recharge sub-KPI</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98%</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8</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Variable Incentive Dec25_proy</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Dec 2025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92" w:type="dxa"/>
          </w:tcPr>
          <w:p>
            <w:pPr>
              <w:jc w:val="left"/>
            </w:pPr>
            <w:r>
              <w:rPr>
                <w:b w:val="0"/>
                <w:i w:val="0"/>
                <w:color w:val="000000"/>
                <w:sz w:val="18"/>
              </w:rPr>
              <w:t>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Same as Oct25 (provision run)</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98%</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9</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Variable Incentive from Jan26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Jan 2026+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92" w:type="dxa"/>
          </w:tcPr>
          <w:p>
            <w:pPr>
              <w:jc w:val="left"/>
            </w:pPr>
            <w:r>
              <w:rPr>
                <w:b w:val="0"/>
                <w:i w:val="0"/>
                <w:color w:val="000000"/>
                <w:sz w:val="18"/>
              </w:rPr>
              <w:t>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GA(25%)+Recharge(15%)+DailyPart(10%)+FWA(10%)+App(10%)+CSAT(30%)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98%</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Variable Incentive Jan26_Revision</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Jan 2026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92" w:type="dxa"/>
          </w:tcPr>
          <w:p>
            <w:pPr>
              <w:jc w:val="left"/>
            </w:pPr>
            <w:r>
              <w:rPr>
                <w:b w:val="0"/>
                <w:i w:val="0"/>
                <w:color w:val="000000"/>
                <w:sz w:val="18"/>
              </w:rPr>
              <w:t>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CSAT Platinum+Signature (15%) correction only</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98%</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11</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Reactivation Commission Feb–Mar25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Pr>
                <w:b w:val="0"/>
                <w:i w:val="0"/>
                <w:color w:val="000000"/>
                <w:sz w:val="18"/>
              </w:rPr>
              <w:t>10Feb–10Mar25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92" w:type="dxa"/>
          </w:tcPr>
          <w:p>
            <w:pPr>
              <w:jc w:val="left"/>
            </w:pPr>
            <w:r>
              <w:rPr>
                <w:b w:val="0"/>
                <w:i w:val="0"/>
                <w:color w:val="000000"/>
                <w:sz w:val="18"/>
              </w:rPr>
              <w:t>–</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240" w:type="dxa"/>
          </w:tcPr>
          <w:p>
            <w:pPr>
              <w:jc w:val="left"/>
            </w:pPr>
            <w:r>
              <w:rPr>
                <w:b w:val="0"/>
                <w:i w:val="0"/>
                <w:color w:val="000000"/>
                <w:sz w:val="18"/>
              </w:rPr>
              <w:t>Reactivation: 15 hits per agent; BDT 400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ETSAF QC</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