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4E79"/>
          <w:sz w:val="44"/>
        </w:rPr>
        <w:t>BANGLALINK</w:t>
      </w:r>
    </w:p>
    <w:p>
      <w:pPr>
        <w:jc w:val="center"/>
      </w:pPr>
      <w:r>
        <w:rPr>
          <w:b/>
          <w:color w:val="2E75B6"/>
          <w:sz w:val="36"/>
        </w:rPr>
        <w:t>MY BL FOLDER</w:t>
      </w:r>
    </w:p>
    <w:p/>
    <w:p>
      <w:pPr>
        <w:jc w:val="center"/>
      </w:pPr>
      <w:r>
        <w:rPr>
          <w:b/>
          <w:color w:val="1F4E79"/>
          <w:sz w:val="32"/>
        </w:rPr>
        <w:t>Unique KPI Conditions</w:t>
      </w:r>
    </w:p>
    <w:p>
      <w:pPr>
        <w:jc w:val="center"/>
      </w:pPr>
      <w:r>
        <w:rPr>
          <w:i/>
          <w:color w:val="595959"/>
          <w:sz w:val="22"/>
        </w:rPr>
        <w:t>All Unique Commissioning Conditions Across All Campaign Types</w:t>
      </w:r>
    </w:p>
    <w:p/>
    <w:p/>
    <w:p>
      <w:pPr>
        <w:jc w:val="center"/>
      </w:pPr>
      <w:r>
        <w:rPr>
          <w:color w:val="595959"/>
          <w:sz w:val="20"/>
        </w:rPr>
        <w:t>Total SRFs Analysed: 166</w:t>
      </w:r>
    </w:p>
    <w:p>
      <w:pPr>
        <w:jc w:val="center"/>
      </w:pPr>
      <w:r>
        <w:rPr>
          <w:i/>
          <w:color w:val="595959"/>
          <w:sz w:val="18"/>
        </w:rPr>
        <w:t>Department: Digital Distribution / Channel Planning, B2C Sales / Alternate Channel and Digital Recharge</w:t>
      </w:r>
    </w:p>
    <w:p>
      <w:pPr>
        <w:jc w:val="center"/>
      </w:pPr>
      <w:r>
        <w:rPr>
          <w:i/>
          <w:color w:val="595959"/>
          <w:sz w:val="18"/>
        </w:rPr>
        <w:t>Prepared: May 2026</w:t>
      </w:r>
    </w:p>
    <w:p>
      <w:r>
        <w:br w:type="page"/>
      </w:r>
    </w:p>
    <w:p>
      <w:pPr>
        <w:jc w:val="left"/>
        <w:spacing w:before="160" w:after="80"/>
      </w:pPr>
      <w:r>
        <w:rPr>
          <w:b/>
          <w:color w:val="1F4E79"/>
          <w:sz w:val="28"/>
          <w:u w:val="single"/>
        </w:rPr>
        <w:t>INDEX — My Bl Folder Campaign Types</w:t>
      </w:r>
    </w:p>
    <w:tbl>
      <w:tblPr>
        <w:tblW w:type="auto" w:w="0"/>
        <w:jc w:val="left"/>
        <w:tblLook w:firstColumn="1" w:firstRow="1" w:lastColumn="0" w:lastRow="0" w:noHBand="0" w:noVBand="1" w:val="04A0"/>
        <w:tblW w:w="8640" w:type="dxa"/>
      </w:tblPr>
      <w:tblGrid>
        <w:gridCol w:w="3010"/>
        <w:gridCol w:w="3010"/>
        <w:gridCol w:w="3010"/>
      </w:tblGrid>
      <w:tr>
        <w:tc>
          <w:tcPr>
            <w:tcW w:type="dxa" w:w="3010"/>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480" w:type="dxa"/>
          </w:tcPr>
          <w:p>
            <w:pPr>
              <w:jc w:val="left"/>
              <w:spacing w:before="0" w:after="0"/>
            </w:pPr>
            <w:r>
              <w:rPr>
                <w:b/>
                <w:i w:val="0"/>
                <w:color w:val="FFFFFF"/>
                <w:sz w:val="18"/>
              </w:rPr>
              <w:t>#</w:t>
            </w:r>
          </w:p>
        </w:tc>
        <w:tc>
          <w:tcPr>
            <w:tcW w:type="dxa" w:w="3010"/>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3200" w:type="dxa"/>
          </w:tcPr>
          <w:p>
            <w:pPr>
              <w:jc w:val="left"/>
              <w:spacing w:before="0" w:after="0"/>
            </w:pPr>
            <w:r>
              <w:rPr>
                <w:b/>
                <w:i w:val="0"/>
                <w:color w:val="FFFFFF"/>
                <w:sz w:val="18"/>
              </w:rPr>
              <w:t>Campaign Type</w:t>
            </w:r>
          </w:p>
        </w:tc>
        <w:tc>
          <w:tcPr>
            <w:tcW w:type="dxa" w:w="3010"/>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4960" w:type="dxa"/>
          </w:tcPr>
          <w:p>
            <w:pPr>
              <w:jc w:val="left"/>
              <w:spacing w:before="0" w:after="0"/>
            </w:pPr>
            <w:r>
              <w:rPr>
                <w:b/>
                <w:i w:val="0"/>
                <w:color w:val="FFFFFF"/>
                <w:sz w:val="18"/>
              </w:rPr>
              <w:t>Brief Description</w:t>
            </w:r>
          </w:p>
        </w:tc>
      </w:tr>
      <w:tr>
        <w:tc>
          <w:tcPr>
            <w:tcW w:type="dxa" w:w="301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left"/>
              <w:spacing w:before="0" w:after="0"/>
            </w:pPr>
            <w:r>
              <w:rPr>
                <w:b w:val="0"/>
                <w:i w:val="0"/>
                <w:sz w:val="18"/>
              </w:rPr>
              <w:t>1</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200" w:type="dxa"/>
          </w:tcPr>
          <w:p>
            <w:pPr>
              <w:jc w:val="left"/>
              <w:spacing w:before="0" w:after="0"/>
            </w:pPr>
            <w:r>
              <w:rPr>
                <w:b/>
                <w:i w:val="0"/>
                <w:sz w:val="18"/>
              </w:rPr>
              <w:t>MyBL Standard (Regular – Prepaid) — BL Self-Channel</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960" w:type="dxa"/>
          </w:tcPr>
          <w:p>
            <w:pPr>
              <w:jc w:val="left"/>
              <w:spacing w:before="0" w:after="0"/>
            </w:pPr>
            <w:r>
              <w:rPr>
                <w:b w:val="0"/>
                <w:i w:val="0"/>
                <w:sz w:val="18"/>
              </w:rPr>
              <w:t>BL Self-channels cashback to subscribers via MyBL App, bi-monthly, service class &lt;1000</w:t>
            </w:r>
          </w:p>
        </w:tc>
      </w:tr>
      <w:tr>
        <w:tc>
          <w:tcPr>
            <w:tcW w:type="dxa" w:w="301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left"/>
              <w:spacing w:before="0" w:after="0"/>
            </w:pPr>
            <w:r>
              <w:rPr>
                <w:b w:val="0"/>
                <w:i w:val="0"/>
                <w:sz w:val="18"/>
              </w:rPr>
              <w:t>2</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200" w:type="dxa"/>
          </w:tcPr>
          <w:p>
            <w:pPr>
              <w:jc w:val="left"/>
              <w:spacing w:before="0" w:after="0"/>
            </w:pPr>
            <w:r>
              <w:rPr>
                <w:b/>
                <w:i w:val="0"/>
                <w:sz w:val="18"/>
              </w:rPr>
              <w:t>MyBL Portonics Standard (Regular – Prepaid)</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960" w:type="dxa"/>
          </w:tcPr>
          <w:p>
            <w:pPr>
              <w:jc w:val="left"/>
              <w:spacing w:before="0" w:after="0"/>
            </w:pPr>
            <w:r>
              <w:rPr>
                <w:b w:val="0"/>
                <w:i w:val="0"/>
                <w:sz w:val="18"/>
              </w:rPr>
              <w:t>Portonics partner cashback, bi-monthly, service class &lt;1000, MSISDN: 1953348398</w:t>
            </w:r>
          </w:p>
        </w:tc>
      </w:tr>
      <w:tr>
        <w:tc>
          <w:tcPr>
            <w:tcW w:type="dxa" w:w="301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left"/>
              <w:spacing w:before="0" w:after="0"/>
            </w:pPr>
            <w:r>
              <w:rPr>
                <w:b w:val="0"/>
                <w:i w:val="0"/>
                <w:sz w:val="18"/>
              </w:rPr>
              <w:t>3</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200" w:type="dxa"/>
          </w:tcPr>
          <w:p>
            <w:pPr>
              <w:jc w:val="left"/>
              <w:spacing w:before="0" w:after="0"/>
            </w:pPr>
            <w:r>
              <w:rPr>
                <w:b/>
                <w:i w:val="0"/>
                <w:sz w:val="18"/>
              </w:rPr>
              <w:t>MyBL SSL Postpaid — BL Self-Channel</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960" w:type="dxa"/>
          </w:tcPr>
          <w:p>
            <w:pPr>
              <w:jc w:val="left"/>
              <w:spacing w:before="0" w:after="0"/>
            </w:pPr>
            <w:r>
              <w:rPr>
                <w:b w:val="0"/>
                <w:i w:val="0"/>
                <w:sz w:val="18"/>
              </w:rPr>
              <w:t>BL Self-channel postpaid monthly cashback, service class ≥1000, MSISDN: 1967021235</w:t>
            </w:r>
          </w:p>
        </w:tc>
      </w:tr>
      <w:tr>
        <w:tc>
          <w:tcPr>
            <w:tcW w:type="dxa" w:w="301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left"/>
              <w:spacing w:before="0" w:after="0"/>
            </w:pPr>
            <w:r>
              <w:rPr>
                <w:b w:val="0"/>
                <w:i w:val="0"/>
                <w:sz w:val="18"/>
              </w:rPr>
              <w:t>4</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200" w:type="dxa"/>
          </w:tcPr>
          <w:p>
            <w:pPr>
              <w:jc w:val="left"/>
              <w:spacing w:before="0" w:after="0"/>
            </w:pPr>
            <w:r>
              <w:rPr>
                <w:b/>
                <w:i w:val="0"/>
                <w:sz w:val="18"/>
              </w:rPr>
              <w:t>MyBL SSL Postpaid (Revision)</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960" w:type="dxa"/>
          </w:tcPr>
          <w:p>
            <w:pPr>
              <w:jc w:val="left"/>
              <w:spacing w:before="0" w:after="0"/>
            </w:pPr>
            <w:r>
              <w:rPr>
                <w:b w:val="0"/>
                <w:i w:val="0"/>
                <w:sz w:val="18"/>
              </w:rPr>
              <w:t>Revised cashback slabs for SSL Postpaid — same structure, higher cashback amounts</w:t>
            </w:r>
          </w:p>
        </w:tc>
      </w:tr>
      <w:tr>
        <w:tc>
          <w:tcPr>
            <w:tcW w:type="dxa" w:w="301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left"/>
              <w:spacing w:before="0" w:after="0"/>
            </w:pPr>
            <w:r>
              <w:rPr>
                <w:b w:val="0"/>
                <w:i w:val="0"/>
                <w:sz w:val="18"/>
              </w:rPr>
              <w:t>5</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200" w:type="dxa"/>
          </w:tcPr>
          <w:p>
            <w:pPr>
              <w:jc w:val="left"/>
              <w:spacing w:before="0" w:after="0"/>
            </w:pPr>
            <w:r>
              <w:rPr>
                <w:b/>
                <w:i w:val="0"/>
                <w:sz w:val="18"/>
              </w:rPr>
              <w:t>MyBL Portonics Postpaid</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960" w:type="dxa"/>
          </w:tcPr>
          <w:p>
            <w:pPr>
              <w:jc w:val="left"/>
              <w:spacing w:before="0" w:after="0"/>
            </w:pPr>
            <w:r>
              <w:rPr>
                <w:b w:val="0"/>
                <w:i w:val="0"/>
                <w:sz w:val="18"/>
              </w:rPr>
              <w:t>Portonics postpaid monthly cashback, service class ≥1000, MSISDN: 1953348398, no 'BLAPP' check</w:t>
            </w:r>
          </w:p>
        </w:tc>
      </w:tr>
      <w:tr>
        <w:tc>
          <w:tcPr>
            <w:tcW w:type="dxa" w:w="301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left"/>
              <w:spacing w:before="0" w:after="0"/>
            </w:pPr>
            <w:r>
              <w:rPr>
                <w:b w:val="0"/>
                <w:i w:val="0"/>
                <w:sz w:val="18"/>
              </w:rPr>
              <w:t>6</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200" w:type="dxa"/>
          </w:tcPr>
          <w:p>
            <w:pPr>
              <w:jc w:val="left"/>
              <w:spacing w:before="0" w:after="0"/>
            </w:pPr>
            <w:r>
              <w:rPr>
                <w:b/>
                <w:i w:val="0"/>
                <w:sz w:val="18"/>
              </w:rPr>
              <w:t>MyBL Hourly Campaign (Prepaid)</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960" w:type="dxa"/>
          </w:tcPr>
          <w:p>
            <w:pPr>
              <w:jc w:val="left"/>
              <w:spacing w:before="0" w:after="0"/>
            </w:pPr>
            <w:r>
              <w:rPr>
                <w:b w:val="0"/>
                <w:i w:val="0"/>
                <w:sz w:val="18"/>
              </w:rPr>
              <w:t>Time-window specific cashback, 2nd highest priority, specific denos only</w:t>
            </w:r>
          </w:p>
        </w:tc>
      </w:tr>
      <w:tr>
        <w:tc>
          <w:tcPr>
            <w:tcW w:type="dxa" w:w="301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left"/>
              <w:spacing w:before="0" w:after="0"/>
            </w:pPr>
            <w:r>
              <w:rPr>
                <w:b w:val="0"/>
                <w:i w:val="0"/>
                <w:sz w:val="18"/>
              </w:rPr>
              <w:t>7</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200" w:type="dxa"/>
          </w:tcPr>
          <w:p>
            <w:pPr>
              <w:jc w:val="left"/>
              <w:spacing w:before="0" w:after="0"/>
            </w:pPr>
            <w:r>
              <w:rPr>
                <w:b/>
                <w:i w:val="0"/>
                <w:sz w:val="18"/>
              </w:rPr>
              <w:t>MyBL Segmented Campaign</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960" w:type="dxa"/>
          </w:tcPr>
          <w:p>
            <w:pPr>
              <w:jc w:val="left"/>
              <w:spacing w:before="0" w:after="0"/>
            </w:pPr>
            <w:r>
              <w:rPr>
                <w:b w:val="0"/>
                <w:i w:val="0"/>
                <w:sz w:val="18"/>
              </w:rPr>
              <w:t>Highest priority, segment/base specific, one-time or multiple cashback per customer</w:t>
            </w:r>
          </w:p>
        </w:tc>
      </w:tr>
      <w:tr>
        <w:tc>
          <w:tcPr>
            <w:tcW w:type="dxa" w:w="301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left"/>
              <w:spacing w:before="0" w:after="0"/>
            </w:pPr>
            <w:r>
              <w:rPr>
                <w:b w:val="0"/>
                <w:i w:val="0"/>
                <w:sz w:val="18"/>
              </w:rPr>
              <w:t>8</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200" w:type="dxa"/>
          </w:tcPr>
          <w:p>
            <w:pPr>
              <w:jc w:val="left"/>
              <w:spacing w:before="0" w:after="0"/>
            </w:pPr>
            <w:r>
              <w:rPr>
                <w:b/>
                <w:i w:val="0"/>
                <w:sz w:val="18"/>
              </w:rPr>
              <w:t>MyBL SME Segmented — SSL (BL Self-Channel)</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960" w:type="dxa"/>
          </w:tcPr>
          <w:p>
            <w:pPr>
              <w:jc w:val="left"/>
              <w:spacing w:before="0" w:after="0"/>
            </w:pPr>
            <w:r>
              <w:rPr>
                <w:b w:val="0"/>
                <w:i w:val="0"/>
                <w:sz w:val="18"/>
              </w:rPr>
              <w:t>SME-specific denos, MSISDN: 1967021235, 'BLAPP' Ref ID required</w:t>
            </w:r>
          </w:p>
        </w:tc>
      </w:tr>
      <w:tr>
        <w:tc>
          <w:tcPr>
            <w:tcW w:type="dxa" w:w="301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left"/>
              <w:spacing w:before="0" w:after="0"/>
            </w:pPr>
            <w:r>
              <w:rPr>
                <w:b w:val="0"/>
                <w:i w:val="0"/>
                <w:sz w:val="18"/>
              </w:rPr>
              <w:t>9</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200" w:type="dxa"/>
          </w:tcPr>
          <w:p>
            <w:pPr>
              <w:jc w:val="left"/>
              <w:spacing w:before="0" w:after="0"/>
            </w:pPr>
            <w:r>
              <w:rPr>
                <w:b/>
                <w:i w:val="0"/>
                <w:sz w:val="18"/>
              </w:rPr>
              <w:t>MyBL SME Segmented — Portonics</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960" w:type="dxa"/>
          </w:tcPr>
          <w:p>
            <w:pPr>
              <w:jc w:val="left"/>
              <w:spacing w:before="0" w:after="0"/>
            </w:pPr>
            <w:r>
              <w:rPr>
                <w:b w:val="0"/>
                <w:i w:val="0"/>
                <w:sz w:val="18"/>
              </w:rPr>
              <w:t>SME-specific denos, MSISDN: 1953348398, no 'BLAPP' Ref ID check</w:t>
            </w:r>
          </w:p>
        </w:tc>
      </w:tr>
      <w:tr>
        <w:tc>
          <w:tcPr>
            <w:tcW w:type="dxa" w:w="301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left"/>
              <w:spacing w:before="0" w:after="0"/>
            </w:pPr>
            <w:r>
              <w:rPr>
                <w:b w:val="0"/>
                <w:i w:val="0"/>
                <w:sz w:val="18"/>
              </w:rPr>
              <w:t>10</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200" w:type="dxa"/>
          </w:tcPr>
          <w:p>
            <w:pPr>
              <w:jc w:val="left"/>
              <w:spacing w:before="0" w:after="0"/>
            </w:pPr>
            <w:r>
              <w:rPr>
                <w:b/>
                <w:i w:val="0"/>
                <w:sz w:val="18"/>
              </w:rPr>
              <w:t>MyBL Special Day Campaign — BL Self-Channel</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960" w:type="dxa"/>
          </w:tcPr>
          <w:p>
            <w:pPr>
              <w:jc w:val="left"/>
              <w:spacing w:before="0" w:after="0"/>
            </w:pPr>
            <w:r>
              <w:rPr>
                <w:b w:val="0"/>
                <w:i w:val="0"/>
                <w:sz w:val="18"/>
              </w:rPr>
              <w:t>3rd priority, date+deno specific, customers can get cashback multiple times</w:t>
            </w:r>
          </w:p>
        </w:tc>
      </w:tr>
      <w:tr>
        <w:tc>
          <w:tcPr>
            <w:tcW w:type="dxa" w:w="301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left"/>
              <w:spacing w:before="0" w:after="0"/>
            </w:pPr>
            <w:r>
              <w:rPr>
                <w:b w:val="0"/>
                <w:i w:val="0"/>
                <w:sz w:val="18"/>
              </w:rPr>
              <w:t>11</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200" w:type="dxa"/>
          </w:tcPr>
          <w:p>
            <w:pPr>
              <w:jc w:val="left"/>
              <w:spacing w:before="0" w:after="0"/>
            </w:pPr>
            <w:r>
              <w:rPr>
                <w:b/>
                <w:i w:val="0"/>
                <w:sz w:val="18"/>
              </w:rPr>
              <w:t>MyBL Portonics Special Day Campaign</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960" w:type="dxa"/>
          </w:tcPr>
          <w:p>
            <w:pPr>
              <w:jc w:val="left"/>
              <w:spacing w:before="0" w:after="0"/>
            </w:pPr>
            <w:r>
              <w:rPr>
                <w:b w:val="0"/>
                <w:i w:val="0"/>
                <w:sz w:val="18"/>
              </w:rPr>
              <w:t>Same as Special Day but for Portonics channel, MSISDN: 1953348398</w:t>
            </w:r>
          </w:p>
        </w:tc>
      </w:tr>
      <w:tr>
        <w:tc>
          <w:tcPr>
            <w:tcW w:type="dxa" w:w="301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left"/>
              <w:spacing w:before="0" w:after="0"/>
            </w:pPr>
            <w:r>
              <w:rPr>
                <w:b w:val="0"/>
                <w:i w:val="0"/>
                <w:sz w:val="18"/>
              </w:rPr>
              <w:t>12</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200" w:type="dxa"/>
          </w:tcPr>
          <w:p>
            <w:pPr>
              <w:jc w:val="left"/>
              <w:spacing w:before="0" w:after="0"/>
            </w:pPr>
            <w:r>
              <w:rPr>
                <w:b/>
                <w:i w:val="0"/>
                <w:sz w:val="18"/>
              </w:rPr>
              <w:t>Distributor BL Power Operation Commission</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960" w:type="dxa"/>
          </w:tcPr>
          <w:p>
            <w:pPr>
              <w:jc w:val="left"/>
              <w:spacing w:before="0" w:after="0"/>
            </w:pPr>
            <w:r>
              <w:rPr>
                <w:b w:val="0"/>
                <w:i w:val="0"/>
                <w:sz w:val="18"/>
              </w:rPr>
              <w:t>Entirely different platform: BL Power, per-deno hit fixed BDT commission, AIT-excl. and AIT-incl.</w:t>
            </w:r>
          </w:p>
        </w:tc>
      </w:tr>
      <w:tr>
        <w:tc>
          <w:tcPr>
            <w:tcW w:type="dxa" w:w="301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left"/>
              <w:spacing w:before="0" w:after="0"/>
            </w:pPr>
            <w:r>
              <w:rPr>
                <w:b w:val="0"/>
                <w:i w:val="0"/>
                <w:sz w:val="18"/>
              </w:rPr>
              <w:t>13</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200" w:type="dxa"/>
          </w:tcPr>
          <w:p>
            <w:pPr>
              <w:jc w:val="left"/>
              <w:spacing w:before="0" w:after="0"/>
            </w:pPr>
            <w:r>
              <w:rPr>
                <w:b/>
                <w:i w:val="0"/>
                <w:sz w:val="18"/>
              </w:rPr>
              <w:t>RSO MyBL App Referral Campaign</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960" w:type="dxa"/>
          </w:tcPr>
          <w:p>
            <w:pPr>
              <w:jc w:val="left"/>
              <w:spacing w:before="0" w:after="0"/>
            </w:pPr>
            <w:r>
              <w:rPr>
                <w:b w:val="0"/>
                <w:i w:val="0"/>
                <w:sz w:val="18"/>
              </w:rPr>
              <w:t>RSOs get slab-based commission per successful MyBL App sign-up via referral code</w:t>
            </w:r>
          </w:p>
        </w:tc>
      </w:tr>
      <w:tr>
        <w:tc>
          <w:tcPr>
            <w:tcW w:type="dxa" w:w="301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left"/>
              <w:spacing w:before="0" w:after="0"/>
            </w:pPr>
            <w:r>
              <w:rPr>
                <w:b w:val="0"/>
                <w:i w:val="0"/>
                <w:sz w:val="18"/>
              </w:rPr>
              <w:t>14</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200" w:type="dxa"/>
          </w:tcPr>
          <w:p>
            <w:pPr>
              <w:jc w:val="left"/>
              <w:spacing w:before="0" w:after="0"/>
            </w:pPr>
            <w:r>
              <w:rPr>
                <w:b/>
                <w:i w:val="0"/>
                <w:sz w:val="18"/>
              </w:rPr>
              <w:t>Retailer MyBL App Referral Campaign</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960" w:type="dxa"/>
          </w:tcPr>
          <w:p>
            <w:pPr>
              <w:jc w:val="left"/>
              <w:spacing w:before="0" w:after="0"/>
            </w:pPr>
            <w:r>
              <w:rPr>
                <w:b w:val="0"/>
                <w:i w:val="0"/>
                <w:sz w:val="18"/>
              </w:rPr>
              <w:t>Retailers get BDT 10 flat per successful MyBL App sign-up via retailer referral code</w:t>
            </w:r>
          </w:p>
        </w:tc>
      </w:tr>
      <w:tr>
        <w:tc>
          <w:tcPr>
            <w:tcW w:type="dxa" w:w="301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left"/>
              <w:spacing w:before="0" w:after="0"/>
            </w:pPr>
            <w:r>
              <w:rPr>
                <w:b w:val="0"/>
                <w:i w:val="0"/>
                <w:sz w:val="18"/>
              </w:rPr>
              <w:t>15</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200" w:type="dxa"/>
          </w:tcPr>
          <w:p>
            <w:pPr>
              <w:jc w:val="left"/>
              <w:spacing w:before="0" w:after="0"/>
            </w:pPr>
            <w:r>
              <w:rPr>
                <w:b/>
                <w:i w:val="0"/>
                <w:sz w:val="18"/>
              </w:rPr>
              <w:t>Monobrand CCR MyBL App Installation Campaign</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960" w:type="dxa"/>
          </w:tcPr>
          <w:p>
            <w:pPr>
              <w:jc w:val="left"/>
              <w:spacing w:before="0" w:after="0"/>
            </w:pPr>
            <w:r>
              <w:rPr>
                <w:b w:val="0"/>
                <w:i w:val="0"/>
                <w:sz w:val="18"/>
              </w:rPr>
              <w:t>Monobrand CCR gets BDT 10 per sign-up; customer must use 100MB within 10 days</w:t>
            </w:r>
          </w:p>
        </w:tc>
      </w:tr>
    </w:tbl>
    <w:p/>
    <w:p>
      <w:r>
        <w:br w:type="page"/>
      </w:r>
    </w:p>
    <w:p>
      <w:pPr>
        <w:jc w:val="left"/>
        <w:spacing w:before="160" w:after="80"/>
      </w:pPr>
      <w:r>
        <w:rPr>
          <w:b/>
          <w:color w:val="1F4E79"/>
          <w:sz w:val="28"/>
          <w:u w:val="single"/>
        </w:rPr>
        <w:t>Section 1: MyBL Standard (Regular – Prepaid) — BL Self-Channel</w:t>
      </w:r>
    </w:p>
    <w:p>
      <w:pPr>
        <w:spacing w:before="0" w:after="60"/>
      </w:pPr>
      <w:r>
        <w:rPr>
          <w:b w:val="0"/>
          <w:i w:val="0"/>
          <w:sz w:val="19"/>
        </w:rPr>
        <w:t>BL Self-channels (MyBL App) provide cashback to prepaid subscribers based on denomination and date. Commission is reported per retailer MSISDN 1967021235. Covers bi-monthly periods (1st–15th and 16th–end of month).</w:t>
      </w:r>
    </w:p>
    <w:p>
      <w:pPr>
        <w:jc w:val="left"/>
        <w:spacing w:before="160" w:after="80"/>
      </w:pPr>
      <w:r>
        <w:rPr>
          <w:b/>
          <w:color w:val="2E75B6"/>
          <w:sz w:val="22"/>
        </w:rPr>
        <w:t>1.1 Campaign Overview</w:t>
      </w:r>
    </w:p>
    <w:tbl>
      <w:tblPr>
        <w:tblW w:type="auto" w:w="0"/>
        <w:jc w:val="left"/>
        <w:tblLook w:firstColumn="1" w:firstRow="1" w:lastColumn="0" w:lastRow="0" w:noHBand="0" w:noVBand="1" w:val="04A0"/>
        <w:tblW w:w="8640" w:type="dxa"/>
      </w:tblPr>
      <w:tblGrid>
        <w:gridCol w:w="4514"/>
        <w:gridCol w:w="4514"/>
      </w:tblGrid>
      <w:tr>
        <w:tc>
          <w:tcPr>
            <w:tcW w:type="dxa" w:w="4514"/>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20" w:type="dxa"/>
              <w:right w:w="120" w:type="dxa"/>
            </w:tcMar>
            <w:tcW w:w="2880" w:type="dxa"/>
          </w:tcPr>
          <w:p>
            <w:pPr>
              <w:jc w:val="left"/>
              <w:spacing w:before="0" w:after="0"/>
            </w:pPr>
            <w:r>
              <w:rPr>
                <w:b/>
                <w:i w:val="0"/>
                <w:color w:val="FFFFFF"/>
                <w:sz w:val="18"/>
              </w:rPr>
              <w:t>Parameter</w:t>
            </w:r>
          </w:p>
        </w:tc>
        <w:tc>
          <w:tcPr>
            <w:tcW w:type="dxa" w:w="4514"/>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20" w:type="dxa"/>
              <w:right w:w="120" w:type="dxa"/>
            </w:tcMar>
            <w:tcW w:w="5760" w:type="dxa"/>
          </w:tcPr>
          <w:p>
            <w:pPr>
              <w:jc w:val="left"/>
              <w:spacing w:before="0" w:after="0"/>
            </w:pPr>
            <w:r>
              <w:rPr>
                <w:b/>
                <w:i w:val="0"/>
                <w:color w:val="FFFFFF"/>
                <w:sz w:val="18"/>
              </w:rPr>
              <w:t>Detail</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Campaign Type</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MyBL Standard Regular — Prepaid</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Recipient Type</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BL Self-channels (MyBL App)</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Partner MSISDN</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1967021235</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Service Class</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All service class below 1000 (Prepaid)</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Recharge App</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Only MyBL App recharge considered</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Periodicity</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Bi-monthly: Period A = 1st–15th, Period B = 16th–end of month</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Priority</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Lowest (Regular/Standard)</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Report Frequency</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Regular — monthly (2 reports per month for two periods)</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Salescom to EV</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YES</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Report Shared</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Disbursement &amp; Provision</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Ref ID Requirement</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Ref ID must start with 'BLAPP'</w:t>
            </w:r>
          </w:p>
        </w:tc>
      </w:tr>
    </w:tbl>
    <w:p>
      <w:pPr>
        <w:spacing w:before="0" w:after="60"/>
      </w:pPr>
    </w:p>
    <w:p>
      <w:pPr>
        <w:jc w:val="left"/>
        <w:spacing w:before="160" w:after="80"/>
      </w:pPr>
      <w:r>
        <w:rPr>
          <w:b/>
          <w:color w:val="2E75B6"/>
          <w:sz w:val="22"/>
        </w:rPr>
        <w:t>1.2 Cashback Structure</w:t>
      </w:r>
    </w:p>
    <w:p>
      <w:pPr>
        <w:spacing w:before="0" w:after="60"/>
      </w:pPr>
      <w:r>
        <w:rPr>
          <w:b w:val="0"/>
          <w:i w:val="0"/>
          <w:sz w:val="19"/>
        </w:rPr>
        <w:t>Cashback is determined by denomination (deno) and date. Each unique deno+date combination yields a specific cashback BDT amount. The cashback slab table is provided per period. Example denominations used across periods: 109, 117, 148, 149, 198, 219, 248, 278, 298, 349, 397, 399, 448, 498, 548, 598, 649, 698, 748, 797, 848, 897, 948, 997, 1097, 1197, 1297, 1497, 1697, 1997, 2297, 2497, 2997 (range expanded over time).</w:t>
      </w:r>
    </w:p>
    <w:tbl>
      <w:tblPr>
        <w:tblW w:type="auto" w:w="0"/>
        <w:jc w:val="left"/>
        <w:tblLook w:firstColumn="1" w:firstRow="1" w:lastColumn="0" w:lastRow="0" w:noHBand="0" w:noVBand="1" w:val="04A0"/>
        <w:tblW w:w="8640" w:type="dxa"/>
      </w:tblPr>
      <w:tblGrid>
        <w:gridCol w:w="2257"/>
        <w:gridCol w:w="2257"/>
        <w:gridCol w:w="2257"/>
        <w:gridCol w:w="2257"/>
      </w:tblGrid>
      <w:tr>
        <w:tc>
          <w:tcPr>
            <w:tcW w:type="dxa" w:w="2257"/>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1800" w:type="dxa"/>
          </w:tcPr>
          <w:p>
            <w:pPr>
              <w:jc w:val="center"/>
              <w:spacing w:before="0" w:after="0"/>
            </w:pPr>
            <w:r>
              <w:rPr>
                <w:b/>
                <w:i w:val="0"/>
                <w:color w:val="FFFFFF"/>
                <w:sz w:val="17"/>
              </w:rPr>
              <w:t>Start Date</w:t>
            </w:r>
          </w:p>
        </w:tc>
        <w:tc>
          <w:tcPr>
            <w:tcW w:type="dxa" w:w="2257"/>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1800" w:type="dxa"/>
          </w:tcPr>
          <w:p>
            <w:pPr>
              <w:jc w:val="center"/>
              <w:spacing w:before="0" w:after="0"/>
            </w:pPr>
            <w:r>
              <w:rPr>
                <w:b/>
                <w:i w:val="0"/>
                <w:color w:val="FFFFFF"/>
                <w:sz w:val="17"/>
              </w:rPr>
              <w:t>End Date</w:t>
            </w:r>
          </w:p>
        </w:tc>
        <w:tc>
          <w:tcPr>
            <w:tcW w:type="dxa" w:w="2257"/>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2520" w:type="dxa"/>
          </w:tcPr>
          <w:p>
            <w:pPr>
              <w:jc w:val="center"/>
              <w:spacing w:before="0" w:after="0"/>
            </w:pPr>
            <w:r>
              <w:rPr>
                <w:b/>
                <w:i w:val="0"/>
                <w:color w:val="FFFFFF"/>
                <w:sz w:val="17"/>
              </w:rPr>
              <w:t>Deno (BDT)</w:t>
            </w:r>
          </w:p>
        </w:tc>
        <w:tc>
          <w:tcPr>
            <w:tcW w:type="dxa" w:w="2257"/>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2520" w:type="dxa"/>
          </w:tcPr>
          <w:p>
            <w:pPr>
              <w:jc w:val="center"/>
              <w:spacing w:before="0" w:after="0"/>
            </w:pPr>
            <w:r>
              <w:rPr>
                <w:b/>
                <w:i w:val="0"/>
                <w:color w:val="FFFFFF"/>
                <w:sz w:val="17"/>
              </w:rPr>
              <w:t>Cashback (BDT)</w:t>
            </w:r>
          </w:p>
        </w:tc>
      </w:tr>
      <w:tr>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800" w:type="dxa"/>
          </w:tcPr>
          <w:p>
            <w:pPr>
              <w:jc w:val="left"/>
              <w:spacing w:before="0" w:after="0"/>
            </w:pPr>
            <w:r>
              <w:rPr>
                <w:b w:val="0"/>
                <w:i w:val="0"/>
                <w:sz w:val="17"/>
              </w:rPr>
              <w:t>Period Start</w:t>
            </w:r>
          </w:p>
        </w:tc>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800" w:type="dxa"/>
          </w:tcPr>
          <w:p>
            <w:pPr>
              <w:jc w:val="left"/>
              <w:spacing w:before="0" w:after="0"/>
            </w:pPr>
            <w:r>
              <w:rPr>
                <w:b w:val="0"/>
                <w:i w:val="0"/>
                <w:sz w:val="17"/>
              </w:rPr>
              <w:t>Period End</w:t>
            </w:r>
          </w:p>
        </w:tc>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520" w:type="dxa"/>
          </w:tcPr>
          <w:p>
            <w:pPr>
              <w:jc w:val="left"/>
              <w:spacing w:before="0" w:after="0"/>
            </w:pPr>
            <w:r>
              <w:rPr>
                <w:b w:val="0"/>
                <w:i w:val="0"/>
                <w:sz w:val="17"/>
              </w:rPr>
              <w:t>[e.g. 149]</w:t>
            </w:r>
          </w:p>
        </w:tc>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520" w:type="dxa"/>
          </w:tcPr>
          <w:p>
            <w:pPr>
              <w:jc w:val="left"/>
              <w:spacing w:before="0" w:after="0"/>
            </w:pPr>
            <w:r>
              <w:rPr>
                <w:b w:val="0"/>
                <w:i w:val="0"/>
                <w:sz w:val="17"/>
              </w:rPr>
              <w:t>[e.g. 5.57]</w:t>
            </w:r>
          </w:p>
        </w:tc>
      </w:tr>
      <w:tr>
        <w:tc>
          <w:tcPr>
            <w:tcW w:type="dxa" w:w="2257"/>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800" w:type="dxa"/>
          </w:tcPr>
          <w:p>
            <w:pPr>
              <w:jc w:val="left"/>
              <w:spacing w:before="0" w:after="0"/>
            </w:pPr>
            <w:r>
              <w:rPr>
                <w:b w:val="0"/>
                <w:i w:val="0"/>
                <w:sz w:val="17"/>
              </w:rPr>
              <w:t>Period Start</w:t>
            </w:r>
          </w:p>
        </w:tc>
        <w:tc>
          <w:tcPr>
            <w:tcW w:type="dxa" w:w="2257"/>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800" w:type="dxa"/>
          </w:tcPr>
          <w:p>
            <w:pPr>
              <w:jc w:val="left"/>
              <w:spacing w:before="0" w:after="0"/>
            </w:pPr>
            <w:r>
              <w:rPr>
                <w:b w:val="0"/>
                <w:i w:val="0"/>
                <w:sz w:val="17"/>
              </w:rPr>
              <w:t>Period End</w:t>
            </w:r>
          </w:p>
        </w:tc>
        <w:tc>
          <w:tcPr>
            <w:tcW w:type="dxa" w:w="2257"/>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520" w:type="dxa"/>
          </w:tcPr>
          <w:p>
            <w:pPr>
              <w:jc w:val="left"/>
              <w:spacing w:before="0" w:after="0"/>
            </w:pPr>
            <w:r>
              <w:rPr>
                <w:b w:val="0"/>
                <w:i w:val="0"/>
                <w:sz w:val="17"/>
              </w:rPr>
              <w:t>[e.g. 249]</w:t>
            </w:r>
          </w:p>
        </w:tc>
        <w:tc>
          <w:tcPr>
            <w:tcW w:type="dxa" w:w="2257"/>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520" w:type="dxa"/>
          </w:tcPr>
          <w:p>
            <w:pPr>
              <w:jc w:val="left"/>
              <w:spacing w:before="0" w:after="0"/>
            </w:pPr>
            <w:r>
              <w:rPr>
                <w:b w:val="0"/>
                <w:i w:val="0"/>
                <w:sz w:val="17"/>
              </w:rPr>
              <w:t>[e.g. 9.30]</w:t>
            </w:r>
          </w:p>
        </w:tc>
      </w:tr>
      <w:tr>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800" w:type="dxa"/>
          </w:tcPr>
          <w:p>
            <w:pPr>
              <w:jc w:val="left"/>
              <w:spacing w:before="0" w:after="0"/>
            </w:pPr>
            <w:r>
              <w:rPr>
                <w:b w:val="0"/>
                <w:i w:val="0"/>
                <w:sz w:val="17"/>
              </w:rPr>
              <w:t>(Each deno+date has specific cashback)</w:t>
            </w:r>
          </w:p>
        </w:tc>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800" w:type="dxa"/>
          </w:tcPr>
          <w:p>
            <w:pPr>
              <w:jc w:val="left"/>
              <w:spacing w:before="0" w:after="0"/>
            </w:pPr>
            <w:r>
              <w:rPr>
                <w:b w:val="0"/>
                <w:i w:val="0"/>
                <w:sz w:val="17"/>
              </w:rPr>
            </w:r>
          </w:p>
        </w:tc>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520" w:type="dxa"/>
          </w:tcPr>
          <w:p>
            <w:pPr>
              <w:jc w:val="left"/>
              <w:spacing w:before="0" w:after="0"/>
            </w:pPr>
            <w:r>
              <w:rPr>
                <w:b w:val="0"/>
                <w:i w:val="0"/>
                <w:sz w:val="17"/>
              </w:rPr>
            </w:r>
          </w:p>
        </w:tc>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520" w:type="dxa"/>
          </w:tcPr>
          <w:p>
            <w:pPr>
              <w:jc w:val="left"/>
              <w:spacing w:before="0" w:after="0"/>
            </w:pPr>
            <w:r>
              <w:rPr>
                <w:b w:val="0"/>
                <w:i w:val="0"/>
                <w:sz w:val="17"/>
              </w:rPr>
            </w:r>
          </w:p>
        </w:tc>
      </w:tr>
    </w:tbl>
    <w:p/>
    <w:tbl>
      <w:tblPr>
        <w:tblW w:type="auto" w:w="0"/>
        <w:jc w:val="left"/>
        <w:tblLook w:firstColumn="1" w:firstRow="1" w:lastColumn="0" w:lastRow="0" w:noHBand="0" w:noVBand="1" w:val="04A0"/>
        <w:tblW w:w="8640" w:type="dxa"/>
      </w:tblPr>
      <w:tblGrid>
        <w:gridCol w:w="9029"/>
      </w:tblGrid>
      <w:tr>
        <w:tc>
          <w:tcPr>
            <w:tcW w:type="dxa" w:w="9029"/>
            <w:shd w:val="clear" w:color="auto" w:fill="FFF2CC"/>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640" w:type="dxa"/>
          </w:tcPr>
          <w:p>
            <w:pPr>
              <w:jc w:val="left"/>
              <w:spacing w:before="0" w:after="0"/>
            </w:pPr>
            <w:r>
              <w:rPr>
                <w:b w:val="0"/>
                <w:i/>
                <w:color w:val="595959"/>
                <w:sz w:val="18"/>
              </w:rPr>
              <w:t>NOTE: Deno list and cashback BDT amounts vary per period. As of Mar 2026, denominations expanded from ~117–698 range to ~109–2997. Each period's SRF specifies exact deno-cashback mappings.</w:t>
            </w:r>
          </w:p>
        </w:tc>
      </w:tr>
    </w:tbl>
    <w:p/>
    <w:p>
      <w:pPr>
        <w:jc w:val="left"/>
        <w:spacing w:before="160" w:after="80"/>
      </w:pPr>
      <w:r>
        <w:rPr>
          <w:b/>
          <w:color w:val="2E75B6"/>
          <w:sz w:val="22"/>
        </w:rPr>
        <w:t>1.3 Specific Conditions</w:t>
      </w:r>
    </w:p>
    <w:p>
      <w:pPr>
        <w:jc w:val="left"/>
        <w:spacing w:before="160" w:after="80"/>
      </w:pPr>
      <w:r>
        <w:rPr>
          <w:b/>
          <w:color w:val="1F4E79"/>
          <w:sz w:val="20"/>
        </w:rPr>
        <w:t>Specific Conditions</w:t>
      </w:r>
    </w:p>
    <w:tbl>
      <w:tblPr>
        <w:tblW w:type="auto" w:w="0"/>
        <w:jc w:val="left"/>
        <w:tblLook w:firstColumn="1" w:firstRow="1" w:lastColumn="0" w:lastRow="0" w:noHBand="0" w:noVBand="1" w:val="04A0"/>
        <w:tblW w:w="8640" w:type="dxa"/>
      </w:tblPr>
      <w:tblGrid>
        <w:gridCol w:w="4514"/>
        <w:gridCol w:w="4514"/>
      </w:tblGrid>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I-top sales means sales to end customer, NOT lifting.</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2</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Only MyBL App recharge will be considered (not other recharge channels).</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3</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Customers can get cashback multiple times during the campaign period.</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4</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Need separate cashback commission report for each retailer MSISDN.</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5</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Ref ID of the transaction must start with 'BLAPP' to be eligible.</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6</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Recharge (retailer to subscriber) must be done from retailer EV MSISDN: 1967021235.</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7</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Valid recharge means EV/I-TOP transactions only.</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8</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Product: Any connection except Data SIM (MMSTDATA) and EV SIM.</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9</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Data source: EV Platform (IT SC).</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10</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Maturity date: Start of the next period (e.g., 16th Apr for 1st–15th Apr period).</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11</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Report detail format: RET_MSISDN | RECHARGE_AMOUNT | HIT | TOTAL_RECHARGE | COMMISSION_AMOUNT.</w:t>
            </w:r>
          </w:p>
        </w:tc>
      </w:tr>
    </w:tbl>
    <w:p/>
    <w:p>
      <w:pPr>
        <w:jc w:val="left"/>
        <w:spacing w:before="160" w:after="80"/>
      </w:pPr>
      <w:r>
        <w:rPr>
          <w:b/>
          <w:color w:val="2E75B6"/>
          <w:sz w:val="22"/>
        </w:rPr>
        <w:t>1.4 General Conditions</w:t>
      </w:r>
    </w:p>
    <w:tbl>
      <w:tblPr>
        <w:tblW w:type="auto" w:w="0"/>
        <w:jc w:val="left"/>
        <w:tblLook w:firstColumn="1" w:firstRow="1" w:lastColumn="0" w:lastRow="0" w:noHBand="0" w:noVBand="1" w:val="04A0"/>
        <w:tblW w:w="8640" w:type="dxa"/>
      </w:tblPr>
      <w:tblGrid>
        <w:gridCol w:w="3010"/>
        <w:gridCol w:w="3010"/>
        <w:gridCol w:w="3010"/>
      </w:tblGrid>
      <w:tr>
        <w:tc>
          <w:tcPr>
            <w:tcW w:type="dxa" w:w="3010"/>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20" w:type="dxa"/>
              <w:right w:w="120" w:type="dxa"/>
            </w:tcMar>
            <w:tcW w:w="2000" w:type="dxa"/>
          </w:tcPr>
          <w:p>
            <w:pPr>
              <w:jc w:val="left"/>
              <w:spacing w:before="0" w:after="0"/>
            </w:pPr>
            <w:r>
              <w:rPr>
                <w:b/>
                <w:i w:val="0"/>
                <w:color w:val="FFFFFF"/>
                <w:sz w:val="18"/>
              </w:rPr>
              <w:t>Factor</w:t>
            </w:r>
          </w:p>
        </w:tc>
        <w:tc>
          <w:tcPr>
            <w:tcW w:type="dxa" w:w="3010"/>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20" w:type="dxa"/>
              <w:right w:w="120" w:type="dxa"/>
            </w:tcMar>
            <w:tcW w:w="2200" w:type="dxa"/>
          </w:tcPr>
          <w:p>
            <w:pPr>
              <w:jc w:val="left"/>
              <w:spacing w:before="0" w:after="0"/>
            </w:pPr>
            <w:r>
              <w:rPr>
                <w:b/>
                <w:i w:val="0"/>
                <w:color w:val="FFFFFF"/>
                <w:sz w:val="18"/>
              </w:rPr>
              <w:t>Consideration</w:t>
            </w:r>
          </w:p>
        </w:tc>
        <w:tc>
          <w:tcPr>
            <w:tcW w:type="dxa" w:w="3010"/>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20" w:type="dxa"/>
              <w:right w:w="120" w:type="dxa"/>
            </w:tcMar>
            <w:tcW w:w="4440" w:type="dxa"/>
          </w:tcPr>
          <w:p>
            <w:pPr>
              <w:jc w:val="left"/>
              <w:spacing w:before="0" w:after="0"/>
            </w:pPr>
            <w:r>
              <w:rPr>
                <w:b/>
                <w:i w:val="0"/>
                <w:color w:val="FFFFFF"/>
                <w:sz w:val="18"/>
              </w:rPr>
              <w:t>Condition Detail</w:t>
            </w:r>
          </w:p>
        </w:tc>
      </w:tr>
      <w:tr>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000" w:type="dxa"/>
          </w:tcPr>
          <w:p>
            <w:pPr>
              <w:jc w:val="left"/>
              <w:spacing w:before="0" w:after="0"/>
            </w:pPr>
            <w:r>
              <w:rPr>
                <w:b w:val="0"/>
                <w:i w:val="0"/>
                <w:sz w:val="18"/>
              </w:rPr>
              <w:t>Lifting/Issue</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200" w:type="dxa"/>
          </w:tcPr>
          <w:p>
            <w:pPr>
              <w:jc w:val="left"/>
              <w:spacing w:before="0" w:after="0"/>
            </w:pPr>
            <w:r>
              <w:rPr>
                <w:b w:val="0"/>
                <w:i w:val="0"/>
                <w:sz w:val="18"/>
              </w:rPr>
              <w:t>N/A</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4440" w:type="dxa"/>
          </w:tcPr>
          <w:p>
            <w:pPr>
              <w:jc w:val="left"/>
              <w:spacing w:before="0" w:after="0"/>
            </w:pPr>
            <w:r>
              <w:rPr>
                <w:b w:val="0"/>
                <w:i w:val="0"/>
                <w:sz w:val="18"/>
              </w:rPr>
              <w:t>Needs to be activated within 180 days of lifting</w:t>
            </w:r>
          </w:p>
        </w:tc>
      </w:tr>
      <w:tr>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000" w:type="dxa"/>
          </w:tcPr>
          <w:p>
            <w:pPr>
              <w:jc w:val="left"/>
              <w:spacing w:before="0" w:after="0"/>
            </w:pPr>
            <w:r>
              <w:rPr>
                <w:b w:val="0"/>
                <w:i w:val="0"/>
                <w:sz w:val="18"/>
              </w:rPr>
              <w:t>Recharge</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200" w:type="dxa"/>
          </w:tcPr>
          <w:p>
            <w:pPr>
              <w:jc w:val="left"/>
              <w:spacing w:before="0" w:after="0"/>
            </w:pPr>
            <w:r>
              <w:rPr>
                <w:b w:val="0"/>
                <w:i w:val="0"/>
                <w:sz w:val="18"/>
              </w:rPr>
              <w:t>All Valid</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4440" w:type="dxa"/>
          </w:tcPr>
          <w:p>
            <w:pPr>
              <w:jc w:val="left"/>
              <w:spacing w:before="0" w:after="0"/>
            </w:pPr>
            <w:r>
              <w:rPr>
                <w:b w:val="0"/>
                <w:i w:val="0"/>
                <w:sz w:val="18"/>
              </w:rPr>
              <w:t>Valid recharge: EV/I-TOP</w:t>
            </w:r>
          </w:p>
        </w:tc>
      </w:tr>
      <w:tr>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000" w:type="dxa"/>
          </w:tcPr>
          <w:p>
            <w:pPr>
              <w:jc w:val="left"/>
              <w:spacing w:before="0" w:after="0"/>
            </w:pPr>
            <w:r>
              <w:rPr>
                <w:b w:val="0"/>
                <w:i w:val="0"/>
                <w:sz w:val="18"/>
              </w:rPr>
              <w:t>Product</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200" w:type="dxa"/>
          </w:tcPr>
          <w:p>
            <w:pPr>
              <w:jc w:val="left"/>
              <w:spacing w:before="0" w:after="0"/>
            </w:pPr>
            <w:r>
              <w:rPr>
                <w:b w:val="0"/>
                <w:i w:val="0"/>
                <w:sz w:val="18"/>
              </w:rPr>
              <w:t>N/A</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4440" w:type="dxa"/>
          </w:tcPr>
          <w:p>
            <w:pPr>
              <w:jc w:val="left"/>
              <w:spacing w:before="0" w:after="0"/>
            </w:pPr>
            <w:r>
              <w:rPr>
                <w:b w:val="0"/>
                <w:i w:val="0"/>
                <w:sz w:val="18"/>
              </w:rPr>
              <w:t>Any connections except Data SIM (MMSTDATA) and EV SIM</w:t>
            </w:r>
          </w:p>
        </w:tc>
      </w:tr>
      <w:tr>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000" w:type="dxa"/>
          </w:tcPr>
          <w:p>
            <w:pPr>
              <w:jc w:val="left"/>
              <w:spacing w:before="0" w:after="0"/>
            </w:pPr>
            <w:r>
              <w:rPr>
                <w:b w:val="0"/>
                <w:i w:val="0"/>
                <w:sz w:val="18"/>
              </w:rPr>
              <w:t>Disconnection</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200" w:type="dxa"/>
          </w:tcPr>
          <w:p>
            <w:pPr>
              <w:jc w:val="left"/>
              <w:spacing w:before="0" w:after="0"/>
            </w:pPr>
            <w:r>
              <w:rPr>
                <w:b w:val="0"/>
                <w:i w:val="0"/>
                <w:sz w:val="18"/>
              </w:rPr>
              <w:t>N/A</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4440" w:type="dxa"/>
          </w:tcPr>
          <w:p>
            <w:pPr>
              <w:jc w:val="left"/>
              <w:spacing w:before="0" w:after="0"/>
            </w:pPr>
            <w:r>
              <w:rPr>
                <w:b w:val="0"/>
                <w:i w:val="0"/>
                <w:sz w:val="18"/>
              </w:rPr>
              <w:t>Latest data up to report maturity date</w:t>
            </w:r>
          </w:p>
        </w:tc>
      </w:tr>
      <w:tr>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000" w:type="dxa"/>
          </w:tcPr>
          <w:p>
            <w:pPr>
              <w:jc w:val="left"/>
              <w:spacing w:before="0" w:after="0"/>
            </w:pPr>
            <w:r>
              <w:rPr>
                <w:b w:val="0"/>
                <w:i w:val="0"/>
                <w:sz w:val="18"/>
              </w:rPr>
              <w:t>Other</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200" w:type="dxa"/>
          </w:tcPr>
          <w:p>
            <w:pPr>
              <w:jc w:val="left"/>
              <w:spacing w:before="0" w:after="0"/>
            </w:pPr>
            <w:r>
              <w:rPr>
                <w:b w:val="0"/>
                <w:i w:val="0"/>
                <w:sz w:val="18"/>
              </w:rPr>
              <w:t>i-top up</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4440" w:type="dxa"/>
          </w:tcPr>
          <w:p>
            <w:pPr>
              <w:jc w:val="left"/>
              <w:spacing w:before="0" w:after="0"/>
            </w:pPr>
            <w:r>
              <w:rPr>
                <w:b w:val="0"/>
                <w:i w:val="0"/>
                <w:sz w:val="18"/>
              </w:rPr>
              <w:t>I-top up transactions considered</w:t>
            </w:r>
          </w:p>
        </w:tc>
      </w:tr>
    </w:tbl>
    <w:p/>
    <w:p>
      <w:r>
        <w:br w:type="page"/>
      </w:r>
    </w:p>
    <w:p>
      <w:pPr>
        <w:jc w:val="left"/>
        <w:spacing w:before="160" w:after="80"/>
      </w:pPr>
      <w:r>
        <w:rPr>
          <w:b/>
          <w:color w:val="1F4E79"/>
          <w:sz w:val="28"/>
          <w:u w:val="single"/>
        </w:rPr>
        <w:t>Section 2: MyBL Portonics Standard (Regular – Prepaid)</w:t>
      </w:r>
    </w:p>
    <w:p>
      <w:pPr>
        <w:spacing w:before="0" w:after="60"/>
      </w:pPr>
      <w:r>
        <w:rPr>
          <w:b w:val="0"/>
          <w:i w:val="0"/>
          <w:sz w:val="19"/>
        </w:rPr>
        <w:t>Identical structure to Section 1 (Standard Regular), but uses Portonics as the partner with a different retailer MSISDN. No 'BLAPP' Ref ID requirement.</w:t>
      </w:r>
    </w:p>
    <w:p>
      <w:pPr>
        <w:jc w:val="left"/>
        <w:spacing w:before="160" w:after="80"/>
      </w:pPr>
      <w:r>
        <w:rPr>
          <w:b/>
          <w:color w:val="2E75B6"/>
          <w:sz w:val="22"/>
        </w:rPr>
        <w:t>2.1 Campaign Overview</w:t>
      </w:r>
    </w:p>
    <w:tbl>
      <w:tblPr>
        <w:tblW w:type="auto" w:w="0"/>
        <w:jc w:val="left"/>
        <w:tblLook w:firstColumn="1" w:firstRow="1" w:lastColumn="0" w:lastRow="0" w:noHBand="0" w:noVBand="1" w:val="04A0"/>
        <w:tblW w:w="8640" w:type="dxa"/>
      </w:tblPr>
      <w:tblGrid>
        <w:gridCol w:w="4514"/>
        <w:gridCol w:w="4514"/>
      </w:tblGrid>
      <w:tr>
        <w:tc>
          <w:tcPr>
            <w:tcW w:type="dxa" w:w="4514"/>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20" w:type="dxa"/>
              <w:right w:w="120" w:type="dxa"/>
            </w:tcMar>
            <w:tcW w:w="2880" w:type="dxa"/>
          </w:tcPr>
          <w:p>
            <w:pPr>
              <w:jc w:val="left"/>
              <w:spacing w:before="0" w:after="0"/>
            </w:pPr>
            <w:r>
              <w:rPr>
                <w:b/>
                <w:i w:val="0"/>
                <w:color w:val="FFFFFF"/>
                <w:sz w:val="18"/>
              </w:rPr>
              <w:t>Parameter</w:t>
            </w:r>
          </w:p>
        </w:tc>
        <w:tc>
          <w:tcPr>
            <w:tcW w:type="dxa" w:w="4514"/>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20" w:type="dxa"/>
              <w:right w:w="120" w:type="dxa"/>
            </w:tcMar>
            <w:tcW w:w="5760" w:type="dxa"/>
          </w:tcPr>
          <w:p>
            <w:pPr>
              <w:jc w:val="left"/>
              <w:spacing w:before="0" w:after="0"/>
            </w:pPr>
            <w:r>
              <w:rPr>
                <w:b/>
                <w:i w:val="0"/>
                <w:color w:val="FFFFFF"/>
                <w:sz w:val="18"/>
              </w:rPr>
              <w:t>Detail</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Campaign Type</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MyBL Portonics Standard Regular — Prepaid</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Recipient Type</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Portonics (partner channel)</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Partner MSISDN</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1953348398</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Service Class</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All service class below 1000 (Prepaid)</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Recharge App</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Only MyBL App recharge considered</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Periodicity</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Bi-monthly: Period A = 1st–15th, Period B = 16th–end of month</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Priority</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Lowest (Regular/Standard)</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Ref ID Requirement</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No 'BLAPP' Ref ID requirement for Portonics</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Salescom to EV</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YES</w:t>
            </w:r>
          </w:p>
        </w:tc>
      </w:tr>
    </w:tbl>
    <w:p>
      <w:pPr>
        <w:spacing w:before="0" w:after="60"/>
      </w:pPr>
    </w:p>
    <w:p>
      <w:pPr>
        <w:jc w:val="left"/>
        <w:spacing w:before="160" w:after="80"/>
      </w:pPr>
      <w:r>
        <w:rPr>
          <w:b/>
          <w:color w:val="2E75B6"/>
          <w:sz w:val="22"/>
        </w:rPr>
        <w:t>2.2 Key Differentiator from Section 1</w:t>
      </w:r>
    </w:p>
    <w:tbl>
      <w:tblPr>
        <w:tblW w:type="auto" w:w="0"/>
        <w:jc w:val="left"/>
        <w:tblLook w:firstColumn="1" w:firstRow="1" w:lastColumn="0" w:lastRow="0" w:noHBand="0" w:noVBand="1" w:val="04A0"/>
        <w:tblW w:w="8640" w:type="dxa"/>
      </w:tblPr>
      <w:tblGrid>
        <w:gridCol w:w="9029"/>
      </w:tblGrid>
      <w:tr>
        <w:tc>
          <w:tcPr>
            <w:tcW w:type="dxa" w:w="9029"/>
            <w:shd w:val="clear" w:color="auto" w:fill="E2EFDA"/>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640" w:type="dxa"/>
          </w:tcPr>
          <w:p>
            <w:pPr>
              <w:jc w:val="left"/>
              <w:spacing w:before="0" w:after="0"/>
            </w:pPr>
            <w:r>
              <w:rPr>
                <w:b w:val="0"/>
                <w:i/>
                <w:color w:val="595959"/>
                <w:sz w:val="18"/>
              </w:rPr>
              <w:t>DIFFERENCE: Portonics uses MSISDN 1953348398 instead of 1967021235, and does NOT require Ref ID to start with 'BLAPP'. All other conditions (deno-cashback structure, priority, periodicity, product exclusions) are identical to Section 1.</w:t>
            </w:r>
          </w:p>
        </w:tc>
      </w:tr>
    </w:tbl>
    <w:p/>
    <w:p>
      <w:pPr>
        <w:jc w:val="left"/>
        <w:spacing w:before="160" w:after="80"/>
      </w:pPr>
      <w:r>
        <w:rPr>
          <w:b/>
          <w:color w:val="2E75B6"/>
          <w:sz w:val="22"/>
        </w:rPr>
        <w:t>2.3 Specific Conditions</w:t>
      </w:r>
    </w:p>
    <w:p>
      <w:pPr>
        <w:jc w:val="left"/>
        <w:spacing w:before="160" w:after="80"/>
      </w:pPr>
      <w:r>
        <w:rPr>
          <w:b/>
          <w:color w:val="1F4E79"/>
          <w:sz w:val="20"/>
        </w:rPr>
        <w:t>Conditions</w:t>
      </w:r>
    </w:p>
    <w:tbl>
      <w:tblPr>
        <w:tblW w:type="auto" w:w="0"/>
        <w:jc w:val="left"/>
        <w:tblLook w:firstColumn="1" w:firstRow="1" w:lastColumn="0" w:lastRow="0" w:noHBand="0" w:noVBand="1" w:val="04A0"/>
        <w:tblW w:w="8640" w:type="dxa"/>
      </w:tblPr>
      <w:tblGrid>
        <w:gridCol w:w="4514"/>
        <w:gridCol w:w="4514"/>
      </w:tblGrid>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I-top sales means sales to end customer, NOT lifting.</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2</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Only MyBL App recharge will be considered.</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3</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Customers can get cashback multiple times during the campaign period.</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4</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Need separate cashback commission report for each retailer MSISDN.</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5</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No 'BLAPP' Ref ID requirement — any valid Portonics transaction qualifies.</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6</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Recharge must be done from retailer EV MSISDN: 1953348398 (Portonics).</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7</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Valid recharge: EV/I-TOP only.</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8</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Product: Any connection except Data SIM (MMSTDATA) and EV SIM.</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9</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Data source: EV Platform (IT SC).</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10</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Maturity date: Start of the next period.</w:t>
            </w:r>
          </w:p>
        </w:tc>
      </w:tr>
    </w:tbl>
    <w:p/>
    <w:p>
      <w:r>
        <w:br w:type="page"/>
      </w:r>
    </w:p>
    <w:p>
      <w:pPr>
        <w:jc w:val="left"/>
        <w:spacing w:before="160" w:after="80"/>
      </w:pPr>
      <w:r>
        <w:rPr>
          <w:b/>
          <w:color w:val="1F4E79"/>
          <w:sz w:val="28"/>
          <w:u w:val="single"/>
        </w:rPr>
        <w:t>Section 3: MyBL SSL Postpaid — BL Self-Channel</w:t>
      </w:r>
    </w:p>
    <w:p>
      <w:pPr>
        <w:spacing w:before="0" w:after="60"/>
      </w:pPr>
      <w:r>
        <w:rPr>
          <w:b w:val="0"/>
          <w:i w:val="0"/>
          <w:sz w:val="19"/>
        </w:rPr>
        <w:t>Postpaid subscribers with service class ≥1000 are covered under SSL Postpaid campaigns. Commission is monthly. Partner MSISDN is 1967021235 (BL Self-channels). 'BLAPP' Ref ID required.</w:t>
      </w:r>
    </w:p>
    <w:p>
      <w:pPr>
        <w:jc w:val="left"/>
        <w:spacing w:before="160" w:after="80"/>
      </w:pPr>
      <w:r>
        <w:rPr>
          <w:b/>
          <w:color w:val="2E75B6"/>
          <w:sz w:val="22"/>
        </w:rPr>
        <w:t>3.1 Campaign Overview</w:t>
      </w:r>
    </w:p>
    <w:tbl>
      <w:tblPr>
        <w:tblW w:type="auto" w:w="0"/>
        <w:jc w:val="left"/>
        <w:tblLook w:firstColumn="1" w:firstRow="1" w:lastColumn="0" w:lastRow="0" w:noHBand="0" w:noVBand="1" w:val="04A0"/>
        <w:tblW w:w="8640" w:type="dxa"/>
      </w:tblPr>
      <w:tblGrid>
        <w:gridCol w:w="4514"/>
        <w:gridCol w:w="4514"/>
      </w:tblGrid>
      <w:tr>
        <w:tc>
          <w:tcPr>
            <w:tcW w:type="dxa" w:w="4514"/>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20" w:type="dxa"/>
              <w:right w:w="120" w:type="dxa"/>
            </w:tcMar>
            <w:tcW w:w="2880" w:type="dxa"/>
          </w:tcPr>
          <w:p>
            <w:pPr>
              <w:jc w:val="left"/>
              <w:spacing w:before="0" w:after="0"/>
            </w:pPr>
            <w:r>
              <w:rPr>
                <w:b/>
                <w:i w:val="0"/>
                <w:color w:val="FFFFFF"/>
                <w:sz w:val="18"/>
              </w:rPr>
              <w:t>Parameter</w:t>
            </w:r>
          </w:p>
        </w:tc>
        <w:tc>
          <w:tcPr>
            <w:tcW w:type="dxa" w:w="4514"/>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20" w:type="dxa"/>
              <w:right w:w="120" w:type="dxa"/>
            </w:tcMar>
            <w:tcW w:w="5760" w:type="dxa"/>
          </w:tcPr>
          <w:p>
            <w:pPr>
              <w:jc w:val="left"/>
              <w:spacing w:before="0" w:after="0"/>
            </w:pPr>
            <w:r>
              <w:rPr>
                <w:b/>
                <w:i w:val="0"/>
                <w:color w:val="FFFFFF"/>
                <w:sz w:val="18"/>
              </w:rPr>
              <w:t>Detail</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Campaign Type</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MyBL SSL Postpaid</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Recipient Type</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BL Self-channels (MyBL App) — Postpaid segment</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Partner MSISDN</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1967021235</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Service Class</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All service class ≥ 1000 (Postpaid)</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Recharge App</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Only MyBL App recharge considered</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Periodicity</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Monthly (1st–end of month)</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Priority</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Standard (Regular priority)</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Ref ID Requirement</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Ref ID must start with 'BLAPP'</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Salescom to EV</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YES</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Report Shared</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Disbursement &amp; Provision</w:t>
            </w:r>
          </w:p>
        </w:tc>
      </w:tr>
    </w:tbl>
    <w:p>
      <w:pPr>
        <w:spacing w:before="0" w:after="60"/>
      </w:pPr>
    </w:p>
    <w:p>
      <w:pPr>
        <w:jc w:val="left"/>
        <w:spacing w:before="160" w:after="80"/>
      </w:pPr>
      <w:r>
        <w:rPr>
          <w:b/>
          <w:color w:val="2E75B6"/>
          <w:sz w:val="22"/>
        </w:rPr>
        <w:t>3.2 Cashback Structure</w:t>
      </w:r>
    </w:p>
    <w:p>
      <w:pPr>
        <w:spacing w:before="0" w:after="60"/>
      </w:pPr>
      <w:r>
        <w:rPr>
          <w:b w:val="0"/>
          <w:i w:val="0"/>
          <w:sz w:val="19"/>
        </w:rPr>
        <w:t>Monthly deno+date specific cashback. Example denominations for Postpaid: typically same or overlapping with prepaid denos but applied to postpaid service class ≥1000 subscribers.</w:t>
      </w:r>
    </w:p>
    <w:p>
      <w:pPr>
        <w:jc w:val="left"/>
        <w:spacing w:before="160" w:after="80"/>
      </w:pPr>
      <w:r>
        <w:rPr>
          <w:b/>
          <w:color w:val="2E75B6"/>
          <w:sz w:val="22"/>
        </w:rPr>
        <w:t>3.3 Specific Conditions</w:t>
      </w:r>
    </w:p>
    <w:p>
      <w:pPr>
        <w:jc w:val="left"/>
        <w:spacing w:before="160" w:after="80"/>
      </w:pPr>
      <w:r>
        <w:rPr>
          <w:b/>
          <w:color w:val="1F4E79"/>
          <w:sz w:val="20"/>
        </w:rPr>
        <w:t>Conditions</w:t>
      </w:r>
    </w:p>
    <w:tbl>
      <w:tblPr>
        <w:tblW w:type="auto" w:w="0"/>
        <w:jc w:val="left"/>
        <w:tblLook w:firstColumn="1" w:firstRow="1" w:lastColumn="0" w:lastRow="0" w:noHBand="0" w:noVBand="1" w:val="04A0"/>
        <w:tblW w:w="8640" w:type="dxa"/>
      </w:tblPr>
      <w:tblGrid>
        <w:gridCol w:w="4514"/>
        <w:gridCol w:w="4514"/>
      </w:tblGrid>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I-top sales means sales to end customer, NOT lifting.</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2</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Only MyBL App recharge will be considered.</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3</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Customers can get cashback multiple times during the campaign period.</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4</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Need separate cashback commission for each retailer MSISDN.</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5</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Ref ID of the transaction must start with 'BLAPP' to be eligible.</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6</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Recharge must be done from retailer EV MSISDN: 1967021235.</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7</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Valid recharge: EV/I-TOP only.</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8</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Service class must be ≥ 1000 (Postpaid customers only).</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9</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Product: Any connection except Data SIM (MMSTDATA) and EV SIM.</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10</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Data source: EV Platform (IT SC).</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11</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Maturity date: Start of the following month.</w:t>
            </w:r>
          </w:p>
        </w:tc>
      </w:tr>
    </w:tbl>
    <w:p/>
    <w:p>
      <w:pPr>
        <w:jc w:val="left"/>
        <w:spacing w:before="160" w:after="80"/>
      </w:pPr>
      <w:r>
        <w:rPr>
          <w:b/>
          <w:color w:val="2E75B6"/>
          <w:sz w:val="22"/>
        </w:rPr>
        <w:t>3.4 General Conditions</w:t>
      </w:r>
    </w:p>
    <w:tbl>
      <w:tblPr>
        <w:tblW w:type="auto" w:w="0"/>
        <w:jc w:val="left"/>
        <w:tblLook w:firstColumn="1" w:firstRow="1" w:lastColumn="0" w:lastRow="0" w:noHBand="0" w:noVBand="1" w:val="04A0"/>
        <w:tblW w:w="8640" w:type="dxa"/>
      </w:tblPr>
      <w:tblGrid>
        <w:gridCol w:w="3010"/>
        <w:gridCol w:w="3010"/>
        <w:gridCol w:w="3010"/>
      </w:tblGrid>
      <w:tr>
        <w:tc>
          <w:tcPr>
            <w:tcW w:type="dxa" w:w="3010"/>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20" w:type="dxa"/>
              <w:right w:w="120" w:type="dxa"/>
            </w:tcMar>
            <w:tcW w:w="2000" w:type="dxa"/>
          </w:tcPr>
          <w:p>
            <w:pPr>
              <w:jc w:val="left"/>
              <w:spacing w:before="0" w:after="0"/>
            </w:pPr>
            <w:r>
              <w:rPr>
                <w:b/>
                <w:i w:val="0"/>
                <w:color w:val="FFFFFF"/>
                <w:sz w:val="18"/>
              </w:rPr>
              <w:t>Factor</w:t>
            </w:r>
          </w:p>
        </w:tc>
        <w:tc>
          <w:tcPr>
            <w:tcW w:type="dxa" w:w="3010"/>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20" w:type="dxa"/>
              <w:right w:w="120" w:type="dxa"/>
            </w:tcMar>
            <w:tcW w:w="2200" w:type="dxa"/>
          </w:tcPr>
          <w:p>
            <w:pPr>
              <w:jc w:val="left"/>
              <w:spacing w:before="0" w:after="0"/>
            </w:pPr>
            <w:r>
              <w:rPr>
                <w:b/>
                <w:i w:val="0"/>
                <w:color w:val="FFFFFF"/>
                <w:sz w:val="18"/>
              </w:rPr>
              <w:t>Consideration</w:t>
            </w:r>
          </w:p>
        </w:tc>
        <w:tc>
          <w:tcPr>
            <w:tcW w:type="dxa" w:w="3010"/>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20" w:type="dxa"/>
              <w:right w:w="120" w:type="dxa"/>
            </w:tcMar>
            <w:tcW w:w="4440" w:type="dxa"/>
          </w:tcPr>
          <w:p>
            <w:pPr>
              <w:jc w:val="left"/>
              <w:spacing w:before="0" w:after="0"/>
            </w:pPr>
            <w:r>
              <w:rPr>
                <w:b/>
                <w:i w:val="0"/>
                <w:color w:val="FFFFFF"/>
                <w:sz w:val="18"/>
              </w:rPr>
              <w:t>Condition Detail</w:t>
            </w:r>
          </w:p>
        </w:tc>
      </w:tr>
      <w:tr>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000" w:type="dxa"/>
          </w:tcPr>
          <w:p>
            <w:pPr>
              <w:jc w:val="left"/>
              <w:spacing w:before="0" w:after="0"/>
            </w:pPr>
            <w:r>
              <w:rPr>
                <w:b w:val="0"/>
                <w:i w:val="0"/>
                <w:sz w:val="18"/>
              </w:rPr>
              <w:t>Recharge</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200" w:type="dxa"/>
          </w:tcPr>
          <w:p>
            <w:pPr>
              <w:jc w:val="left"/>
              <w:spacing w:before="0" w:after="0"/>
            </w:pPr>
            <w:r>
              <w:rPr>
                <w:b w:val="0"/>
                <w:i w:val="0"/>
                <w:sz w:val="18"/>
              </w:rPr>
              <w:t>All Valid</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4440" w:type="dxa"/>
          </w:tcPr>
          <w:p>
            <w:pPr>
              <w:jc w:val="left"/>
              <w:spacing w:before="0" w:after="0"/>
            </w:pPr>
            <w:r>
              <w:rPr>
                <w:b w:val="0"/>
                <w:i w:val="0"/>
                <w:sz w:val="18"/>
              </w:rPr>
              <w:t>Valid recharge: EV/I-TOP</w:t>
            </w:r>
          </w:p>
        </w:tc>
      </w:tr>
      <w:tr>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000" w:type="dxa"/>
          </w:tcPr>
          <w:p>
            <w:pPr>
              <w:jc w:val="left"/>
              <w:spacing w:before="0" w:after="0"/>
            </w:pPr>
            <w:r>
              <w:rPr>
                <w:b w:val="0"/>
                <w:i w:val="0"/>
                <w:sz w:val="18"/>
              </w:rPr>
              <w:t>Product</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200" w:type="dxa"/>
          </w:tcPr>
          <w:p>
            <w:pPr>
              <w:jc w:val="left"/>
              <w:spacing w:before="0" w:after="0"/>
            </w:pPr>
            <w:r>
              <w:rPr>
                <w:b w:val="0"/>
                <w:i w:val="0"/>
                <w:sz w:val="18"/>
              </w:rPr>
              <w:t>N/A</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4440" w:type="dxa"/>
          </w:tcPr>
          <w:p>
            <w:pPr>
              <w:jc w:val="left"/>
              <w:spacing w:before="0" w:after="0"/>
            </w:pPr>
            <w:r>
              <w:rPr>
                <w:b w:val="0"/>
                <w:i w:val="0"/>
                <w:sz w:val="18"/>
              </w:rPr>
              <w:t>Any connections except Data SIM (MMSTDATA) and EV SIM</w:t>
            </w:r>
          </w:p>
        </w:tc>
      </w:tr>
      <w:tr>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000" w:type="dxa"/>
          </w:tcPr>
          <w:p>
            <w:pPr>
              <w:jc w:val="left"/>
              <w:spacing w:before="0" w:after="0"/>
            </w:pPr>
            <w:r>
              <w:rPr>
                <w:b w:val="0"/>
                <w:i w:val="0"/>
                <w:sz w:val="18"/>
              </w:rPr>
              <w:t>Disconnection</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200" w:type="dxa"/>
          </w:tcPr>
          <w:p>
            <w:pPr>
              <w:jc w:val="left"/>
              <w:spacing w:before="0" w:after="0"/>
            </w:pPr>
            <w:r>
              <w:rPr>
                <w:b w:val="0"/>
                <w:i w:val="0"/>
                <w:sz w:val="18"/>
              </w:rPr>
              <w:t>N/A</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4440" w:type="dxa"/>
          </w:tcPr>
          <w:p>
            <w:pPr>
              <w:jc w:val="left"/>
              <w:spacing w:before="0" w:after="0"/>
            </w:pPr>
            <w:r>
              <w:rPr>
                <w:b w:val="0"/>
                <w:i w:val="0"/>
                <w:sz w:val="18"/>
              </w:rPr>
              <w:t>Latest data up to report maturity date</w:t>
            </w:r>
          </w:p>
        </w:tc>
      </w:tr>
      <w:tr>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000" w:type="dxa"/>
          </w:tcPr>
          <w:p>
            <w:pPr>
              <w:jc w:val="left"/>
              <w:spacing w:before="0" w:after="0"/>
            </w:pPr>
            <w:r>
              <w:rPr>
                <w:b w:val="0"/>
                <w:i w:val="0"/>
                <w:sz w:val="18"/>
              </w:rPr>
              <w:t>Other</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200" w:type="dxa"/>
          </w:tcPr>
          <w:p>
            <w:pPr>
              <w:jc w:val="left"/>
              <w:spacing w:before="0" w:after="0"/>
            </w:pPr>
            <w:r>
              <w:rPr>
                <w:b w:val="0"/>
                <w:i w:val="0"/>
                <w:sz w:val="18"/>
              </w:rPr>
              <w:t>i-top up</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4440" w:type="dxa"/>
          </w:tcPr>
          <w:p>
            <w:pPr>
              <w:jc w:val="left"/>
              <w:spacing w:before="0" w:after="0"/>
            </w:pPr>
            <w:r>
              <w:rPr>
                <w:b w:val="0"/>
                <w:i w:val="0"/>
                <w:sz w:val="18"/>
              </w:rPr>
              <w:t>I-top up transactions considered</w:t>
            </w:r>
          </w:p>
        </w:tc>
      </w:tr>
    </w:tbl>
    <w:p/>
    <w:p>
      <w:r>
        <w:br w:type="page"/>
      </w:r>
    </w:p>
    <w:p>
      <w:pPr>
        <w:jc w:val="left"/>
        <w:spacing w:before="160" w:after="80"/>
      </w:pPr>
      <w:r>
        <w:rPr>
          <w:b/>
          <w:color w:val="1F4E79"/>
          <w:sz w:val="28"/>
          <w:u w:val="single"/>
        </w:rPr>
        <w:t>Section 4: MyBL SSL Postpaid (Revision)</w:t>
      </w:r>
    </w:p>
    <w:p>
      <w:pPr>
        <w:spacing w:before="0" w:after="60"/>
      </w:pPr>
      <w:r>
        <w:rPr>
          <w:b w:val="0"/>
          <w:i w:val="0"/>
          <w:sz w:val="19"/>
        </w:rPr>
        <w:t>Revised version of SSL Postpaid campaign with updated/higher cashback amounts for the same denomination set. Structure and conditions are identical to Section 3.</w:t>
      </w:r>
    </w:p>
    <w:p>
      <w:pPr>
        <w:jc w:val="left"/>
        <w:spacing w:before="160" w:after="80"/>
      </w:pPr>
      <w:r>
        <w:rPr>
          <w:b/>
          <w:color w:val="2E75B6"/>
          <w:sz w:val="22"/>
        </w:rPr>
        <w:t>4.1 Campaign Overview</w:t>
      </w:r>
    </w:p>
    <w:tbl>
      <w:tblPr>
        <w:tblW w:type="auto" w:w="0"/>
        <w:jc w:val="left"/>
        <w:tblLook w:firstColumn="1" w:firstRow="1" w:lastColumn="0" w:lastRow="0" w:noHBand="0" w:noVBand="1" w:val="04A0"/>
        <w:tblW w:w="8640" w:type="dxa"/>
      </w:tblPr>
      <w:tblGrid>
        <w:gridCol w:w="4514"/>
        <w:gridCol w:w="4514"/>
      </w:tblGrid>
      <w:tr>
        <w:tc>
          <w:tcPr>
            <w:tcW w:type="dxa" w:w="4514"/>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20" w:type="dxa"/>
              <w:right w:w="120" w:type="dxa"/>
            </w:tcMar>
            <w:tcW w:w="2880" w:type="dxa"/>
          </w:tcPr>
          <w:p>
            <w:pPr>
              <w:jc w:val="left"/>
              <w:spacing w:before="0" w:after="0"/>
            </w:pPr>
            <w:r>
              <w:rPr>
                <w:b/>
                <w:i w:val="0"/>
                <w:color w:val="FFFFFF"/>
                <w:sz w:val="18"/>
              </w:rPr>
              <w:t>Parameter</w:t>
            </w:r>
          </w:p>
        </w:tc>
        <w:tc>
          <w:tcPr>
            <w:tcW w:type="dxa" w:w="4514"/>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20" w:type="dxa"/>
              <w:right w:w="120" w:type="dxa"/>
            </w:tcMar>
            <w:tcW w:w="5760" w:type="dxa"/>
          </w:tcPr>
          <w:p>
            <w:pPr>
              <w:jc w:val="left"/>
              <w:spacing w:before="0" w:after="0"/>
            </w:pPr>
            <w:r>
              <w:rPr>
                <w:b/>
                <w:i w:val="0"/>
                <w:color w:val="FFFFFF"/>
                <w:sz w:val="18"/>
              </w:rPr>
              <w:t>Detail</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Campaign Type</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MyBL SSL Postpaid — Revision</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Purpose</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Revised (higher) cashback amounts for same denos within the same or subsequent period</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Partner MSISDN</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1967021235</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Service Class</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All service class ≥ 1000 (Postpaid)</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Periodicity</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Monthly</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Ref ID Requirement</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Ref ID must start with 'BLAPP'</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Report Type</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Change in Report (revised cashback slabs)</w:t>
            </w:r>
          </w:p>
        </w:tc>
      </w:tr>
    </w:tbl>
    <w:p>
      <w:pPr>
        <w:spacing w:before="0" w:after="60"/>
      </w:pPr>
    </w:p>
    <w:tbl>
      <w:tblPr>
        <w:tblW w:type="auto" w:w="0"/>
        <w:jc w:val="left"/>
        <w:tblLook w:firstColumn="1" w:firstRow="1" w:lastColumn="0" w:lastRow="0" w:noHBand="0" w:noVBand="1" w:val="04A0"/>
        <w:tblW w:w="8640" w:type="dxa"/>
      </w:tblPr>
      <w:tblGrid>
        <w:gridCol w:w="9029"/>
      </w:tblGrid>
      <w:tr>
        <w:tc>
          <w:tcPr>
            <w:tcW w:type="dxa" w:w="9029"/>
            <w:shd w:val="clear" w:color="auto" w:fill="FFF2CC"/>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640" w:type="dxa"/>
          </w:tcPr>
          <w:p>
            <w:pPr>
              <w:jc w:val="left"/>
              <w:spacing w:before="0" w:after="0"/>
            </w:pPr>
            <w:r>
              <w:rPr>
                <w:b w:val="0"/>
                <w:i/>
                <w:color w:val="595959"/>
                <w:sz w:val="18"/>
              </w:rPr>
              <w:t>KEY POINT: Revision SRFs only change the cashback BDT amounts in the deno table. All campaign conditions, MSISDN, Ref ID requirement, service class filter, and general conditions remain identical to the original SSL Postpaid SRF (Section 3).</w:t>
            </w:r>
          </w:p>
        </w:tc>
      </w:tr>
    </w:tbl>
    <w:p/>
    <w:p>
      <w:pPr>
        <w:jc w:val="left"/>
        <w:spacing w:before="160" w:after="80"/>
      </w:pPr>
      <w:r>
        <w:rPr>
          <w:b/>
          <w:color w:val="2E75B6"/>
          <w:sz w:val="22"/>
        </w:rPr>
        <w:t>4.2 Specific Conditions</w:t>
      </w:r>
    </w:p>
    <w:p>
      <w:pPr>
        <w:jc w:val="left"/>
        <w:spacing w:before="160" w:after="80"/>
      </w:pPr>
      <w:r>
        <w:rPr>
          <w:b/>
          <w:color w:val="1F4E79"/>
          <w:sz w:val="20"/>
        </w:rPr>
        <w:t>Conditions</w:t>
      </w:r>
    </w:p>
    <w:tbl>
      <w:tblPr>
        <w:tblW w:type="auto" w:w="0"/>
        <w:jc w:val="left"/>
        <w:tblLook w:firstColumn="1" w:firstRow="1" w:lastColumn="0" w:lastRow="0" w:noHBand="0" w:noVBand="1" w:val="04A0"/>
        <w:tblW w:w="8640" w:type="dxa"/>
      </w:tblPr>
      <w:tblGrid>
        <w:gridCol w:w="4514"/>
        <w:gridCol w:w="4514"/>
      </w:tblGrid>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Revised cashback values supersede the original SRF cashback values.</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2</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All other conditions are identical to MyBL SSL Postpaid (Section 3).</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3</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Ref ID must start with 'BLAPP'.</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4</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Service class ≥ 1000 (Postpaid only).</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5</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Recharge from MSISDN 1967021235 only.</w:t>
            </w:r>
          </w:p>
        </w:tc>
      </w:tr>
    </w:tbl>
    <w:p/>
    <w:p>
      <w:r>
        <w:br w:type="page"/>
      </w:r>
    </w:p>
    <w:p>
      <w:pPr>
        <w:jc w:val="left"/>
        <w:spacing w:before="160" w:after="80"/>
      </w:pPr>
      <w:r>
        <w:rPr>
          <w:b/>
          <w:color w:val="1F4E79"/>
          <w:sz w:val="28"/>
          <w:u w:val="single"/>
        </w:rPr>
        <w:t>Section 5: MyBL Portonics Postpaid</w:t>
      </w:r>
    </w:p>
    <w:p>
      <w:pPr>
        <w:spacing w:before="0" w:after="60"/>
      </w:pPr>
      <w:r>
        <w:rPr>
          <w:b w:val="0"/>
          <w:i w:val="0"/>
          <w:sz w:val="19"/>
        </w:rPr>
        <w:t>Postpaid subscribers (service class ≥1000) covered under Portonics partner channel. Monthly periodicity. No 'BLAPP' Ref ID requirement.</w:t>
      </w:r>
    </w:p>
    <w:p>
      <w:pPr>
        <w:jc w:val="left"/>
        <w:spacing w:before="160" w:after="80"/>
      </w:pPr>
      <w:r>
        <w:rPr>
          <w:b/>
          <w:color w:val="2E75B6"/>
          <w:sz w:val="22"/>
        </w:rPr>
        <w:t>5.1 Campaign Overview</w:t>
      </w:r>
    </w:p>
    <w:tbl>
      <w:tblPr>
        <w:tblW w:type="auto" w:w="0"/>
        <w:jc w:val="left"/>
        <w:tblLook w:firstColumn="1" w:firstRow="1" w:lastColumn="0" w:lastRow="0" w:noHBand="0" w:noVBand="1" w:val="04A0"/>
        <w:tblW w:w="8640" w:type="dxa"/>
      </w:tblPr>
      <w:tblGrid>
        <w:gridCol w:w="4514"/>
        <w:gridCol w:w="4514"/>
      </w:tblGrid>
      <w:tr>
        <w:tc>
          <w:tcPr>
            <w:tcW w:type="dxa" w:w="4514"/>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20" w:type="dxa"/>
              <w:right w:w="120" w:type="dxa"/>
            </w:tcMar>
            <w:tcW w:w="2880" w:type="dxa"/>
          </w:tcPr>
          <w:p>
            <w:pPr>
              <w:jc w:val="left"/>
              <w:spacing w:before="0" w:after="0"/>
            </w:pPr>
            <w:r>
              <w:rPr>
                <w:b/>
                <w:i w:val="0"/>
                <w:color w:val="FFFFFF"/>
                <w:sz w:val="18"/>
              </w:rPr>
              <w:t>Parameter</w:t>
            </w:r>
          </w:p>
        </w:tc>
        <w:tc>
          <w:tcPr>
            <w:tcW w:type="dxa" w:w="4514"/>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20" w:type="dxa"/>
              <w:right w:w="120" w:type="dxa"/>
            </w:tcMar>
            <w:tcW w:w="5760" w:type="dxa"/>
          </w:tcPr>
          <w:p>
            <w:pPr>
              <w:jc w:val="left"/>
              <w:spacing w:before="0" w:after="0"/>
            </w:pPr>
            <w:r>
              <w:rPr>
                <w:b/>
                <w:i w:val="0"/>
                <w:color w:val="FFFFFF"/>
                <w:sz w:val="18"/>
              </w:rPr>
              <w:t>Detail</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Campaign Type</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MyBL Portonics Postpaid</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Recipient Type</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Portonics (partner channel) — Postpaid segment</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Partner MSISDN</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1953348398</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Service Class</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All service class ≥ 1000 (Postpaid)</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Recharge App</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Only MyBL App recharge considered</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Periodicity</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Monthly (1st–end of month)</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Priority</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Standard (Regular priority)</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Ref ID Requirement</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No 'BLAPP' Ref ID requirement — any valid Portonics transaction qualifies</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Salescom to EV</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YES</w:t>
            </w:r>
          </w:p>
        </w:tc>
      </w:tr>
    </w:tbl>
    <w:p>
      <w:pPr>
        <w:spacing w:before="0" w:after="60"/>
      </w:pPr>
    </w:p>
    <w:p>
      <w:pPr>
        <w:jc w:val="left"/>
        <w:spacing w:before="160" w:after="80"/>
      </w:pPr>
      <w:r>
        <w:rPr>
          <w:b/>
          <w:color w:val="2E75B6"/>
          <w:sz w:val="22"/>
        </w:rPr>
        <w:t>5.2 Key Differentiator</w:t>
      </w:r>
    </w:p>
    <w:tbl>
      <w:tblPr>
        <w:tblW w:type="auto" w:w="0"/>
        <w:jc w:val="left"/>
        <w:tblLook w:firstColumn="1" w:firstRow="1" w:lastColumn="0" w:lastRow="0" w:noHBand="0" w:noVBand="1" w:val="04A0"/>
        <w:tblW w:w="8640" w:type="dxa"/>
      </w:tblPr>
      <w:tblGrid>
        <w:gridCol w:w="9029"/>
      </w:tblGrid>
      <w:tr>
        <w:tc>
          <w:tcPr>
            <w:tcW w:type="dxa" w:w="9029"/>
            <w:shd w:val="clear" w:color="auto" w:fill="E2EFDA"/>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640" w:type="dxa"/>
          </w:tcPr>
          <w:p>
            <w:pPr>
              <w:jc w:val="left"/>
              <w:spacing w:before="0" w:after="0"/>
            </w:pPr>
            <w:r>
              <w:rPr>
                <w:b w:val="0"/>
                <w:i/>
                <w:color w:val="595959"/>
                <w:sz w:val="18"/>
              </w:rPr>
              <w:t>DIFFERENCE FROM SSL POSTPAID (Section 3): Uses Portonics MSISDN 1953348398 and does NOT check for 'BLAPP' Ref ID prefix. Service class ≥1000 filter is the same.</w:t>
            </w:r>
          </w:p>
        </w:tc>
      </w:tr>
    </w:tbl>
    <w:p/>
    <w:p>
      <w:pPr>
        <w:jc w:val="left"/>
        <w:spacing w:before="160" w:after="80"/>
      </w:pPr>
      <w:r>
        <w:rPr>
          <w:b/>
          <w:color w:val="2E75B6"/>
          <w:sz w:val="22"/>
        </w:rPr>
        <w:t>5.3 Specific Conditions</w:t>
      </w:r>
    </w:p>
    <w:p>
      <w:pPr>
        <w:jc w:val="left"/>
        <w:spacing w:before="160" w:after="80"/>
      </w:pPr>
      <w:r>
        <w:rPr>
          <w:b/>
          <w:color w:val="1F4E79"/>
          <w:sz w:val="20"/>
        </w:rPr>
        <w:t>Conditions</w:t>
      </w:r>
    </w:p>
    <w:tbl>
      <w:tblPr>
        <w:tblW w:type="auto" w:w="0"/>
        <w:jc w:val="left"/>
        <w:tblLook w:firstColumn="1" w:firstRow="1" w:lastColumn="0" w:lastRow="0" w:noHBand="0" w:noVBand="1" w:val="04A0"/>
        <w:tblW w:w="8640" w:type="dxa"/>
      </w:tblPr>
      <w:tblGrid>
        <w:gridCol w:w="4514"/>
        <w:gridCol w:w="4514"/>
      </w:tblGrid>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I-top sales means sales to end customer, NOT lifting.</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2</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Only MyBL App recharge will be considered.</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3</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Customers can get cashback multiple times during the campaign period.</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4</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Need separate cashback commission for each retailer MSISDN.</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5</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No 'BLAPP' Ref ID requirement.</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6</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Recharge must be done from retailer EV MSISDN: 1953348398 (Portonics).</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7</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Service class must be ≥ 1000 (Postpaid customers only).</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8</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Valid recharge: EV/I-TOP only.</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9</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Product: Any connection except Data SIM (MMSTDATA) and EV SIM.</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10</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Data source: EV Platform (IT SC).</w:t>
            </w:r>
          </w:p>
        </w:tc>
      </w:tr>
    </w:tbl>
    <w:p/>
    <w:p>
      <w:r>
        <w:br w:type="page"/>
      </w:r>
    </w:p>
    <w:p>
      <w:pPr>
        <w:jc w:val="left"/>
        <w:spacing w:before="160" w:after="80"/>
      </w:pPr>
      <w:r>
        <w:rPr>
          <w:b/>
          <w:color w:val="1F4E79"/>
          <w:sz w:val="28"/>
          <w:u w:val="single"/>
        </w:rPr>
        <w:t>Section 6: MyBL Hourly Campaign (Prepaid)</w:t>
      </w:r>
    </w:p>
    <w:p>
      <w:pPr>
        <w:spacing w:before="0" w:after="60"/>
      </w:pPr>
      <w:r>
        <w:rPr>
          <w:b w:val="0"/>
          <w:i w:val="0"/>
          <w:sz w:val="19"/>
        </w:rPr>
        <w:t>Time-window specific cashback campaign. Only transactions within the specified time window on specified dates are eligible. 2nd highest priority after Segmented.</w:t>
      </w:r>
    </w:p>
    <w:p>
      <w:pPr>
        <w:jc w:val="left"/>
        <w:spacing w:before="160" w:after="80"/>
      </w:pPr>
      <w:r>
        <w:rPr>
          <w:b/>
          <w:color w:val="2E75B6"/>
          <w:sz w:val="22"/>
        </w:rPr>
        <w:t>6.1 Campaign Overview</w:t>
      </w:r>
    </w:p>
    <w:tbl>
      <w:tblPr>
        <w:tblW w:type="auto" w:w="0"/>
        <w:jc w:val="left"/>
        <w:tblLook w:firstColumn="1" w:firstRow="1" w:lastColumn="0" w:lastRow="0" w:noHBand="0" w:noVBand="1" w:val="04A0"/>
        <w:tblW w:w="8640" w:type="dxa"/>
      </w:tblPr>
      <w:tblGrid>
        <w:gridCol w:w="4514"/>
        <w:gridCol w:w="4514"/>
      </w:tblGrid>
      <w:tr>
        <w:tc>
          <w:tcPr>
            <w:tcW w:type="dxa" w:w="4514"/>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20" w:type="dxa"/>
              <w:right w:w="120" w:type="dxa"/>
            </w:tcMar>
            <w:tcW w:w="2880" w:type="dxa"/>
          </w:tcPr>
          <w:p>
            <w:pPr>
              <w:jc w:val="left"/>
              <w:spacing w:before="0" w:after="0"/>
            </w:pPr>
            <w:r>
              <w:rPr>
                <w:b/>
                <w:i w:val="0"/>
                <w:color w:val="FFFFFF"/>
                <w:sz w:val="18"/>
              </w:rPr>
              <w:t>Parameter</w:t>
            </w:r>
          </w:p>
        </w:tc>
        <w:tc>
          <w:tcPr>
            <w:tcW w:type="dxa" w:w="4514"/>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20" w:type="dxa"/>
              <w:right w:w="120" w:type="dxa"/>
            </w:tcMar>
            <w:tcW w:w="5760" w:type="dxa"/>
          </w:tcPr>
          <w:p>
            <w:pPr>
              <w:jc w:val="left"/>
              <w:spacing w:before="0" w:after="0"/>
            </w:pPr>
            <w:r>
              <w:rPr>
                <w:b/>
                <w:i w:val="0"/>
                <w:color w:val="FFFFFF"/>
                <w:sz w:val="18"/>
              </w:rPr>
              <w:t>Detail</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Campaign Type</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MyBL Hourly — Prepaid</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Recipient Type</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BL Self-channels (MyBL App)</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Partner MSISDN</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1967021235</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Service Class</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All service class below 1000 (Prepaid)</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Priority</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2nd Highest (after Segmented)</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Time Scope</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Specific time windows only (e.g., 3:00 PM–9:00 PM, 4:00 PM–9:00 PM, 5:00 PM–10:00 PM)</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Eligible Denos</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Specific denominations only (typically 548, 649 or as specified in SRF)</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Ref ID Requirement</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Ref ID must start with 'BLAPP'</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Salescom to EV</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YES</w:t>
            </w:r>
          </w:p>
        </w:tc>
      </w:tr>
    </w:tbl>
    <w:p>
      <w:pPr>
        <w:spacing w:before="0" w:after="60"/>
      </w:pPr>
    </w:p>
    <w:p>
      <w:pPr>
        <w:jc w:val="left"/>
        <w:spacing w:before="160" w:after="80"/>
      </w:pPr>
      <w:r>
        <w:rPr>
          <w:b/>
          <w:color w:val="2E75B6"/>
          <w:sz w:val="22"/>
        </w:rPr>
        <w:t>6.2 Priority Hierarchy Context</w:t>
      </w:r>
    </w:p>
    <w:tbl>
      <w:tblPr>
        <w:tblW w:type="auto" w:w="0"/>
        <w:jc w:val="left"/>
        <w:tblLook w:firstColumn="1" w:firstRow="1" w:lastColumn="0" w:lastRow="0" w:noHBand="0" w:noVBand="1" w:val="04A0"/>
        <w:tblW w:w="8640" w:type="dxa"/>
      </w:tblPr>
      <w:tblGrid>
        <w:gridCol w:w="3010"/>
        <w:gridCol w:w="3010"/>
        <w:gridCol w:w="3010"/>
      </w:tblGrid>
      <w:tr>
        <w:tc>
          <w:tcPr>
            <w:tcW w:type="dxa" w:w="3010"/>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1500" w:type="dxa"/>
          </w:tcPr>
          <w:p>
            <w:pPr>
              <w:jc w:val="center"/>
              <w:spacing w:before="0" w:after="0"/>
            </w:pPr>
            <w:r>
              <w:rPr>
                <w:b/>
                <w:i w:val="0"/>
                <w:color w:val="FFFFFF"/>
                <w:sz w:val="17"/>
              </w:rPr>
              <w:t>Priority Level</w:t>
            </w:r>
          </w:p>
        </w:tc>
        <w:tc>
          <w:tcPr>
            <w:tcW w:type="dxa" w:w="3010"/>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3000" w:type="dxa"/>
          </w:tcPr>
          <w:p>
            <w:pPr>
              <w:jc w:val="center"/>
              <w:spacing w:before="0" w:after="0"/>
            </w:pPr>
            <w:r>
              <w:rPr>
                <w:b/>
                <w:i w:val="0"/>
                <w:color w:val="FFFFFF"/>
                <w:sz w:val="17"/>
              </w:rPr>
              <w:t>Campaign Type</w:t>
            </w:r>
          </w:p>
        </w:tc>
        <w:tc>
          <w:tcPr>
            <w:tcW w:type="dxa" w:w="3010"/>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4140" w:type="dxa"/>
          </w:tcPr>
          <w:p>
            <w:pPr>
              <w:jc w:val="center"/>
              <w:spacing w:before="0" w:after="0"/>
            </w:pPr>
            <w:r>
              <w:rPr>
                <w:b/>
                <w:i w:val="0"/>
                <w:color w:val="FFFFFF"/>
                <w:sz w:val="17"/>
              </w:rPr>
              <w:t>Notes</w:t>
            </w:r>
          </w:p>
        </w:tc>
      </w:tr>
      <w:tr>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500" w:type="dxa"/>
          </w:tcPr>
          <w:p>
            <w:pPr>
              <w:jc w:val="left"/>
              <w:spacing w:before="0" w:after="0"/>
            </w:pPr>
            <w:r>
              <w:rPr>
                <w:b w:val="0"/>
                <w:i w:val="0"/>
                <w:sz w:val="17"/>
              </w:rPr>
              <w:t>1 (Highest)</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000" w:type="dxa"/>
          </w:tcPr>
          <w:p>
            <w:pPr>
              <w:jc w:val="left"/>
              <w:spacing w:before="0" w:after="0"/>
            </w:pPr>
            <w:r>
              <w:rPr>
                <w:b w:val="0"/>
                <w:i w:val="0"/>
                <w:sz w:val="17"/>
              </w:rPr>
              <w:t>Segmented</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140" w:type="dxa"/>
          </w:tcPr>
          <w:p>
            <w:pPr>
              <w:jc w:val="left"/>
              <w:spacing w:before="0" w:after="0"/>
            </w:pPr>
            <w:r>
              <w:rPr>
                <w:b w:val="0"/>
                <w:i w:val="0"/>
                <w:sz w:val="17"/>
              </w:rPr>
              <w:t>Segment/base specific, one-time or multiple cashback</w:t>
            </w:r>
          </w:p>
        </w:tc>
      </w:tr>
      <w:tr>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500" w:type="dxa"/>
          </w:tcPr>
          <w:p>
            <w:pPr>
              <w:jc w:val="left"/>
              <w:spacing w:before="0" w:after="0"/>
            </w:pPr>
            <w:r>
              <w:rPr>
                <w:b w:val="0"/>
                <w:i w:val="0"/>
                <w:sz w:val="17"/>
              </w:rPr>
              <w:t>2</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000" w:type="dxa"/>
          </w:tcPr>
          <w:p>
            <w:pPr>
              <w:jc w:val="left"/>
              <w:spacing w:before="0" w:after="0"/>
            </w:pPr>
            <w:r>
              <w:rPr>
                <w:b w:val="0"/>
                <w:i w:val="0"/>
                <w:sz w:val="17"/>
              </w:rPr>
              <w:t>Hourly</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140" w:type="dxa"/>
          </w:tcPr>
          <w:p>
            <w:pPr>
              <w:jc w:val="left"/>
              <w:spacing w:before="0" w:after="0"/>
            </w:pPr>
            <w:r>
              <w:rPr>
                <w:b w:val="0"/>
                <w:i w:val="0"/>
                <w:sz w:val="17"/>
              </w:rPr>
              <w:t>Time-window specific — this section</w:t>
            </w:r>
          </w:p>
        </w:tc>
      </w:tr>
      <w:tr>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500" w:type="dxa"/>
          </w:tcPr>
          <w:p>
            <w:pPr>
              <w:jc w:val="left"/>
              <w:spacing w:before="0" w:after="0"/>
            </w:pPr>
            <w:r>
              <w:rPr>
                <w:b w:val="0"/>
                <w:i w:val="0"/>
                <w:sz w:val="17"/>
              </w:rPr>
              <w:t>3</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000" w:type="dxa"/>
          </w:tcPr>
          <w:p>
            <w:pPr>
              <w:jc w:val="left"/>
              <w:spacing w:before="0" w:after="0"/>
            </w:pPr>
            <w:r>
              <w:rPr>
                <w:b w:val="0"/>
                <w:i w:val="0"/>
                <w:sz w:val="17"/>
              </w:rPr>
              <w:t>Special Day</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140" w:type="dxa"/>
          </w:tcPr>
          <w:p>
            <w:pPr>
              <w:jc w:val="left"/>
              <w:spacing w:before="0" w:after="0"/>
            </w:pPr>
            <w:r>
              <w:rPr>
                <w:b w:val="0"/>
                <w:i w:val="0"/>
                <w:sz w:val="17"/>
              </w:rPr>
              <w:t>Date+deno specific, multiple cashbacks allowed</w:t>
            </w:r>
          </w:p>
        </w:tc>
      </w:tr>
      <w:tr>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500" w:type="dxa"/>
          </w:tcPr>
          <w:p>
            <w:pPr>
              <w:jc w:val="left"/>
              <w:spacing w:before="0" w:after="0"/>
            </w:pPr>
            <w:r>
              <w:rPr>
                <w:b w:val="0"/>
                <w:i w:val="0"/>
                <w:sz w:val="17"/>
              </w:rPr>
              <w:t>4 (Lowest)</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000" w:type="dxa"/>
          </w:tcPr>
          <w:p>
            <w:pPr>
              <w:jc w:val="left"/>
              <w:spacing w:before="0" w:after="0"/>
            </w:pPr>
            <w:r>
              <w:rPr>
                <w:b w:val="0"/>
                <w:i w:val="0"/>
                <w:sz w:val="17"/>
              </w:rPr>
              <w:t>Regular/Standard</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140" w:type="dxa"/>
          </w:tcPr>
          <w:p>
            <w:pPr>
              <w:jc w:val="left"/>
              <w:spacing w:before="0" w:after="0"/>
            </w:pPr>
            <w:r>
              <w:rPr>
                <w:b w:val="0"/>
                <w:i w:val="0"/>
                <w:sz w:val="17"/>
              </w:rPr>
              <w:t>Bi-monthly standard cashback</w:t>
            </w:r>
          </w:p>
        </w:tc>
      </w:tr>
    </w:tbl>
    <w:p/>
    <w:p>
      <w:pPr>
        <w:jc w:val="left"/>
        <w:spacing w:before="160" w:after="80"/>
      </w:pPr>
      <w:r>
        <w:rPr>
          <w:b/>
          <w:color w:val="2E75B6"/>
          <w:sz w:val="22"/>
        </w:rPr>
        <w:t>6.3 Specific Conditions</w:t>
      </w:r>
    </w:p>
    <w:p>
      <w:pPr>
        <w:jc w:val="left"/>
        <w:spacing w:before="160" w:after="80"/>
      </w:pPr>
      <w:r>
        <w:rPr>
          <w:b/>
          <w:color w:val="1F4E79"/>
          <w:sz w:val="20"/>
        </w:rPr>
        <w:t>Conditions</w:t>
      </w:r>
    </w:p>
    <w:tbl>
      <w:tblPr>
        <w:tblW w:type="auto" w:w="0"/>
        <w:jc w:val="left"/>
        <w:tblLook w:firstColumn="1" w:firstRow="1" w:lastColumn="0" w:lastRow="0" w:noHBand="0" w:noVBand="1" w:val="04A0"/>
        <w:tblW w:w="8640" w:type="dxa"/>
      </w:tblPr>
      <w:tblGrid>
        <w:gridCol w:w="4514"/>
        <w:gridCol w:w="4514"/>
      </w:tblGrid>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I-top sales means sales to end customer, NOT lifting.</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2</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Only MyBL App recharge will be considered.</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3</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Customers can get cashback multiple times during the campaign period (within valid time windows).</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4</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Need separate cashback commission for each retailer MSISDN.</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5</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Ref ID must start with 'BLAPP'.</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6</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Recharge must be done from retailer EV MSISDN: 1967021235.</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7</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Hourly campaigns get 2nd highest priority — Segmented campaign transactions are NOT included here.</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8</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Transactions from Segmented and Hourly campaigns will not be considered when calculating commission for Regular campaigns.</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9</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Only transactions within the specified time window qualify (e.g., 3:00 PM–9:00 PM).</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10</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Only specified denominations qualify (e.g., 548, 649 BDT — as per each SRF).</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11</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Valid recharge: EV/I-TOP only.</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12</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Product: Any connection except Data SIM (MMSTDATA) and EV SIM.</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13</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Data source: EV Platform (IT SC).</w:t>
            </w:r>
          </w:p>
        </w:tc>
      </w:tr>
    </w:tbl>
    <w:p/>
    <w:p>
      <w:pPr>
        <w:jc w:val="left"/>
        <w:spacing w:before="160" w:after="80"/>
      </w:pPr>
      <w:r>
        <w:rPr>
          <w:b/>
          <w:color w:val="2E75B6"/>
          <w:sz w:val="22"/>
        </w:rPr>
        <w:t>6.4 Detail Format</w:t>
      </w:r>
    </w:p>
    <w:p>
      <w:pPr>
        <w:spacing w:before="0" w:after="60"/>
      </w:pPr>
      <w:r>
        <w:rPr>
          <w:b w:val="0"/>
          <w:i w:val="0"/>
          <w:sz w:val="19"/>
        </w:rPr>
        <w:t>Report detail format: RET_MSISDN | RECHARGE_AMOUNT | HIT | TOTAL_RECHARGE | COMMISSION_AMOUNT</w:t>
      </w:r>
    </w:p>
    <w:p>
      <w:r>
        <w:br w:type="page"/>
      </w:r>
    </w:p>
    <w:p>
      <w:pPr>
        <w:jc w:val="left"/>
        <w:spacing w:before="160" w:after="80"/>
      </w:pPr>
      <w:r>
        <w:rPr>
          <w:b/>
          <w:color w:val="1F4E79"/>
          <w:sz w:val="28"/>
          <w:u w:val="single"/>
        </w:rPr>
        <w:t>Section 7: MyBL Segmented Campaign</w:t>
      </w:r>
    </w:p>
    <w:p>
      <w:pPr>
        <w:spacing w:before="0" w:after="60"/>
      </w:pPr>
      <w:r>
        <w:rPr>
          <w:b w:val="0"/>
          <w:i w:val="0"/>
          <w:sz w:val="19"/>
        </w:rPr>
        <w:t>Highest priority campaign. Targets specific customer segments ('base') with tailored cashback. Cashback can be one-time only OR multiple times depending on campaign design.</w:t>
      </w:r>
    </w:p>
    <w:p>
      <w:pPr>
        <w:jc w:val="left"/>
        <w:spacing w:before="160" w:after="80"/>
      </w:pPr>
      <w:r>
        <w:rPr>
          <w:b/>
          <w:color w:val="2E75B6"/>
          <w:sz w:val="22"/>
        </w:rPr>
        <w:t>7.1 Campaign Overview</w:t>
      </w:r>
    </w:p>
    <w:tbl>
      <w:tblPr>
        <w:tblW w:type="auto" w:w="0"/>
        <w:jc w:val="left"/>
        <w:tblLook w:firstColumn="1" w:firstRow="1" w:lastColumn="0" w:lastRow="0" w:noHBand="0" w:noVBand="1" w:val="04A0"/>
        <w:tblW w:w="8640" w:type="dxa"/>
      </w:tblPr>
      <w:tblGrid>
        <w:gridCol w:w="4514"/>
        <w:gridCol w:w="4514"/>
      </w:tblGrid>
      <w:tr>
        <w:tc>
          <w:tcPr>
            <w:tcW w:type="dxa" w:w="4514"/>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20" w:type="dxa"/>
              <w:right w:w="120" w:type="dxa"/>
            </w:tcMar>
            <w:tcW w:w="2880" w:type="dxa"/>
          </w:tcPr>
          <w:p>
            <w:pPr>
              <w:jc w:val="left"/>
              <w:spacing w:before="0" w:after="0"/>
            </w:pPr>
            <w:r>
              <w:rPr>
                <w:b/>
                <w:i w:val="0"/>
                <w:color w:val="FFFFFF"/>
                <w:sz w:val="18"/>
              </w:rPr>
              <w:t>Parameter</w:t>
            </w:r>
          </w:p>
        </w:tc>
        <w:tc>
          <w:tcPr>
            <w:tcW w:type="dxa" w:w="4514"/>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20" w:type="dxa"/>
              <w:right w:w="120" w:type="dxa"/>
            </w:tcMar>
            <w:tcW w:w="5760" w:type="dxa"/>
          </w:tcPr>
          <w:p>
            <w:pPr>
              <w:jc w:val="left"/>
              <w:spacing w:before="0" w:after="0"/>
            </w:pPr>
            <w:r>
              <w:rPr>
                <w:b/>
                <w:i w:val="0"/>
                <w:color w:val="FFFFFF"/>
                <w:sz w:val="18"/>
              </w:rPr>
              <w:t>Detail</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Campaign Type</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MyBL Segmented — Prepaid</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Recipient Type</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BL Self-channels (MyBL App)</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Partner MSISDN</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1967021235</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Service Class</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All service class below 1000 (Prepaid)</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Priority</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Highest (Priority 1)</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Target Basis</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'Base' field — segment-specific customer list provided</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Cashback per Customer</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One-time OR multiple — varies by campaign</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Ref ID Requirement</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Ref ID must start with 'BLAPP'</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Salescom to EV</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YES</w:t>
            </w:r>
          </w:p>
        </w:tc>
      </w:tr>
    </w:tbl>
    <w:p>
      <w:pPr>
        <w:spacing w:before="0" w:after="60"/>
      </w:pPr>
    </w:p>
    <w:p>
      <w:pPr>
        <w:jc w:val="left"/>
        <w:spacing w:before="160" w:after="80"/>
      </w:pPr>
      <w:r>
        <w:rPr>
          <w:b/>
          <w:color w:val="2E75B6"/>
          <w:sz w:val="22"/>
        </w:rPr>
        <w:t>7.2 Specific Conditions</w:t>
      </w:r>
    </w:p>
    <w:p>
      <w:pPr>
        <w:jc w:val="left"/>
        <w:spacing w:before="160" w:after="80"/>
      </w:pPr>
      <w:r>
        <w:rPr>
          <w:b/>
          <w:color w:val="1F4E79"/>
          <w:sz w:val="20"/>
        </w:rPr>
        <w:t>Conditions</w:t>
      </w:r>
    </w:p>
    <w:tbl>
      <w:tblPr>
        <w:tblW w:type="auto" w:w="0"/>
        <w:jc w:val="left"/>
        <w:tblLook w:firstColumn="1" w:firstRow="1" w:lastColumn="0" w:lastRow="0" w:noHBand="0" w:noVBand="1" w:val="04A0"/>
        <w:tblW w:w="8640" w:type="dxa"/>
      </w:tblPr>
      <w:tblGrid>
        <w:gridCol w:w="4514"/>
        <w:gridCol w:w="4514"/>
      </w:tblGrid>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I-top sales means sales to end customer, NOT lifting.</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2</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Only MyBL App recharge will be considered.</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3</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Cashback eligibility is one-time per customer OR multiple times — as specified in each SRF.</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4</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Need separate cashback commission for each retailer MSISDN.</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5</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Ref ID must start with 'BLAPP'.</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6</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Recharge must be done from retailer EV MSISDN: 1967021235.</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7</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Segmented campaign transactions will NOT be counted in Hourly, Special Day, or Regular campaign calculations.</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8</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Segmented campaigns get the HIGHEST priority — if a transaction qualifies for Segmented, it is not counted elsewhere.</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9</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A 'base' (target segment list) is provided by B2C/marketing team for each Segmented campaign.</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10</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Specific denominations and cashback amounts are defined per segment in each SRF.</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11</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Valid recharge: EV/I-TOP only.</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12</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Product: Any connection except Data SIM (MMSTDATA) and EV SIM.</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13</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Data source: EV Platform (IT SC).</w:t>
            </w:r>
          </w:p>
        </w:tc>
      </w:tr>
    </w:tbl>
    <w:p/>
    <w:tbl>
      <w:tblPr>
        <w:tblW w:type="auto" w:w="0"/>
        <w:jc w:val="left"/>
        <w:tblLook w:firstColumn="1" w:firstRow="1" w:lastColumn="0" w:lastRow="0" w:noHBand="0" w:noVBand="1" w:val="04A0"/>
        <w:tblW w:w="8640" w:type="dxa"/>
      </w:tblPr>
      <w:tblGrid>
        <w:gridCol w:w="9029"/>
      </w:tblGrid>
      <w:tr>
        <w:tc>
          <w:tcPr>
            <w:tcW w:type="dxa" w:w="9029"/>
            <w:shd w:val="clear" w:color="auto" w:fill="FFF2CC"/>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640" w:type="dxa"/>
          </w:tcPr>
          <w:p>
            <w:pPr>
              <w:jc w:val="left"/>
              <w:spacing w:before="0" w:after="0"/>
            </w:pPr>
            <w:r>
              <w:rPr>
                <w:b w:val="0"/>
                <w:i/>
                <w:color w:val="595959"/>
                <w:sz w:val="18"/>
              </w:rPr>
              <w:t>IMPORTANT: Each Segmented SRF specifies whether customers get cashback one-time only or multiple times. This must be checked per SRF. The 'base' data is a customer segment list provided by the business team.</w:t>
            </w:r>
          </w:p>
        </w:tc>
      </w:tr>
    </w:tbl>
    <w:p/>
    <w:p>
      <w:r>
        <w:br w:type="page"/>
      </w:r>
    </w:p>
    <w:p>
      <w:pPr>
        <w:jc w:val="left"/>
        <w:spacing w:before="160" w:after="80"/>
      </w:pPr>
      <w:r>
        <w:rPr>
          <w:b/>
          <w:color w:val="1F4E79"/>
          <w:sz w:val="28"/>
          <w:u w:val="single"/>
        </w:rPr>
        <w:t>Section 8: MyBL SME Segmented — SSL (BL Self-Channel)</w:t>
      </w:r>
    </w:p>
    <w:p>
      <w:pPr>
        <w:spacing w:before="0" w:after="60"/>
      </w:pPr>
      <w:r>
        <w:rPr>
          <w:b w:val="0"/>
          <w:i w:val="0"/>
          <w:sz w:val="19"/>
        </w:rPr>
        <w:t>Segmented campaign targeting SME customers with SME-specific denominations. Uses BL Self-channel MSISDN 1967021235 with 'BLAPP' Ref ID requirement.</w:t>
      </w:r>
    </w:p>
    <w:p>
      <w:pPr>
        <w:jc w:val="left"/>
        <w:spacing w:before="160" w:after="80"/>
      </w:pPr>
      <w:r>
        <w:rPr>
          <w:b/>
          <w:color w:val="2E75B6"/>
          <w:sz w:val="22"/>
        </w:rPr>
        <w:t>8.1 Campaign Overview</w:t>
      </w:r>
    </w:p>
    <w:tbl>
      <w:tblPr>
        <w:tblW w:type="auto" w:w="0"/>
        <w:jc w:val="left"/>
        <w:tblLook w:firstColumn="1" w:firstRow="1" w:lastColumn="0" w:lastRow="0" w:noHBand="0" w:noVBand="1" w:val="04A0"/>
        <w:tblW w:w="8640" w:type="dxa"/>
      </w:tblPr>
      <w:tblGrid>
        <w:gridCol w:w="4514"/>
        <w:gridCol w:w="4514"/>
      </w:tblGrid>
      <w:tr>
        <w:tc>
          <w:tcPr>
            <w:tcW w:type="dxa" w:w="4514"/>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20" w:type="dxa"/>
              <w:right w:w="120" w:type="dxa"/>
            </w:tcMar>
            <w:tcW w:w="2880" w:type="dxa"/>
          </w:tcPr>
          <w:p>
            <w:pPr>
              <w:jc w:val="left"/>
              <w:spacing w:before="0" w:after="0"/>
            </w:pPr>
            <w:r>
              <w:rPr>
                <w:b/>
                <w:i w:val="0"/>
                <w:color w:val="FFFFFF"/>
                <w:sz w:val="18"/>
              </w:rPr>
              <w:t>Parameter</w:t>
            </w:r>
          </w:p>
        </w:tc>
        <w:tc>
          <w:tcPr>
            <w:tcW w:type="dxa" w:w="4514"/>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20" w:type="dxa"/>
              <w:right w:w="120" w:type="dxa"/>
            </w:tcMar>
            <w:tcW w:w="5760" w:type="dxa"/>
          </w:tcPr>
          <w:p>
            <w:pPr>
              <w:jc w:val="left"/>
              <w:spacing w:before="0" w:after="0"/>
            </w:pPr>
            <w:r>
              <w:rPr>
                <w:b/>
                <w:i w:val="0"/>
                <w:color w:val="FFFFFF"/>
                <w:sz w:val="18"/>
              </w:rPr>
              <w:t>Detail</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Campaign Type</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MyBL SME Segmented — SSL</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Recipient Type</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BL Self-channels (MyBL App) — SME segment</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Partner MSISDN</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1967021235</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Service Class</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SME service classes (specific to SME customers)</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Priority</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Segmented (Highest priority)</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Target Basis</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SME customer segment</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Ref ID Requirement</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Ref ID must start with 'BLAPP'</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Salescom to EV</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YES</w:t>
            </w:r>
          </w:p>
        </w:tc>
      </w:tr>
    </w:tbl>
    <w:p>
      <w:pPr>
        <w:spacing w:before="0" w:after="60"/>
      </w:pPr>
    </w:p>
    <w:p>
      <w:pPr>
        <w:jc w:val="left"/>
        <w:spacing w:before="160" w:after="80"/>
      </w:pPr>
      <w:r>
        <w:rPr>
          <w:b/>
          <w:color w:val="2E75B6"/>
          <w:sz w:val="22"/>
        </w:rPr>
        <w:t>8.2 SME-Specific Denominations</w:t>
      </w:r>
    </w:p>
    <w:p>
      <w:pPr>
        <w:spacing w:before="0" w:after="40"/>
      </w:pPr>
      <w:r>
        <w:rPr>
          <w:b w:val="0"/>
          <w:i w:val="0"/>
          <w:sz w:val="19"/>
        </w:rPr>
        <w:t>SME campaigns use distinct denominations tailored to SME customer recharge patterns:</w:t>
      </w:r>
    </w:p>
    <w:tbl>
      <w:tblPr>
        <w:tblW w:type="auto" w:w="0"/>
        <w:jc w:val="left"/>
        <w:tblLook w:firstColumn="1" w:firstRow="1" w:lastColumn="0" w:lastRow="0" w:noHBand="0" w:noVBand="1" w:val="04A0"/>
        <w:tblW w:w="8640" w:type="dxa"/>
      </w:tblPr>
      <w:tblGrid>
        <w:gridCol w:w="4514"/>
        <w:gridCol w:w="4514"/>
      </w:tblGrid>
      <w:tr>
        <w:tc>
          <w:tcPr>
            <w:tcW w:type="dxa" w:w="4514"/>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4320" w:type="dxa"/>
          </w:tcPr>
          <w:p>
            <w:pPr>
              <w:jc w:val="center"/>
              <w:spacing w:before="0" w:after="0"/>
            </w:pPr>
            <w:r>
              <w:rPr>
                <w:b/>
                <w:i w:val="0"/>
                <w:color w:val="FFFFFF"/>
                <w:sz w:val="17"/>
              </w:rPr>
              <w:t>SME Denominations (BDT)</w:t>
            </w:r>
          </w:p>
        </w:tc>
        <w:tc>
          <w:tcPr>
            <w:tcW w:type="dxa" w:w="4514"/>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4320" w:type="dxa"/>
          </w:tcPr>
          <w:p>
            <w:pPr>
              <w:jc w:val="center"/>
              <w:spacing w:before="0" w:after="0"/>
            </w:pPr>
            <w:r>
              <w:rPr>
                <w:b/>
                <w:i w:val="0"/>
                <w:color w:val="FFFFFF"/>
                <w:sz w:val="17"/>
              </w:rPr>
              <w:t>Notes</w:t>
            </w:r>
          </w:p>
        </w:tc>
      </w:tr>
      <w:tr>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320" w:type="dxa"/>
          </w:tcPr>
          <w:p>
            <w:pPr>
              <w:jc w:val="left"/>
              <w:spacing w:before="0" w:after="0"/>
            </w:pPr>
            <w:r>
              <w:rPr>
                <w:b w:val="0"/>
                <w:i w:val="0"/>
                <w:sz w:val="17"/>
              </w:rPr>
              <w:t>393, 517, 527, 617, 727, 827, 996</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320" w:type="dxa"/>
          </w:tcPr>
          <w:p>
            <w:pPr>
              <w:jc w:val="left"/>
              <w:spacing w:before="0" w:after="0"/>
            </w:pPr>
            <w:r>
              <w:rPr>
                <w:b w:val="0"/>
                <w:i w:val="0"/>
                <w:sz w:val="17"/>
              </w:rPr>
              <w:t>These are the typical SME denos used across SME Segmented SRFs</w:t>
            </w:r>
          </w:p>
        </w:tc>
      </w:tr>
    </w:tbl>
    <w:p/>
    <w:p>
      <w:pPr>
        <w:jc w:val="left"/>
        <w:spacing w:before="160" w:after="80"/>
      </w:pPr>
      <w:r>
        <w:rPr>
          <w:b/>
          <w:color w:val="2E75B6"/>
          <w:sz w:val="22"/>
        </w:rPr>
        <w:t>8.3 Specific Conditions</w:t>
      </w:r>
    </w:p>
    <w:p>
      <w:pPr>
        <w:jc w:val="left"/>
        <w:spacing w:before="160" w:after="80"/>
      </w:pPr>
      <w:r>
        <w:rPr>
          <w:b/>
          <w:color w:val="1F4E79"/>
          <w:sz w:val="20"/>
        </w:rPr>
        <w:t>Conditions</w:t>
      </w:r>
    </w:p>
    <w:tbl>
      <w:tblPr>
        <w:tblW w:type="auto" w:w="0"/>
        <w:jc w:val="left"/>
        <w:tblLook w:firstColumn="1" w:firstRow="1" w:lastColumn="0" w:lastRow="0" w:noHBand="0" w:noVBand="1" w:val="04A0"/>
        <w:tblW w:w="8640" w:type="dxa"/>
      </w:tblPr>
      <w:tblGrid>
        <w:gridCol w:w="4514"/>
        <w:gridCol w:w="4514"/>
      </w:tblGrid>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I-top sales means sales to end customer, NOT lifting.</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2</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Only MyBL App recharge will be considered.</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3</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Cashback eligibility: as specified per SRF (one-time or multiple).</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4</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Need separate cashback commission for each retailer MSISDN.</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5</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Ref ID must start with 'BLAPP' (SSL channel requirement).</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6</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Recharge must be done from retailer EV MSISDN: 1967021235.</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7</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SME-specific denominations apply — standard prepaid denos do not apply here.</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8</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Segmented priority rules apply: transactions not counted in other campaign types.</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9</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Valid recharge: EV/I-TOP only.</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10</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Product: Any connection except Data SIM (MMSTDATA) and EV SIM.</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11</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Data source: EV Platform (IT SC).</w:t>
            </w:r>
          </w:p>
        </w:tc>
      </w:tr>
    </w:tbl>
    <w:p/>
    <w:p>
      <w:r>
        <w:br w:type="page"/>
      </w:r>
    </w:p>
    <w:p>
      <w:pPr>
        <w:jc w:val="left"/>
        <w:spacing w:before="160" w:after="80"/>
      </w:pPr>
      <w:r>
        <w:rPr>
          <w:b/>
          <w:color w:val="1F4E79"/>
          <w:sz w:val="28"/>
          <w:u w:val="single"/>
        </w:rPr>
        <w:t>Section 9: MyBL SME Segmented — Portonics</w:t>
      </w:r>
    </w:p>
    <w:p>
      <w:pPr>
        <w:spacing w:before="0" w:after="60"/>
      </w:pPr>
      <w:r>
        <w:rPr>
          <w:b w:val="0"/>
          <w:i w:val="0"/>
          <w:sz w:val="19"/>
        </w:rPr>
        <w:t>Same SME Segmented structure as Section 8 but uses Portonics MSISDN 1953348398. No 'BLAPP' Ref ID requirement.</w:t>
      </w:r>
    </w:p>
    <w:p>
      <w:pPr>
        <w:jc w:val="left"/>
        <w:spacing w:before="160" w:after="80"/>
      </w:pPr>
      <w:r>
        <w:rPr>
          <w:b/>
          <w:color w:val="2E75B6"/>
          <w:sz w:val="22"/>
        </w:rPr>
        <w:t>9.1 Campaign Overview</w:t>
      </w:r>
    </w:p>
    <w:tbl>
      <w:tblPr>
        <w:tblW w:type="auto" w:w="0"/>
        <w:jc w:val="left"/>
        <w:tblLook w:firstColumn="1" w:firstRow="1" w:lastColumn="0" w:lastRow="0" w:noHBand="0" w:noVBand="1" w:val="04A0"/>
        <w:tblW w:w="8640" w:type="dxa"/>
      </w:tblPr>
      <w:tblGrid>
        <w:gridCol w:w="4514"/>
        <w:gridCol w:w="4514"/>
      </w:tblGrid>
      <w:tr>
        <w:tc>
          <w:tcPr>
            <w:tcW w:type="dxa" w:w="4514"/>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20" w:type="dxa"/>
              <w:right w:w="120" w:type="dxa"/>
            </w:tcMar>
            <w:tcW w:w="2880" w:type="dxa"/>
          </w:tcPr>
          <w:p>
            <w:pPr>
              <w:jc w:val="left"/>
              <w:spacing w:before="0" w:after="0"/>
            </w:pPr>
            <w:r>
              <w:rPr>
                <w:b/>
                <w:i w:val="0"/>
                <w:color w:val="FFFFFF"/>
                <w:sz w:val="18"/>
              </w:rPr>
              <w:t>Parameter</w:t>
            </w:r>
          </w:p>
        </w:tc>
        <w:tc>
          <w:tcPr>
            <w:tcW w:type="dxa" w:w="4514"/>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20" w:type="dxa"/>
              <w:right w:w="120" w:type="dxa"/>
            </w:tcMar>
            <w:tcW w:w="5760" w:type="dxa"/>
          </w:tcPr>
          <w:p>
            <w:pPr>
              <w:jc w:val="left"/>
              <w:spacing w:before="0" w:after="0"/>
            </w:pPr>
            <w:r>
              <w:rPr>
                <w:b/>
                <w:i w:val="0"/>
                <w:color w:val="FFFFFF"/>
                <w:sz w:val="18"/>
              </w:rPr>
              <w:t>Detail</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Campaign Type</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MyBL SME Segmented — Portonics</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Recipient Type</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Portonics (partner channel) — SME segment</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Partner MSISDN</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1953348398</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Service Class</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SME service classes</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Priority</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Segmented (Highest priority)</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Target Basis</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SME customer segment</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Ref ID Requirement</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No 'BLAPP' Ref ID requirement</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Salescom to EV</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YES</w:t>
            </w:r>
          </w:p>
        </w:tc>
      </w:tr>
    </w:tbl>
    <w:p>
      <w:pPr>
        <w:spacing w:before="0" w:after="60"/>
      </w:pPr>
    </w:p>
    <w:p>
      <w:pPr>
        <w:jc w:val="left"/>
        <w:spacing w:before="160" w:after="80"/>
      </w:pPr>
      <w:r>
        <w:rPr>
          <w:b/>
          <w:color w:val="2E75B6"/>
          <w:sz w:val="22"/>
        </w:rPr>
        <w:t>9.2 Key Differentiator</w:t>
      </w:r>
    </w:p>
    <w:tbl>
      <w:tblPr>
        <w:tblW w:type="auto" w:w="0"/>
        <w:jc w:val="left"/>
        <w:tblLook w:firstColumn="1" w:firstRow="1" w:lastColumn="0" w:lastRow="0" w:noHBand="0" w:noVBand="1" w:val="04A0"/>
        <w:tblW w:w="8640" w:type="dxa"/>
      </w:tblPr>
      <w:tblGrid>
        <w:gridCol w:w="9029"/>
      </w:tblGrid>
      <w:tr>
        <w:tc>
          <w:tcPr>
            <w:tcW w:type="dxa" w:w="9029"/>
            <w:shd w:val="clear" w:color="auto" w:fill="E2EFDA"/>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640" w:type="dxa"/>
          </w:tcPr>
          <w:p>
            <w:pPr>
              <w:jc w:val="left"/>
              <w:spacing w:before="0" w:after="0"/>
            </w:pPr>
            <w:r>
              <w:rPr>
                <w:b w:val="0"/>
                <w:i/>
                <w:color w:val="595959"/>
                <w:sz w:val="18"/>
              </w:rPr>
              <w:t>DIFFERENCE FROM SECTION 8: Uses Portonics MSISDN 1953348398 and does NOT require 'BLAPP' Ref ID. SME denos (393, 517, 527, 617, 727, 827, 996) and all other conditions are identical.</w:t>
            </w:r>
          </w:p>
        </w:tc>
      </w:tr>
    </w:tbl>
    <w:p/>
    <w:p>
      <w:pPr>
        <w:jc w:val="left"/>
        <w:spacing w:before="160" w:after="80"/>
      </w:pPr>
      <w:r>
        <w:rPr>
          <w:b/>
          <w:color w:val="2E75B6"/>
          <w:sz w:val="22"/>
        </w:rPr>
        <w:t>9.3 Specific Conditions</w:t>
      </w:r>
    </w:p>
    <w:p>
      <w:pPr>
        <w:jc w:val="left"/>
        <w:spacing w:before="160" w:after="80"/>
      </w:pPr>
      <w:r>
        <w:rPr>
          <w:b/>
          <w:color w:val="1F4E79"/>
          <w:sz w:val="20"/>
        </w:rPr>
        <w:t>Conditions</w:t>
      </w:r>
    </w:p>
    <w:tbl>
      <w:tblPr>
        <w:tblW w:type="auto" w:w="0"/>
        <w:jc w:val="left"/>
        <w:tblLook w:firstColumn="1" w:firstRow="1" w:lastColumn="0" w:lastRow="0" w:noHBand="0" w:noVBand="1" w:val="04A0"/>
        <w:tblW w:w="8640" w:type="dxa"/>
      </w:tblPr>
      <w:tblGrid>
        <w:gridCol w:w="4514"/>
        <w:gridCol w:w="4514"/>
      </w:tblGrid>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I-top sales means sales to end customer, NOT lifting.</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2</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Only MyBL App recharge will be considered.</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3</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Cashback eligibility: as specified per SRF (one-time or multiple).</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4</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Need separate cashback commission for each retailer MSISDN.</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5</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No 'BLAPP' Ref ID requirement — any valid Portonics transaction qualifies.</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6</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Recharge must be done from retailer EV MSISDN: 1953348398 (Portonics).</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7</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SME-specific denominations apply (393, 517, 527, 617, 727, 827, 996 BDT).</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8</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Valid recharge: EV/I-TOP only.</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9</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Product: Any connection except Data SIM (MMSTDATA) and EV SIM.</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10</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Data source: EV Platform (IT SC).</w:t>
            </w:r>
          </w:p>
        </w:tc>
      </w:tr>
    </w:tbl>
    <w:p/>
    <w:p>
      <w:r>
        <w:br w:type="page"/>
      </w:r>
    </w:p>
    <w:p>
      <w:pPr>
        <w:jc w:val="left"/>
        <w:spacing w:before="160" w:after="80"/>
      </w:pPr>
      <w:r>
        <w:rPr>
          <w:b/>
          <w:color w:val="1F4E79"/>
          <w:sz w:val="28"/>
          <w:u w:val="single"/>
        </w:rPr>
        <w:t>Section 10: MyBL Special Day Campaign — BL Self-Channel</w:t>
      </w:r>
    </w:p>
    <w:p>
      <w:pPr>
        <w:spacing w:before="0" w:after="60"/>
      </w:pPr>
      <w:r>
        <w:rPr>
          <w:b w:val="0"/>
          <w:i w:val="0"/>
          <w:sz w:val="19"/>
        </w:rPr>
        <w:t>Date and denomination-specific cashback. 3rd highest priority. Customers can get cashback multiple times. Uses BL Self-channel MSISDN 1967021235.</w:t>
      </w:r>
    </w:p>
    <w:p>
      <w:pPr>
        <w:jc w:val="left"/>
        <w:spacing w:before="160" w:after="80"/>
      </w:pPr>
      <w:r>
        <w:rPr>
          <w:b/>
          <w:color w:val="2E75B6"/>
          <w:sz w:val="22"/>
        </w:rPr>
        <w:t>10.1 Campaign Overview</w:t>
      </w:r>
    </w:p>
    <w:tbl>
      <w:tblPr>
        <w:tblW w:type="auto" w:w="0"/>
        <w:jc w:val="left"/>
        <w:tblLook w:firstColumn="1" w:firstRow="1" w:lastColumn="0" w:lastRow="0" w:noHBand="0" w:noVBand="1" w:val="04A0"/>
        <w:tblW w:w="8640" w:type="dxa"/>
      </w:tblPr>
      <w:tblGrid>
        <w:gridCol w:w="4514"/>
        <w:gridCol w:w="4514"/>
      </w:tblGrid>
      <w:tr>
        <w:tc>
          <w:tcPr>
            <w:tcW w:type="dxa" w:w="4514"/>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20" w:type="dxa"/>
              <w:right w:w="120" w:type="dxa"/>
            </w:tcMar>
            <w:tcW w:w="2880" w:type="dxa"/>
          </w:tcPr>
          <w:p>
            <w:pPr>
              <w:jc w:val="left"/>
              <w:spacing w:before="0" w:after="0"/>
            </w:pPr>
            <w:r>
              <w:rPr>
                <w:b/>
                <w:i w:val="0"/>
                <w:color w:val="FFFFFF"/>
                <w:sz w:val="18"/>
              </w:rPr>
              <w:t>Parameter</w:t>
            </w:r>
          </w:p>
        </w:tc>
        <w:tc>
          <w:tcPr>
            <w:tcW w:type="dxa" w:w="4514"/>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20" w:type="dxa"/>
              <w:right w:w="120" w:type="dxa"/>
            </w:tcMar>
            <w:tcW w:w="5760" w:type="dxa"/>
          </w:tcPr>
          <w:p>
            <w:pPr>
              <w:jc w:val="left"/>
              <w:spacing w:before="0" w:after="0"/>
            </w:pPr>
            <w:r>
              <w:rPr>
                <w:b/>
                <w:i w:val="0"/>
                <w:color w:val="FFFFFF"/>
                <w:sz w:val="18"/>
              </w:rPr>
              <w:t>Detail</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Campaign Type</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MyBL Special Day — BL Self-Channel</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Recipient Type</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BL Self-channels (MyBL App)</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Partner MSISDN</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1967021235</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Service Class</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All service class below 1000 (Prepaid)</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Priority</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3rd Highest (after Segmented and Hourly)</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Cashback per Customer</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Customers can get cashback multiple times</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Scope</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Specific dates and specific denominations only</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Ref ID Requirement</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Ref ID must start with 'BLAPP'</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Salescom to EV</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YES</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Report Shared</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Disbursement</w:t>
            </w:r>
          </w:p>
        </w:tc>
      </w:tr>
    </w:tbl>
    <w:p>
      <w:pPr>
        <w:spacing w:before="0" w:after="60"/>
      </w:pPr>
    </w:p>
    <w:p>
      <w:pPr>
        <w:jc w:val="left"/>
        <w:spacing w:before="160" w:after="80"/>
      </w:pPr>
      <w:r>
        <w:rPr>
          <w:b/>
          <w:color w:val="2E75B6"/>
          <w:sz w:val="22"/>
        </w:rPr>
        <w:t>10.2 Specific Conditions</w:t>
      </w:r>
    </w:p>
    <w:p>
      <w:pPr>
        <w:jc w:val="left"/>
        <w:spacing w:before="160" w:after="80"/>
      </w:pPr>
      <w:r>
        <w:rPr>
          <w:b/>
          <w:color w:val="1F4E79"/>
          <w:sz w:val="20"/>
        </w:rPr>
        <w:t>Conditions</w:t>
      </w:r>
    </w:p>
    <w:tbl>
      <w:tblPr>
        <w:tblW w:type="auto" w:w="0"/>
        <w:jc w:val="left"/>
        <w:tblLook w:firstColumn="1" w:firstRow="1" w:lastColumn="0" w:lastRow="0" w:noHBand="0" w:noVBand="1" w:val="04A0"/>
        <w:tblW w:w="8640" w:type="dxa"/>
      </w:tblPr>
      <w:tblGrid>
        <w:gridCol w:w="4514"/>
        <w:gridCol w:w="4514"/>
      </w:tblGrid>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I-top sales means sales to end customer, NOT lifting.</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2</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Only MyBL App recharge will be considered.</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3</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Customers can get cashback multiple times during the campaign period.</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4</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Need separate cashback commission for each retailer MSISDN.</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5</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Ref ID must start with 'BLAPP'.</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6</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Recharge must be done from retailer EV MSISDN: 1967021235.</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7</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Special Day campaigns get 3rd highest priority — Segmented and Hourly transactions are NOT considered here.</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8</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Transactions qualifying for Segmented or Hourly campaigns will not be counted in Special Day calculations.</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9</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Transactions qualifying for Special Day will not be counted in Regular campaign calculations.</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10</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Cashback applies only on specified date(s) and specified denomination(s) as per each SRF.</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11</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Valid recharge: EV/I-TOP only.</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12</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Product: Any connection except Data SIM (MMSTDATA) and EV SIM.</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13</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Data source: EV Platform (IT SC).</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14</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Maturity date: As specified in each SRF (typically start of next period).</w:t>
            </w:r>
          </w:p>
        </w:tc>
      </w:tr>
    </w:tbl>
    <w:p/>
    <w:p>
      <w:pPr>
        <w:jc w:val="left"/>
        <w:spacing w:before="160" w:after="80"/>
      </w:pPr>
      <w:r>
        <w:rPr>
          <w:b/>
          <w:color w:val="2E75B6"/>
          <w:sz w:val="22"/>
        </w:rPr>
        <w:t>10.3 Detail Format</w:t>
      </w:r>
    </w:p>
    <w:p>
      <w:pPr>
        <w:spacing w:before="0" w:after="60"/>
      </w:pPr>
      <w:r>
        <w:rPr>
          <w:b w:val="0"/>
          <w:i w:val="0"/>
          <w:sz w:val="19"/>
        </w:rPr>
        <w:t>Report detail format: RET_MSISDN | RECHARGE_AMOUNT | HIT | TOTAL_RECHARGE | COMMISSION_AMOUNT</w:t>
      </w:r>
    </w:p>
    <w:p>
      <w:r>
        <w:br w:type="page"/>
      </w:r>
    </w:p>
    <w:p>
      <w:pPr>
        <w:jc w:val="left"/>
        <w:spacing w:before="160" w:after="80"/>
      </w:pPr>
      <w:r>
        <w:rPr>
          <w:b/>
          <w:color w:val="1F4E79"/>
          <w:sz w:val="28"/>
          <w:u w:val="single"/>
        </w:rPr>
        <w:t>Section 11: MyBL Portonics Special Day Campaign</w:t>
      </w:r>
    </w:p>
    <w:p>
      <w:pPr>
        <w:spacing w:before="0" w:after="60"/>
      </w:pPr>
      <w:r>
        <w:rPr>
          <w:b w:val="0"/>
          <w:i w:val="0"/>
          <w:sz w:val="19"/>
        </w:rPr>
        <w:t>Same as Special Day (Section 10) but for Portonics channel. Uses MSISDN 1953348398. No 'BLAPP' Ref ID requirement.</w:t>
      </w:r>
    </w:p>
    <w:p>
      <w:pPr>
        <w:jc w:val="left"/>
        <w:spacing w:before="160" w:after="80"/>
      </w:pPr>
      <w:r>
        <w:rPr>
          <w:b/>
          <w:color w:val="2E75B6"/>
          <w:sz w:val="22"/>
        </w:rPr>
        <w:t>11.1 Campaign Overview</w:t>
      </w:r>
    </w:p>
    <w:tbl>
      <w:tblPr>
        <w:tblW w:type="auto" w:w="0"/>
        <w:jc w:val="left"/>
        <w:tblLook w:firstColumn="1" w:firstRow="1" w:lastColumn="0" w:lastRow="0" w:noHBand="0" w:noVBand="1" w:val="04A0"/>
        <w:tblW w:w="8640" w:type="dxa"/>
      </w:tblPr>
      <w:tblGrid>
        <w:gridCol w:w="4514"/>
        <w:gridCol w:w="4514"/>
      </w:tblGrid>
      <w:tr>
        <w:tc>
          <w:tcPr>
            <w:tcW w:type="dxa" w:w="4514"/>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20" w:type="dxa"/>
              <w:right w:w="120" w:type="dxa"/>
            </w:tcMar>
            <w:tcW w:w="2880" w:type="dxa"/>
          </w:tcPr>
          <w:p>
            <w:pPr>
              <w:jc w:val="left"/>
              <w:spacing w:before="0" w:after="0"/>
            </w:pPr>
            <w:r>
              <w:rPr>
                <w:b/>
                <w:i w:val="0"/>
                <w:color w:val="FFFFFF"/>
                <w:sz w:val="18"/>
              </w:rPr>
              <w:t>Parameter</w:t>
            </w:r>
          </w:p>
        </w:tc>
        <w:tc>
          <w:tcPr>
            <w:tcW w:type="dxa" w:w="4514"/>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20" w:type="dxa"/>
              <w:right w:w="120" w:type="dxa"/>
            </w:tcMar>
            <w:tcW w:w="5760" w:type="dxa"/>
          </w:tcPr>
          <w:p>
            <w:pPr>
              <w:jc w:val="left"/>
              <w:spacing w:before="0" w:after="0"/>
            </w:pPr>
            <w:r>
              <w:rPr>
                <w:b/>
                <w:i w:val="0"/>
                <w:color w:val="FFFFFF"/>
                <w:sz w:val="18"/>
              </w:rPr>
              <w:t>Detail</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Campaign Type</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MyBL Portonics Special Day</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Recipient Type</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Portonics (partner channel)</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Partner MSISDN</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1953348398</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Service Class</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All service class below 1000 (Prepaid)</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Priority</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3rd Highest (after Segmented and Hourly)</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Cashback per Customer</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Customers can get cashback multiple times</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Ref ID Requirement</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No 'BLAPP' Ref ID requirement</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Salescom to EV</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YES</w:t>
            </w:r>
          </w:p>
        </w:tc>
      </w:tr>
    </w:tbl>
    <w:p>
      <w:pPr>
        <w:spacing w:before="0" w:after="60"/>
      </w:pPr>
    </w:p>
    <w:p>
      <w:pPr>
        <w:jc w:val="left"/>
        <w:spacing w:before="160" w:after="80"/>
      </w:pPr>
      <w:r>
        <w:rPr>
          <w:b/>
          <w:color w:val="2E75B6"/>
          <w:sz w:val="22"/>
        </w:rPr>
        <w:t>11.2 Key Differentiator</w:t>
      </w:r>
    </w:p>
    <w:tbl>
      <w:tblPr>
        <w:tblW w:type="auto" w:w="0"/>
        <w:jc w:val="left"/>
        <w:tblLook w:firstColumn="1" w:firstRow="1" w:lastColumn="0" w:lastRow="0" w:noHBand="0" w:noVBand="1" w:val="04A0"/>
        <w:tblW w:w="8640" w:type="dxa"/>
      </w:tblPr>
      <w:tblGrid>
        <w:gridCol w:w="9029"/>
      </w:tblGrid>
      <w:tr>
        <w:tc>
          <w:tcPr>
            <w:tcW w:type="dxa" w:w="9029"/>
            <w:shd w:val="clear" w:color="auto" w:fill="E2EFDA"/>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640" w:type="dxa"/>
          </w:tcPr>
          <w:p>
            <w:pPr>
              <w:jc w:val="left"/>
              <w:spacing w:before="0" w:after="0"/>
            </w:pPr>
            <w:r>
              <w:rPr>
                <w:b w:val="0"/>
                <w:i/>
                <w:color w:val="595959"/>
                <w:sz w:val="18"/>
              </w:rPr>
              <w:t>DIFFERENCE FROM SECTION 10: Uses Portonics MSISDN 1953348398 and does NOT require 'BLAPP' Ref ID. Priority rules, deno+date specificity, multi-cashback allowance, and all other conditions are identical to Section 10.</w:t>
            </w:r>
          </w:p>
        </w:tc>
      </w:tr>
    </w:tbl>
    <w:p/>
    <w:p>
      <w:pPr>
        <w:jc w:val="left"/>
        <w:spacing w:before="160" w:after="80"/>
      </w:pPr>
      <w:r>
        <w:rPr>
          <w:b/>
          <w:color w:val="2E75B6"/>
          <w:sz w:val="22"/>
        </w:rPr>
        <w:t>11.3 Specific Conditions</w:t>
      </w:r>
    </w:p>
    <w:p>
      <w:pPr>
        <w:jc w:val="left"/>
        <w:spacing w:before="160" w:after="80"/>
      </w:pPr>
      <w:r>
        <w:rPr>
          <w:b/>
          <w:color w:val="1F4E79"/>
          <w:sz w:val="20"/>
        </w:rPr>
        <w:t>Conditions</w:t>
      </w:r>
    </w:p>
    <w:tbl>
      <w:tblPr>
        <w:tblW w:type="auto" w:w="0"/>
        <w:jc w:val="left"/>
        <w:tblLook w:firstColumn="1" w:firstRow="1" w:lastColumn="0" w:lastRow="0" w:noHBand="0" w:noVBand="1" w:val="04A0"/>
        <w:tblW w:w="8640" w:type="dxa"/>
      </w:tblPr>
      <w:tblGrid>
        <w:gridCol w:w="4514"/>
        <w:gridCol w:w="4514"/>
      </w:tblGrid>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I-top sales means sales to end customer, NOT lifting.</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2</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Only MyBL App recharge will be considered.</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3</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Customers can get cashback multiple times during the campaign period.</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4</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Need separate cashback commission for each retailer MSISDN.</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5</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No 'BLAPP' Ref ID requirement — any valid Portonics transaction qualifies.</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6</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Recharge must be done from retailer EV MSISDN: 1953348398 (Portonics).</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7</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3rd highest priority — Segmented and Hourly transactions are NOT considered here.</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8</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Cashback applies only on specified date(s) and denomination(s) per SRF.</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9</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Valid recharge: EV/I-TOP only.</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10</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Product: Any connection except Data SIM (MMSTDATA) and EV SIM.</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11</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Data source: EV Platform (IT SC).</w:t>
            </w:r>
          </w:p>
        </w:tc>
      </w:tr>
    </w:tbl>
    <w:p/>
    <w:p>
      <w:r>
        <w:br w:type="page"/>
      </w:r>
    </w:p>
    <w:p>
      <w:pPr>
        <w:jc w:val="left"/>
        <w:spacing w:before="160" w:after="80"/>
      </w:pPr>
      <w:r>
        <w:rPr>
          <w:b/>
          <w:color w:val="1F4E79"/>
          <w:sz w:val="28"/>
          <w:u w:val="single"/>
        </w:rPr>
        <w:t>Section 12: Distributor BL Power Operation Commission</w:t>
      </w:r>
    </w:p>
    <w:p>
      <w:pPr>
        <w:spacing w:before="0" w:after="60"/>
      </w:pPr>
      <w:r>
        <w:rPr>
          <w:b w:val="0"/>
          <w:i w:val="0"/>
          <w:sz w:val="19"/>
        </w:rPr>
        <w:t>Entirely different platform and commission model. Uses BL Power platform (not EV Platform). Provides per-denomination-hit fixed BDT commission with both AIT-excluded and AIT-included amounts. Date and time-window specific slots.</w:t>
      </w:r>
    </w:p>
    <w:p>
      <w:pPr>
        <w:jc w:val="left"/>
        <w:spacing w:before="160" w:after="80"/>
      </w:pPr>
      <w:r>
        <w:rPr>
          <w:b/>
          <w:color w:val="2E75B6"/>
          <w:sz w:val="22"/>
        </w:rPr>
        <w:t>12.1 Campaign Overview</w:t>
      </w:r>
    </w:p>
    <w:tbl>
      <w:tblPr>
        <w:tblW w:type="auto" w:w="0"/>
        <w:jc w:val="left"/>
        <w:tblLook w:firstColumn="1" w:firstRow="1" w:lastColumn="0" w:lastRow="0" w:noHBand="0" w:noVBand="1" w:val="04A0"/>
        <w:tblW w:w="8640" w:type="dxa"/>
      </w:tblPr>
      <w:tblGrid>
        <w:gridCol w:w="4514"/>
        <w:gridCol w:w="4514"/>
      </w:tblGrid>
      <w:tr>
        <w:tc>
          <w:tcPr>
            <w:tcW w:type="dxa" w:w="4514"/>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20" w:type="dxa"/>
              <w:right w:w="120" w:type="dxa"/>
            </w:tcMar>
            <w:tcW w:w="2880" w:type="dxa"/>
          </w:tcPr>
          <w:p>
            <w:pPr>
              <w:jc w:val="left"/>
              <w:spacing w:before="0" w:after="0"/>
            </w:pPr>
            <w:r>
              <w:rPr>
                <w:b/>
                <w:i w:val="0"/>
                <w:color w:val="FFFFFF"/>
                <w:sz w:val="18"/>
              </w:rPr>
              <w:t>Parameter</w:t>
            </w:r>
          </w:p>
        </w:tc>
        <w:tc>
          <w:tcPr>
            <w:tcW w:type="dxa" w:w="4514"/>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20" w:type="dxa"/>
              <w:right w:w="120" w:type="dxa"/>
            </w:tcMar>
            <w:tcW w:w="5760" w:type="dxa"/>
          </w:tcPr>
          <w:p>
            <w:pPr>
              <w:jc w:val="left"/>
              <w:spacing w:before="0" w:after="0"/>
            </w:pPr>
            <w:r>
              <w:rPr>
                <w:b/>
                <w:i w:val="0"/>
                <w:color w:val="FFFFFF"/>
                <w:sz w:val="18"/>
              </w:rPr>
              <w:t>Detail</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Campaign Type</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Distributor Commission — BL Power Operation</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Recipient Type</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Digital Distributor (BL POWER)</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Platform</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BL Power (NOT EV Platform)</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Product Type</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Prepaid + Postpaid</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Periodicity</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Ad-hoc (monthly campaign, e.g., December 2025)</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Commission Model</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Per-hit fixed BDT commission per denomination per date/time slot</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AIT Reporting</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Both AIT-Excluded and AIT-Included amounts provided per row</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Scope</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All existing BL Power retailers included</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Transaction Type</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RECHARGE transactions only</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Report Shared</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Disbursement &amp; Provision</w:t>
            </w:r>
          </w:p>
        </w:tc>
      </w:tr>
    </w:tbl>
    <w:p>
      <w:pPr>
        <w:spacing w:before="0" w:after="60"/>
      </w:pPr>
    </w:p>
    <w:p>
      <w:pPr>
        <w:jc w:val="left"/>
        <w:spacing w:before="160" w:after="80"/>
      </w:pPr>
      <w:r>
        <w:rPr>
          <w:b/>
          <w:color w:val="2E75B6"/>
          <w:sz w:val="22"/>
        </w:rPr>
        <w:t>12.2 Commission Structure</w:t>
      </w:r>
    </w:p>
    <w:p>
      <w:pPr>
        <w:spacing w:before="0" w:after="60"/>
      </w:pPr>
      <w:r>
        <w:rPr>
          <w:b w:val="0"/>
          <w:i w:val="0"/>
          <w:sz w:val="19"/>
        </w:rPr>
        <w:t>Commission is a fixed BDT amount per successful hit (transaction) for each denomination within a specific date and time slot. Multiple time slots may exist within the same date (e.g., premium rate 5 PM–7 PM and standard rate 7 PM–midnight).</w:t>
      </w:r>
    </w:p>
    <w:tbl>
      <w:tblPr>
        <w:tblW w:type="auto" w:w="0"/>
        <w:jc w:val="left"/>
        <w:tblLook w:firstColumn="1" w:firstRow="1" w:lastColumn="0" w:lastRow="0" w:noHBand="0" w:noVBand="1" w:val="04A0"/>
        <w:tblW w:w="8840" w:type="dxa"/>
      </w:tblPr>
      <w:tblGrid>
        <w:gridCol w:w="1505"/>
        <w:gridCol w:w="1505"/>
        <w:gridCol w:w="1505"/>
        <w:gridCol w:w="1505"/>
        <w:gridCol w:w="1505"/>
        <w:gridCol w:w="1505"/>
      </w:tblGrid>
      <w:tr>
        <w:tc>
          <w:tcPr>
            <w:tcW w:type="dxa" w:w="1505"/>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1200" w:type="dxa"/>
          </w:tcPr>
          <w:p>
            <w:pPr>
              <w:jc w:val="center"/>
              <w:spacing w:before="0" w:after="0"/>
            </w:pPr>
            <w:r>
              <w:rPr>
                <w:b/>
                <w:i w:val="0"/>
                <w:color w:val="FFFFFF"/>
                <w:sz w:val="17"/>
              </w:rPr>
              <w:t>Date</w:t>
            </w:r>
          </w:p>
        </w:tc>
        <w:tc>
          <w:tcPr>
            <w:tcW w:type="dxa" w:w="1505"/>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1100" w:type="dxa"/>
          </w:tcPr>
          <w:p>
            <w:pPr>
              <w:jc w:val="center"/>
              <w:spacing w:before="0" w:after="0"/>
            </w:pPr>
            <w:r>
              <w:rPr>
                <w:b/>
                <w:i w:val="0"/>
                <w:color w:val="FFFFFF"/>
                <w:sz w:val="17"/>
              </w:rPr>
              <w:t>Start Time</w:t>
            </w:r>
          </w:p>
        </w:tc>
        <w:tc>
          <w:tcPr>
            <w:tcW w:type="dxa" w:w="1505"/>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1100" w:type="dxa"/>
          </w:tcPr>
          <w:p>
            <w:pPr>
              <w:jc w:val="center"/>
              <w:spacing w:before="0" w:after="0"/>
            </w:pPr>
            <w:r>
              <w:rPr>
                <w:b/>
                <w:i w:val="0"/>
                <w:color w:val="FFFFFF"/>
                <w:sz w:val="17"/>
              </w:rPr>
              <w:t>End Time</w:t>
            </w:r>
          </w:p>
        </w:tc>
        <w:tc>
          <w:tcPr>
            <w:tcW w:type="dxa" w:w="1505"/>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1200" w:type="dxa"/>
          </w:tcPr>
          <w:p>
            <w:pPr>
              <w:jc w:val="center"/>
              <w:spacing w:before="0" w:after="0"/>
            </w:pPr>
            <w:r>
              <w:rPr>
                <w:b/>
                <w:i w:val="0"/>
                <w:color w:val="FFFFFF"/>
                <w:sz w:val="17"/>
              </w:rPr>
              <w:t>Deno (BDT)</w:t>
            </w:r>
          </w:p>
        </w:tc>
        <w:tc>
          <w:tcPr>
            <w:tcW w:type="dxa" w:w="1505"/>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2120" w:type="dxa"/>
          </w:tcPr>
          <w:p>
            <w:pPr>
              <w:jc w:val="center"/>
              <w:spacing w:before="0" w:after="0"/>
            </w:pPr>
            <w:r>
              <w:rPr>
                <w:b/>
                <w:i w:val="0"/>
                <w:color w:val="FFFFFF"/>
                <w:sz w:val="17"/>
              </w:rPr>
              <w:t>AIT-Excl. Commission (BDT)</w:t>
            </w:r>
          </w:p>
        </w:tc>
        <w:tc>
          <w:tcPr>
            <w:tcW w:type="dxa" w:w="1505"/>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2120" w:type="dxa"/>
          </w:tcPr>
          <w:p>
            <w:pPr>
              <w:jc w:val="center"/>
              <w:spacing w:before="0" w:after="0"/>
            </w:pPr>
            <w:r>
              <w:rPr>
                <w:b/>
                <w:i w:val="0"/>
                <w:color w:val="FFFFFF"/>
                <w:sz w:val="17"/>
              </w:rPr>
              <w:t>AIT-Incl. Commission (BDT)</w:t>
            </w:r>
          </w:p>
        </w:tc>
      </w:tr>
      <w:tr>
        <w:tc>
          <w:tcPr>
            <w:tcW w:type="dxa" w:w="1505"/>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200" w:type="dxa"/>
          </w:tcPr>
          <w:p>
            <w:pPr>
              <w:jc w:val="left"/>
              <w:spacing w:before="0" w:after="0"/>
            </w:pPr>
            <w:r>
              <w:rPr>
                <w:b w:val="0"/>
                <w:i w:val="0"/>
                <w:sz w:val="17"/>
              </w:rPr>
              <w:t>[Date]</w:t>
            </w:r>
          </w:p>
        </w:tc>
        <w:tc>
          <w:tcPr>
            <w:tcW w:type="dxa" w:w="1505"/>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100" w:type="dxa"/>
          </w:tcPr>
          <w:p>
            <w:pPr>
              <w:jc w:val="left"/>
              <w:spacing w:before="0" w:after="0"/>
            </w:pPr>
            <w:r>
              <w:rPr>
                <w:b w:val="0"/>
                <w:i w:val="0"/>
                <w:sz w:val="17"/>
              </w:rPr>
              <w:t>[Start]</w:t>
            </w:r>
          </w:p>
        </w:tc>
        <w:tc>
          <w:tcPr>
            <w:tcW w:type="dxa" w:w="1505"/>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100" w:type="dxa"/>
          </w:tcPr>
          <w:p>
            <w:pPr>
              <w:jc w:val="left"/>
              <w:spacing w:before="0" w:after="0"/>
            </w:pPr>
            <w:r>
              <w:rPr>
                <w:b w:val="0"/>
                <w:i w:val="0"/>
                <w:sz w:val="17"/>
              </w:rPr>
              <w:t>[End]</w:t>
            </w:r>
          </w:p>
        </w:tc>
        <w:tc>
          <w:tcPr>
            <w:tcW w:type="dxa" w:w="1505"/>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200" w:type="dxa"/>
          </w:tcPr>
          <w:p>
            <w:pPr>
              <w:jc w:val="left"/>
              <w:spacing w:before="0" w:after="0"/>
            </w:pPr>
            <w:r>
              <w:rPr>
                <w:b w:val="0"/>
                <w:i w:val="0"/>
                <w:sz w:val="17"/>
              </w:rPr>
              <w:t>[Deno]</w:t>
            </w:r>
          </w:p>
        </w:tc>
        <w:tc>
          <w:tcPr>
            <w:tcW w:type="dxa" w:w="1505"/>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120" w:type="dxa"/>
          </w:tcPr>
          <w:p>
            <w:pPr>
              <w:jc w:val="left"/>
              <w:spacing w:before="0" w:after="0"/>
            </w:pPr>
            <w:r>
              <w:rPr>
                <w:b w:val="0"/>
                <w:i w:val="0"/>
                <w:sz w:val="17"/>
              </w:rPr>
              <w:t>[AIT-Excl. Amount]</w:t>
            </w:r>
          </w:p>
        </w:tc>
        <w:tc>
          <w:tcPr>
            <w:tcW w:type="dxa" w:w="1505"/>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120" w:type="dxa"/>
          </w:tcPr>
          <w:p>
            <w:pPr>
              <w:jc w:val="left"/>
              <w:spacing w:before="0" w:after="0"/>
            </w:pPr>
            <w:r>
              <w:rPr>
                <w:b w:val="0"/>
                <w:i w:val="0"/>
                <w:sz w:val="17"/>
              </w:rPr>
              <w:t>[AIT-Incl. Amount]</w:t>
            </w:r>
          </w:p>
        </w:tc>
      </w:tr>
      <w:tr>
        <w:tc>
          <w:tcPr>
            <w:tcW w:type="dxa" w:w="1505"/>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200" w:type="dxa"/>
          </w:tcPr>
          <w:p>
            <w:pPr>
              <w:jc w:val="left"/>
              <w:spacing w:before="0" w:after="0"/>
            </w:pPr>
            <w:r>
              <w:rPr>
                <w:b w:val="0"/>
                <w:i w:val="0"/>
                <w:sz w:val="17"/>
              </w:rPr>
              <w:t>(Multiple rows per date for each deno+time slot combination)</w:t>
            </w:r>
          </w:p>
        </w:tc>
        <w:tc>
          <w:tcPr>
            <w:tcW w:type="dxa" w:w="1505"/>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100" w:type="dxa"/>
          </w:tcPr>
          <w:p>
            <w:pPr>
              <w:jc w:val="left"/>
              <w:spacing w:before="0" w:after="0"/>
            </w:pPr>
            <w:r>
              <w:rPr>
                <w:b w:val="0"/>
                <w:i w:val="0"/>
                <w:sz w:val="17"/>
              </w:rPr>
            </w:r>
          </w:p>
        </w:tc>
        <w:tc>
          <w:tcPr>
            <w:tcW w:type="dxa" w:w="1505"/>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100" w:type="dxa"/>
          </w:tcPr>
          <w:p>
            <w:pPr>
              <w:jc w:val="left"/>
              <w:spacing w:before="0" w:after="0"/>
            </w:pPr>
            <w:r>
              <w:rPr>
                <w:b w:val="0"/>
                <w:i w:val="0"/>
                <w:sz w:val="17"/>
              </w:rPr>
            </w:r>
          </w:p>
        </w:tc>
        <w:tc>
          <w:tcPr>
            <w:tcW w:type="dxa" w:w="1505"/>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200" w:type="dxa"/>
          </w:tcPr>
          <w:p>
            <w:pPr>
              <w:jc w:val="left"/>
              <w:spacing w:before="0" w:after="0"/>
            </w:pPr>
            <w:r>
              <w:rPr>
                <w:b w:val="0"/>
                <w:i w:val="0"/>
                <w:sz w:val="17"/>
              </w:rPr>
            </w:r>
          </w:p>
        </w:tc>
        <w:tc>
          <w:tcPr>
            <w:tcW w:type="dxa" w:w="1505"/>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120" w:type="dxa"/>
          </w:tcPr>
          <w:p>
            <w:pPr>
              <w:jc w:val="left"/>
              <w:spacing w:before="0" w:after="0"/>
            </w:pPr>
            <w:r>
              <w:rPr>
                <w:b w:val="0"/>
                <w:i w:val="0"/>
                <w:sz w:val="17"/>
              </w:rPr>
            </w:r>
          </w:p>
        </w:tc>
        <w:tc>
          <w:tcPr>
            <w:tcW w:type="dxa" w:w="1505"/>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120" w:type="dxa"/>
          </w:tcPr>
          <w:p>
            <w:pPr>
              <w:jc w:val="left"/>
              <w:spacing w:before="0" w:after="0"/>
            </w:pPr>
            <w:r>
              <w:rPr>
                <w:b w:val="0"/>
                <w:i w:val="0"/>
                <w:sz w:val="17"/>
              </w:rPr>
            </w:r>
          </w:p>
        </w:tc>
      </w:tr>
    </w:tbl>
    <w:p/>
    <w:p>
      <w:pPr>
        <w:jc w:val="left"/>
        <w:spacing w:before="160" w:after="80"/>
      </w:pPr>
      <w:r>
        <w:rPr>
          <w:b/>
          <w:color w:val="2E75B6"/>
          <w:sz w:val="22"/>
        </w:rPr>
        <w:t>12.3 Specific Conditions</w:t>
      </w:r>
    </w:p>
    <w:p>
      <w:pPr>
        <w:jc w:val="left"/>
        <w:spacing w:before="160" w:after="80"/>
      </w:pPr>
      <w:r>
        <w:rPr>
          <w:b/>
          <w:color w:val="1F4E79"/>
          <w:sz w:val="20"/>
        </w:rPr>
        <w:t>Conditions</w:t>
      </w:r>
    </w:p>
    <w:tbl>
      <w:tblPr>
        <w:tblW w:type="auto" w:w="0"/>
        <w:jc w:val="left"/>
        <w:tblLook w:firstColumn="1" w:firstRow="1" w:lastColumn="0" w:lastRow="0" w:noHBand="0" w:noVBand="1" w:val="04A0"/>
        <w:tblW w:w="8640" w:type="dxa"/>
      </w:tblPr>
      <w:tblGrid>
        <w:gridCol w:w="4514"/>
        <w:gridCol w:w="4514"/>
      </w:tblGrid>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Data source: BL Power platform (NOT EV Platform — completely different from all other MyBL campaigns).</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2</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Transaction type: RECHARGE only.</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3</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All existing BL Power retailers are included — no exclusions.</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4</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Commission is fixed BDT per hit (per successful transaction), not percentage-based.</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5</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Both AIT-excluded (gross) and AIT-included (net) commission amounts are published for each deno+date+time slot.</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6</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Multiple time-window slots can exist within the same date (e.g., premium slot 5 PM–7 PM and base slot 7 PM–midnight).</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7</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Both Prepaid and Postpaid transactions are included.</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8</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Recipient: Digital Distributor — BL POWER (not retailers or RSOs).</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9</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Report periodicity: End of campaign / Ad-hoc.</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10</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Maturity date: End of campaign period.</w:t>
            </w:r>
          </w:p>
        </w:tc>
      </w:tr>
    </w:tbl>
    <w:p/>
    <w:p>
      <w:pPr>
        <w:jc w:val="left"/>
        <w:spacing w:before="160" w:after="80"/>
      </w:pPr>
      <w:r>
        <w:rPr>
          <w:b/>
          <w:color w:val="2E75B6"/>
          <w:sz w:val="22"/>
        </w:rPr>
        <w:t>12.4 Key Differences from All Other MyBL Campaigns</w:t>
      </w:r>
    </w:p>
    <w:tbl>
      <w:tblPr>
        <w:tblW w:type="auto" w:w="0"/>
        <w:jc w:val="left"/>
        <w:tblLook w:firstColumn="1" w:firstRow="1" w:lastColumn="0" w:lastRow="0" w:noHBand="0" w:noVBand="1" w:val="04A0"/>
        <w:tblW w:w="8640" w:type="dxa"/>
      </w:tblPr>
      <w:tblGrid>
        <w:gridCol w:w="3010"/>
        <w:gridCol w:w="3010"/>
        <w:gridCol w:w="3010"/>
      </w:tblGrid>
      <w:tr>
        <w:tc>
          <w:tcPr>
            <w:tcW w:type="dxa" w:w="3010"/>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2000" w:type="dxa"/>
          </w:tcPr>
          <w:p>
            <w:pPr>
              <w:jc w:val="center"/>
              <w:spacing w:before="0" w:after="0"/>
            </w:pPr>
            <w:r>
              <w:rPr>
                <w:b/>
                <w:i w:val="0"/>
                <w:color w:val="FFFFFF"/>
                <w:sz w:val="17"/>
              </w:rPr>
              <w:t>Attribute</w:t>
            </w:r>
          </w:p>
        </w:tc>
        <w:tc>
          <w:tcPr>
            <w:tcW w:type="dxa" w:w="3010"/>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3320" w:type="dxa"/>
          </w:tcPr>
          <w:p>
            <w:pPr>
              <w:jc w:val="center"/>
              <w:spacing w:before="0" w:after="0"/>
            </w:pPr>
            <w:r>
              <w:rPr>
                <w:b/>
                <w:i w:val="0"/>
                <w:color w:val="FFFFFF"/>
                <w:sz w:val="17"/>
              </w:rPr>
              <w:t>All Other MyBL Campaigns</w:t>
            </w:r>
          </w:p>
        </w:tc>
        <w:tc>
          <w:tcPr>
            <w:tcW w:type="dxa" w:w="3010"/>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3320" w:type="dxa"/>
          </w:tcPr>
          <w:p>
            <w:pPr>
              <w:jc w:val="center"/>
              <w:spacing w:before="0" w:after="0"/>
            </w:pPr>
            <w:r>
              <w:rPr>
                <w:b/>
                <w:i w:val="0"/>
                <w:color w:val="FFFFFF"/>
                <w:sz w:val="17"/>
              </w:rPr>
              <w:t>BL Power Operation</w:t>
            </w:r>
          </w:p>
        </w:tc>
      </w:tr>
      <w:tr>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00" w:type="dxa"/>
          </w:tcPr>
          <w:p>
            <w:pPr>
              <w:jc w:val="left"/>
              <w:spacing w:before="0" w:after="0"/>
            </w:pPr>
            <w:r>
              <w:rPr>
                <w:b w:val="0"/>
                <w:i w:val="0"/>
                <w:sz w:val="17"/>
              </w:rPr>
              <w:t>Platform</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320" w:type="dxa"/>
          </w:tcPr>
          <w:p>
            <w:pPr>
              <w:jc w:val="left"/>
              <w:spacing w:before="0" w:after="0"/>
            </w:pPr>
            <w:r>
              <w:rPr>
                <w:b w:val="0"/>
                <w:i w:val="0"/>
                <w:sz w:val="17"/>
              </w:rPr>
              <w:t>EV Platform (IT SC)</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320" w:type="dxa"/>
          </w:tcPr>
          <w:p>
            <w:pPr>
              <w:jc w:val="left"/>
              <w:spacing w:before="0" w:after="0"/>
            </w:pPr>
            <w:r>
              <w:rPr>
                <w:b w:val="0"/>
                <w:i w:val="0"/>
                <w:sz w:val="17"/>
              </w:rPr>
              <w:t>BL Power platform</w:t>
            </w:r>
          </w:p>
        </w:tc>
      </w:tr>
      <w:tr>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00" w:type="dxa"/>
          </w:tcPr>
          <w:p>
            <w:pPr>
              <w:jc w:val="left"/>
              <w:spacing w:before="0" w:after="0"/>
            </w:pPr>
            <w:r>
              <w:rPr>
                <w:b w:val="0"/>
                <w:i w:val="0"/>
                <w:sz w:val="17"/>
              </w:rPr>
              <w:t>Commission Model</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320" w:type="dxa"/>
          </w:tcPr>
          <w:p>
            <w:pPr>
              <w:jc w:val="left"/>
              <w:spacing w:before="0" w:after="0"/>
            </w:pPr>
            <w:r>
              <w:rPr>
                <w:b w:val="0"/>
                <w:i w:val="0"/>
                <w:sz w:val="17"/>
              </w:rPr>
              <w:t>Cashback % per subscriber deno</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320" w:type="dxa"/>
          </w:tcPr>
          <w:p>
            <w:pPr>
              <w:jc w:val="left"/>
              <w:spacing w:before="0" w:after="0"/>
            </w:pPr>
            <w:r>
              <w:rPr>
                <w:b w:val="0"/>
                <w:i w:val="0"/>
                <w:sz w:val="17"/>
              </w:rPr>
              <w:t>Fixed BDT per retailer hit</w:t>
            </w:r>
          </w:p>
        </w:tc>
      </w:tr>
      <w:tr>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00" w:type="dxa"/>
          </w:tcPr>
          <w:p>
            <w:pPr>
              <w:jc w:val="left"/>
              <w:spacing w:before="0" w:after="0"/>
            </w:pPr>
            <w:r>
              <w:rPr>
                <w:b w:val="0"/>
                <w:i w:val="0"/>
                <w:sz w:val="17"/>
              </w:rPr>
              <w:t>AIT</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320" w:type="dxa"/>
          </w:tcPr>
          <w:p>
            <w:pPr>
              <w:jc w:val="left"/>
              <w:spacing w:before="0" w:after="0"/>
            </w:pPr>
            <w:r>
              <w:rPr>
                <w:b w:val="0"/>
                <w:i w:val="0"/>
                <w:sz w:val="17"/>
              </w:rPr>
              <w:t>Not separately reported</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320" w:type="dxa"/>
          </w:tcPr>
          <w:p>
            <w:pPr>
              <w:jc w:val="left"/>
              <w:spacing w:before="0" w:after="0"/>
            </w:pPr>
            <w:r>
              <w:rPr>
                <w:b w:val="0"/>
                <w:i w:val="0"/>
                <w:sz w:val="17"/>
              </w:rPr>
              <w:t>Both AIT-excl. and AIT-incl. shown</w:t>
            </w:r>
          </w:p>
        </w:tc>
      </w:tr>
      <w:tr>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00" w:type="dxa"/>
          </w:tcPr>
          <w:p>
            <w:pPr>
              <w:jc w:val="left"/>
              <w:spacing w:before="0" w:after="0"/>
            </w:pPr>
            <w:r>
              <w:rPr>
                <w:b w:val="0"/>
                <w:i w:val="0"/>
                <w:sz w:val="17"/>
              </w:rPr>
              <w:t>Recipient</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320" w:type="dxa"/>
          </w:tcPr>
          <w:p>
            <w:pPr>
              <w:jc w:val="left"/>
              <w:spacing w:before="0" w:after="0"/>
            </w:pPr>
            <w:r>
              <w:rPr>
                <w:b w:val="0"/>
                <w:i w:val="0"/>
                <w:sz w:val="17"/>
              </w:rPr>
              <w:t>BL Self-channel / Portonics</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320" w:type="dxa"/>
          </w:tcPr>
          <w:p>
            <w:pPr>
              <w:jc w:val="left"/>
              <w:spacing w:before="0" w:after="0"/>
            </w:pPr>
            <w:r>
              <w:rPr>
                <w:b w:val="0"/>
                <w:i w:val="0"/>
                <w:sz w:val="17"/>
              </w:rPr>
              <w:t>Digital Distributor — BL POWER</w:t>
            </w:r>
          </w:p>
        </w:tc>
      </w:tr>
      <w:tr>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00" w:type="dxa"/>
          </w:tcPr>
          <w:p>
            <w:pPr>
              <w:jc w:val="left"/>
              <w:spacing w:before="0" w:after="0"/>
            </w:pPr>
            <w:r>
              <w:rPr>
                <w:b w:val="0"/>
                <w:i w:val="0"/>
                <w:sz w:val="17"/>
              </w:rPr>
              <w:t>Time Windows</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320" w:type="dxa"/>
          </w:tcPr>
          <w:p>
            <w:pPr>
              <w:jc w:val="left"/>
              <w:spacing w:before="0" w:after="0"/>
            </w:pPr>
            <w:r>
              <w:rPr>
                <w:b w:val="0"/>
                <w:i w:val="0"/>
                <w:sz w:val="17"/>
              </w:rPr>
              <w:t>Not applicable (except Hourly)</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320" w:type="dxa"/>
          </w:tcPr>
          <w:p>
            <w:pPr>
              <w:jc w:val="left"/>
              <w:spacing w:before="0" w:after="0"/>
            </w:pPr>
            <w:r>
              <w:rPr>
                <w:b w:val="0"/>
                <w:i w:val="0"/>
                <w:sz w:val="17"/>
              </w:rPr>
              <w:t>Date + Time slot specific</w:t>
            </w:r>
          </w:p>
        </w:tc>
      </w:tr>
      <w:tr>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00" w:type="dxa"/>
          </w:tcPr>
          <w:p>
            <w:pPr>
              <w:jc w:val="left"/>
              <w:spacing w:before="0" w:after="0"/>
            </w:pPr>
            <w:r>
              <w:rPr>
                <w:b w:val="0"/>
                <w:i w:val="0"/>
                <w:sz w:val="17"/>
              </w:rPr>
              <w:t>Product Type</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320" w:type="dxa"/>
          </w:tcPr>
          <w:p>
            <w:pPr>
              <w:jc w:val="left"/>
              <w:spacing w:before="0" w:after="0"/>
            </w:pPr>
            <w:r>
              <w:rPr>
                <w:b w:val="0"/>
                <w:i w:val="0"/>
                <w:sz w:val="17"/>
              </w:rPr>
              <w:t>Prepaid or Postpaid (separate)</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320" w:type="dxa"/>
          </w:tcPr>
          <w:p>
            <w:pPr>
              <w:jc w:val="left"/>
              <w:spacing w:before="0" w:after="0"/>
            </w:pPr>
            <w:r>
              <w:rPr>
                <w:b w:val="0"/>
                <w:i w:val="0"/>
                <w:sz w:val="17"/>
              </w:rPr>
              <w:t>Both Prepaid + Postpaid combined</w:t>
            </w:r>
          </w:p>
        </w:tc>
      </w:tr>
      <w:tr>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00" w:type="dxa"/>
          </w:tcPr>
          <w:p>
            <w:pPr>
              <w:jc w:val="left"/>
              <w:spacing w:before="0" w:after="0"/>
            </w:pPr>
            <w:r>
              <w:rPr>
                <w:b w:val="0"/>
                <w:i w:val="0"/>
                <w:sz w:val="17"/>
              </w:rPr>
              <w:t>Ref ID</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320" w:type="dxa"/>
          </w:tcPr>
          <w:p>
            <w:pPr>
              <w:jc w:val="left"/>
              <w:spacing w:before="0" w:after="0"/>
            </w:pPr>
            <w:r>
              <w:rPr>
                <w:b w:val="0"/>
                <w:i w:val="0"/>
                <w:sz w:val="17"/>
              </w:rPr>
              <w:t>'BLAPP' or not required</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320" w:type="dxa"/>
          </w:tcPr>
          <w:p>
            <w:pPr>
              <w:jc w:val="left"/>
              <w:spacing w:before="0" w:after="0"/>
            </w:pPr>
            <w:r>
              <w:rPr>
                <w:b w:val="0"/>
                <w:i w:val="0"/>
                <w:sz w:val="17"/>
              </w:rPr>
              <w:t>Not applicable</w:t>
            </w:r>
          </w:p>
        </w:tc>
      </w:tr>
    </w:tbl>
    <w:p/>
    <w:p>
      <w:r>
        <w:br w:type="page"/>
      </w:r>
    </w:p>
    <w:p>
      <w:pPr>
        <w:jc w:val="left"/>
        <w:spacing w:before="160" w:after="80"/>
      </w:pPr>
      <w:r>
        <w:rPr>
          <w:b/>
          <w:color w:val="1F4E79"/>
          <w:sz w:val="28"/>
          <w:u w:val="single"/>
        </w:rPr>
        <w:t>Section 13: RSO MyBL App Referral Campaign</w:t>
      </w:r>
    </w:p>
    <w:p>
      <w:pPr>
        <w:spacing w:before="0" w:after="60"/>
      </w:pPr>
      <w:r>
        <w:rPr>
          <w:b w:val="0"/>
          <w:i w:val="0"/>
          <w:sz w:val="19"/>
        </w:rPr>
        <w:t>RSOs (Retail Sales Officers) promote MyBL App to customers via unique referral codes. Commission is slab-based (% target achievement) per successful app sign-up. Ad-hoc, monthly, end-of-campaign disbursement.</w:t>
      </w:r>
    </w:p>
    <w:p>
      <w:pPr>
        <w:jc w:val="left"/>
        <w:spacing w:before="160" w:after="80"/>
      </w:pPr>
      <w:r>
        <w:rPr>
          <w:b/>
          <w:color w:val="2E75B6"/>
          <w:sz w:val="22"/>
        </w:rPr>
        <w:t>13.1 Campaign Overview</w:t>
      </w:r>
    </w:p>
    <w:tbl>
      <w:tblPr>
        <w:tblW w:type="auto" w:w="0"/>
        <w:jc w:val="left"/>
        <w:tblLook w:firstColumn="1" w:firstRow="1" w:lastColumn="0" w:lastRow="0" w:noHBand="0" w:noVBand="1" w:val="04A0"/>
        <w:tblW w:w="8640" w:type="dxa"/>
      </w:tblPr>
      <w:tblGrid>
        <w:gridCol w:w="4514"/>
        <w:gridCol w:w="4514"/>
      </w:tblGrid>
      <w:tr>
        <w:tc>
          <w:tcPr>
            <w:tcW w:type="dxa" w:w="4514"/>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20" w:type="dxa"/>
              <w:right w:w="120" w:type="dxa"/>
            </w:tcMar>
            <w:tcW w:w="2880" w:type="dxa"/>
          </w:tcPr>
          <w:p>
            <w:pPr>
              <w:jc w:val="left"/>
              <w:spacing w:before="0" w:after="0"/>
            </w:pPr>
            <w:r>
              <w:rPr>
                <w:b/>
                <w:i w:val="0"/>
                <w:color w:val="FFFFFF"/>
                <w:sz w:val="18"/>
              </w:rPr>
              <w:t>Parameter</w:t>
            </w:r>
          </w:p>
        </w:tc>
        <w:tc>
          <w:tcPr>
            <w:tcW w:type="dxa" w:w="4514"/>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20" w:type="dxa"/>
              <w:right w:w="120" w:type="dxa"/>
            </w:tcMar>
            <w:tcW w:w="5760" w:type="dxa"/>
          </w:tcPr>
          <w:p>
            <w:pPr>
              <w:jc w:val="left"/>
              <w:spacing w:before="0" w:after="0"/>
            </w:pPr>
            <w:r>
              <w:rPr>
                <w:b/>
                <w:i w:val="0"/>
                <w:color w:val="FFFFFF"/>
                <w:sz w:val="18"/>
              </w:rPr>
              <w:t>Detail</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Campaign Type</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RSO MyBL App Referral Campaign</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Recipient Type</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RSO (All Device Brand Promoters)</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Product Type</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Prepaid + Postpaid</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Periodicity</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Ad-hoc — monthly campaign (Oct25, Nov25, Dec25 observed)</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Commission Basis</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Per successful MyBL App sign-up with RSO unique referral code</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Commission Structure</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Slab-based (% of RSO target achieved)</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Referral Requirement</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Sign-up must use the RSO's unique referral code</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Report Frequency</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End of campaign</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Report Shared</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Disbursement &amp; Provision</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Salescom to EV</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YES</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Maturity Date</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8th of following month</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Data Source</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IT SC, IT BI, EV Platform, DMS, POS</w:t>
            </w:r>
          </w:p>
        </w:tc>
      </w:tr>
    </w:tbl>
    <w:p>
      <w:pPr>
        <w:spacing w:before="0" w:after="60"/>
      </w:pPr>
    </w:p>
    <w:p>
      <w:pPr>
        <w:jc w:val="left"/>
        <w:spacing w:before="160" w:after="80"/>
      </w:pPr>
      <w:r>
        <w:rPr>
          <w:b/>
          <w:color w:val="2E75B6"/>
          <w:sz w:val="22"/>
        </w:rPr>
        <w:t>13.2 Commission Slab Structure</w:t>
      </w:r>
    </w:p>
    <w:p>
      <w:pPr>
        <w:spacing w:before="0" w:after="40"/>
      </w:pPr>
      <w:r>
        <w:rPr>
          <w:b w:val="0"/>
          <w:i w:val="0"/>
          <w:sz w:val="19"/>
        </w:rPr>
        <w:t>Commission is based on the RSO's % achievement against target (Target vs. Achievement data provided by B2C):</w:t>
      </w:r>
    </w:p>
    <w:tbl>
      <w:tblPr>
        <w:tblW w:type="auto" w:w="0"/>
        <w:jc w:val="left"/>
        <w:tblLook w:firstColumn="1" w:firstRow="1" w:lastColumn="0" w:lastRow="0" w:noHBand="0" w:noVBand="1" w:val="04A0"/>
        <w:tblW w:w="8640" w:type="dxa"/>
      </w:tblPr>
      <w:tblGrid>
        <w:gridCol w:w="4514"/>
        <w:gridCol w:w="4514"/>
      </w:tblGrid>
      <w:tr>
        <w:tc>
          <w:tcPr>
            <w:tcW w:type="dxa" w:w="4514"/>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4320" w:type="dxa"/>
          </w:tcPr>
          <w:p>
            <w:pPr>
              <w:jc w:val="center"/>
              <w:spacing w:before="0" w:after="0"/>
            </w:pPr>
            <w:r>
              <w:rPr>
                <w:b/>
                <w:i w:val="0"/>
                <w:color w:val="FFFFFF"/>
                <w:sz w:val="17"/>
              </w:rPr>
              <w:t>Achievement Slab</w:t>
            </w:r>
          </w:p>
        </w:tc>
        <w:tc>
          <w:tcPr>
            <w:tcW w:type="dxa" w:w="4514"/>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4320" w:type="dxa"/>
          </w:tcPr>
          <w:p>
            <w:pPr>
              <w:jc w:val="center"/>
              <w:spacing w:before="0" w:after="0"/>
            </w:pPr>
            <w:r>
              <w:rPr>
                <w:b/>
                <w:i w:val="0"/>
                <w:color w:val="FFFFFF"/>
                <w:sz w:val="17"/>
              </w:rPr>
              <w:t>Commission per Sign-Up (BDT)</w:t>
            </w:r>
          </w:p>
        </w:tc>
      </w:tr>
      <w:tr>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320" w:type="dxa"/>
          </w:tcPr>
          <w:p>
            <w:pPr>
              <w:jc w:val="left"/>
              <w:spacing w:before="0" w:after="0"/>
            </w:pPr>
            <w:r>
              <w:rPr>
                <w:b w:val="0"/>
                <w:i w:val="0"/>
                <w:sz w:val="17"/>
              </w:rPr>
              <w:t>80% and Above</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320" w:type="dxa"/>
          </w:tcPr>
          <w:p>
            <w:pPr>
              <w:jc w:val="left"/>
              <w:spacing w:before="0" w:after="0"/>
            </w:pPr>
            <w:r>
              <w:rPr>
                <w:b w:val="0"/>
                <w:i w:val="0"/>
                <w:sz w:val="17"/>
              </w:rPr>
              <w:t>BDT 500</w:t>
            </w:r>
          </w:p>
        </w:tc>
      </w:tr>
      <w:tr>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320" w:type="dxa"/>
          </w:tcPr>
          <w:p>
            <w:pPr>
              <w:jc w:val="left"/>
              <w:spacing w:before="0" w:after="0"/>
            </w:pPr>
            <w:r>
              <w:rPr>
                <w:b w:val="0"/>
                <w:i w:val="0"/>
                <w:sz w:val="17"/>
              </w:rPr>
              <w:t>70% to 79%</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320" w:type="dxa"/>
          </w:tcPr>
          <w:p>
            <w:pPr>
              <w:jc w:val="left"/>
              <w:spacing w:before="0" w:after="0"/>
            </w:pPr>
            <w:r>
              <w:rPr>
                <w:b w:val="0"/>
                <w:i w:val="0"/>
                <w:sz w:val="17"/>
              </w:rPr>
              <w:t>BDT 400</w:t>
            </w:r>
          </w:p>
        </w:tc>
      </w:tr>
      <w:tr>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320" w:type="dxa"/>
          </w:tcPr>
          <w:p>
            <w:pPr>
              <w:jc w:val="left"/>
              <w:spacing w:before="0" w:after="0"/>
            </w:pPr>
            <w:r>
              <w:rPr>
                <w:b w:val="0"/>
                <w:i w:val="0"/>
                <w:sz w:val="17"/>
              </w:rPr>
              <w:t>60% to 69%</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320" w:type="dxa"/>
          </w:tcPr>
          <w:p>
            <w:pPr>
              <w:jc w:val="left"/>
              <w:spacing w:before="0" w:after="0"/>
            </w:pPr>
            <w:r>
              <w:rPr>
                <w:b w:val="0"/>
                <w:i w:val="0"/>
                <w:sz w:val="17"/>
              </w:rPr>
              <w:t>BDT 300</w:t>
            </w:r>
          </w:p>
        </w:tc>
      </w:tr>
      <w:tr>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320" w:type="dxa"/>
          </w:tcPr>
          <w:p>
            <w:pPr>
              <w:jc w:val="left"/>
              <w:spacing w:before="0" w:after="0"/>
            </w:pPr>
            <w:r>
              <w:rPr>
                <w:b w:val="0"/>
                <w:i w:val="0"/>
                <w:sz w:val="17"/>
              </w:rPr>
              <w:t>Below 60%</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320" w:type="dxa"/>
          </w:tcPr>
          <w:p>
            <w:pPr>
              <w:jc w:val="left"/>
              <w:spacing w:before="0" w:after="0"/>
            </w:pPr>
            <w:r>
              <w:rPr>
                <w:b w:val="0"/>
                <w:i w:val="0"/>
                <w:sz w:val="17"/>
              </w:rPr>
              <w:t>No commission</w:t>
            </w:r>
          </w:p>
        </w:tc>
      </w:tr>
    </w:tbl>
    <w:p/>
    <w:p>
      <w:pPr>
        <w:jc w:val="left"/>
        <w:spacing w:before="160" w:after="80"/>
      </w:pPr>
      <w:r>
        <w:rPr>
          <w:b/>
          <w:color w:val="2E75B6"/>
          <w:sz w:val="22"/>
        </w:rPr>
        <w:t>13.3 Additional Incentive Variants</w:t>
      </w:r>
    </w:p>
    <w:tbl>
      <w:tblPr>
        <w:tblW w:type="auto" w:w="0"/>
        <w:jc w:val="left"/>
        <w:tblLook w:firstColumn="1" w:firstRow="1" w:lastColumn="0" w:lastRow="0" w:noHBand="0" w:noVBand="1" w:val="04A0"/>
        <w:tblW w:w="8640" w:type="dxa"/>
      </w:tblPr>
      <w:tblGrid>
        <w:gridCol w:w="4514"/>
        <w:gridCol w:w="4514"/>
      </w:tblGrid>
      <w:tr>
        <w:tc>
          <w:tcPr>
            <w:tcW w:type="dxa" w:w="4514"/>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1500" w:type="dxa"/>
          </w:tcPr>
          <w:p>
            <w:pPr>
              <w:jc w:val="center"/>
              <w:spacing w:before="0" w:after="0"/>
            </w:pPr>
            <w:r>
              <w:rPr>
                <w:b/>
                <w:i w:val="0"/>
                <w:color w:val="FFFFFF"/>
                <w:sz w:val="17"/>
              </w:rPr>
              <w:t>Month</w:t>
            </w:r>
          </w:p>
        </w:tc>
        <w:tc>
          <w:tcPr>
            <w:tcW w:type="dxa" w:w="4514"/>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7140" w:type="dxa"/>
          </w:tcPr>
          <w:p>
            <w:pPr>
              <w:jc w:val="center"/>
              <w:spacing w:before="0" w:after="0"/>
            </w:pPr>
            <w:r>
              <w:rPr>
                <w:b/>
                <w:i w:val="0"/>
                <w:color w:val="FFFFFF"/>
                <w:sz w:val="17"/>
              </w:rPr>
              <w:t>Additional Incentive</w:t>
            </w:r>
          </w:p>
        </w:tc>
      </w:tr>
      <w:tr>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500" w:type="dxa"/>
          </w:tcPr>
          <w:p>
            <w:pPr>
              <w:jc w:val="left"/>
              <w:spacing w:before="0" w:after="0"/>
            </w:pPr>
            <w:r>
              <w:rPr>
                <w:b w:val="0"/>
                <w:i w:val="0"/>
                <w:sz w:val="17"/>
              </w:rPr>
              <w:t>Oct 2025</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7140" w:type="dxa"/>
          </w:tcPr>
          <w:p>
            <w:pPr>
              <w:jc w:val="left"/>
              <w:spacing w:before="0" w:after="0"/>
            </w:pPr>
            <w:r>
              <w:rPr>
                <w:b w:val="0"/>
                <w:i w:val="0"/>
                <w:sz w:val="17"/>
              </w:rPr>
              <w:t>BDT 5 extra per user if customer is active within 7 days of registration (upon achieving above minimum slab)</w:t>
            </w:r>
          </w:p>
        </w:tc>
      </w:tr>
      <w:tr>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500" w:type="dxa"/>
          </w:tcPr>
          <w:p>
            <w:pPr>
              <w:jc w:val="left"/>
              <w:spacing w:before="0" w:after="0"/>
            </w:pPr>
            <w:r>
              <w:rPr>
                <w:b w:val="0"/>
                <w:i w:val="0"/>
                <w:sz w:val="17"/>
              </w:rPr>
              <w:t>Nov 2025</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7140" w:type="dxa"/>
          </w:tcPr>
          <w:p>
            <w:pPr>
              <w:jc w:val="left"/>
              <w:spacing w:before="0" w:after="0"/>
            </w:pPr>
            <w:r>
              <w:rPr>
                <w:b w:val="0"/>
                <w:i w:val="0"/>
                <w:sz w:val="17"/>
              </w:rPr>
              <w:t>BDT 10 extra per user if RSO referred using own I-top number (achievement data shared by B2C)</w:t>
            </w:r>
          </w:p>
        </w:tc>
      </w:tr>
      <w:tr>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500" w:type="dxa"/>
          </w:tcPr>
          <w:p>
            <w:pPr>
              <w:jc w:val="left"/>
              <w:spacing w:before="0" w:after="0"/>
            </w:pPr>
            <w:r>
              <w:rPr>
                <w:b w:val="0"/>
                <w:i w:val="0"/>
                <w:sz w:val="17"/>
              </w:rPr>
              <w:t>Dec 2025</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7140" w:type="dxa"/>
          </w:tcPr>
          <w:p>
            <w:pPr>
              <w:jc w:val="left"/>
              <w:spacing w:before="0" w:after="0"/>
            </w:pPr>
            <w:r>
              <w:rPr>
                <w:b w:val="0"/>
                <w:i w:val="0"/>
                <w:sz w:val="17"/>
              </w:rPr>
              <w:t>BDT 10 extra per user if RSO referred using own I-top number (achievement data shared by B2C)</w:t>
            </w:r>
          </w:p>
        </w:tc>
      </w:tr>
    </w:tbl>
    <w:p/>
    <w:p>
      <w:pPr>
        <w:jc w:val="left"/>
        <w:spacing w:before="160" w:after="80"/>
      </w:pPr>
      <w:r>
        <w:rPr>
          <w:b/>
          <w:color w:val="2E75B6"/>
          <w:sz w:val="22"/>
        </w:rPr>
        <w:t>13.4 Specific Conditions</w:t>
      </w:r>
    </w:p>
    <w:p>
      <w:pPr>
        <w:jc w:val="left"/>
        <w:spacing w:before="160" w:after="80"/>
      </w:pPr>
      <w:r>
        <w:rPr>
          <w:b/>
          <w:color w:val="1F4E79"/>
          <w:sz w:val="20"/>
        </w:rPr>
        <w:t>Conditions</w:t>
      </w:r>
    </w:p>
    <w:tbl>
      <w:tblPr>
        <w:tblW w:type="auto" w:w="0"/>
        <w:jc w:val="left"/>
        <w:tblLook w:firstColumn="1" w:firstRow="1" w:lastColumn="0" w:lastRow="0" w:noHBand="0" w:noVBand="1" w:val="04A0"/>
        <w:tblW w:w="8640" w:type="dxa"/>
      </w:tblPr>
      <w:tblGrid>
        <w:gridCol w:w="4514"/>
        <w:gridCol w:w="4514"/>
      </w:tblGrid>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MyBL App sign-ups in customer's number with RSO's unique referral code will be incentivized ONLY.</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2</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Both the sign-up and the referral must be completed within the campaign period.</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3</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RSO wise Target vs. Achievement data will be provided by B2C.</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4</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Commission is paid per successful installation and registration.</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5</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Additional incentive conditions vary per month — refer to individual SRF for current month's incentive.</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6</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Valid recharge: EV/I-TOP (general condition).</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7</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Product: Any connections except Data SIM (MMSTDATA) and EV SIM.</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8</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Maturity date: 8th of following month.</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9</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Report published: As per Tracker.</w:t>
            </w:r>
          </w:p>
        </w:tc>
      </w:tr>
    </w:tbl>
    <w:p/>
    <w:p>
      <w:r>
        <w:br w:type="page"/>
      </w:r>
    </w:p>
    <w:p>
      <w:pPr>
        <w:jc w:val="left"/>
        <w:spacing w:before="160" w:after="80"/>
      </w:pPr>
      <w:r>
        <w:rPr>
          <w:b/>
          <w:color w:val="1F4E79"/>
          <w:sz w:val="28"/>
          <w:u w:val="single"/>
        </w:rPr>
        <w:t>Section 14: Retailer MyBL App Referral Campaign</w:t>
      </w:r>
    </w:p>
    <w:p>
      <w:pPr>
        <w:spacing w:before="0" w:after="60"/>
      </w:pPr>
      <w:r>
        <w:rPr>
          <w:b w:val="0"/>
          <w:i w:val="0"/>
          <w:sz w:val="19"/>
        </w:rPr>
        <w:t>Retailers promote MyBL App to customers via their unique referral code. Flat BDT 10 commission per successful app sign-up. Monthly, ad-hoc, end-of-campaign report.</w:t>
      </w:r>
    </w:p>
    <w:p>
      <w:pPr>
        <w:jc w:val="left"/>
        <w:spacing w:before="160" w:after="80"/>
      </w:pPr>
      <w:r>
        <w:rPr>
          <w:b/>
          <w:color w:val="2E75B6"/>
          <w:sz w:val="22"/>
        </w:rPr>
        <w:t>14.1 Campaign Overview</w:t>
      </w:r>
    </w:p>
    <w:tbl>
      <w:tblPr>
        <w:tblW w:type="auto" w:w="0"/>
        <w:jc w:val="left"/>
        <w:tblLook w:firstColumn="1" w:firstRow="1" w:lastColumn="0" w:lastRow="0" w:noHBand="0" w:noVBand="1" w:val="04A0"/>
        <w:tblW w:w="8640" w:type="dxa"/>
      </w:tblPr>
      <w:tblGrid>
        <w:gridCol w:w="4514"/>
        <w:gridCol w:w="4514"/>
      </w:tblGrid>
      <w:tr>
        <w:tc>
          <w:tcPr>
            <w:tcW w:type="dxa" w:w="4514"/>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20" w:type="dxa"/>
              <w:right w:w="120" w:type="dxa"/>
            </w:tcMar>
            <w:tcW w:w="2880" w:type="dxa"/>
          </w:tcPr>
          <w:p>
            <w:pPr>
              <w:jc w:val="left"/>
              <w:spacing w:before="0" w:after="0"/>
            </w:pPr>
            <w:r>
              <w:rPr>
                <w:b/>
                <w:i w:val="0"/>
                <w:color w:val="FFFFFF"/>
                <w:sz w:val="18"/>
              </w:rPr>
              <w:t>Parameter</w:t>
            </w:r>
          </w:p>
        </w:tc>
        <w:tc>
          <w:tcPr>
            <w:tcW w:type="dxa" w:w="4514"/>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20" w:type="dxa"/>
              <w:right w:w="120" w:type="dxa"/>
            </w:tcMar>
            <w:tcW w:w="5760" w:type="dxa"/>
          </w:tcPr>
          <w:p>
            <w:pPr>
              <w:jc w:val="left"/>
              <w:spacing w:before="0" w:after="0"/>
            </w:pPr>
            <w:r>
              <w:rPr>
                <w:b/>
                <w:i w:val="0"/>
                <w:color w:val="FFFFFF"/>
                <w:sz w:val="18"/>
              </w:rPr>
              <w:t>Detail</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Campaign Type</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Retailer MyBL App Referral Campaign</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Recipient Type</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Retailer (All Device Brand Promoters)</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Product Type</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Prepaid + Postpaid</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Periodicity</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Ad-hoc — monthly campaign (Oct25, Nov25, Dec25 observed)</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Commission Rate</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BDT 10 flat per successful MyBL App sign-up</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Referral Requirement</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Sign-up must use the Retailer's unique referral code</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Report Frequency</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End of campaign</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Report Shared</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Disbursement &amp; Provision</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Salescom to EV</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YES</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SMS Content</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Sent: e.g., 'Priyo Bikreta, Apni [Month] MYBL Campaign er commission hishabe BDT #### (AIT katar por)'</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Maturity Date</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8th of following month (Oct25); 4th of following month (Nov25, Dec25)</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Data Source</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IT SC, IT BI, EV Platform, DMS, POS</w:t>
            </w:r>
          </w:p>
        </w:tc>
      </w:tr>
    </w:tbl>
    <w:p>
      <w:pPr>
        <w:spacing w:before="0" w:after="60"/>
      </w:pPr>
    </w:p>
    <w:p>
      <w:pPr>
        <w:jc w:val="left"/>
        <w:spacing w:before="160" w:after="80"/>
      </w:pPr>
      <w:r>
        <w:rPr>
          <w:b/>
          <w:color w:val="2E75B6"/>
          <w:sz w:val="22"/>
        </w:rPr>
        <w:t>14.2 Specific Conditions</w:t>
      </w:r>
    </w:p>
    <w:p>
      <w:pPr>
        <w:jc w:val="left"/>
        <w:spacing w:before="160" w:after="80"/>
      </w:pPr>
      <w:r>
        <w:rPr>
          <w:b/>
          <w:color w:val="1F4E79"/>
          <w:sz w:val="20"/>
        </w:rPr>
        <w:t>Conditions</w:t>
      </w:r>
    </w:p>
    <w:tbl>
      <w:tblPr>
        <w:tblW w:type="auto" w:w="0"/>
        <w:jc w:val="left"/>
        <w:tblLook w:firstColumn="1" w:firstRow="1" w:lastColumn="0" w:lastRow="0" w:noHBand="0" w:noVBand="1" w:val="04A0"/>
        <w:tblW w:w="8640" w:type="dxa"/>
      </w:tblPr>
      <w:tblGrid>
        <w:gridCol w:w="4514"/>
        <w:gridCol w:w="4514"/>
      </w:tblGrid>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MyBL App sign-ups in customer's number with retailer's unique referral code will be incentivized ONLY.</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2</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For each successful installation and registration, retailer will get BDT 10 commission.</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3</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Both the sign-up and the referral must be completed within the campaign period.</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4</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Retailer wise achievement data will be provided by B2C.</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5</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Flat rate — no slab structure; all eligible sign-ups earn BDT 10 each.</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6</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Valid recharge: EV/I-TOP (general condition).</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7</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Product: Any connections except Data SIM (MMSTDATA) and EV SIM.</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8</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Report published: As per Tracker.</w:t>
            </w:r>
          </w:p>
        </w:tc>
      </w:tr>
    </w:tbl>
    <w:p/>
    <w:p>
      <w:pPr>
        <w:jc w:val="left"/>
        <w:spacing w:before="160" w:after="80"/>
      </w:pPr>
      <w:r>
        <w:rPr>
          <w:b/>
          <w:color w:val="2E75B6"/>
          <w:sz w:val="22"/>
        </w:rPr>
        <w:t>14.3 Comparison: RSO vs. Retailer Campaign</w:t>
      </w:r>
    </w:p>
    <w:tbl>
      <w:tblPr>
        <w:tblW w:type="auto" w:w="0"/>
        <w:jc w:val="left"/>
        <w:tblLook w:firstColumn="1" w:firstRow="1" w:lastColumn="0" w:lastRow="0" w:noHBand="0" w:noVBand="1" w:val="04A0"/>
        <w:tblW w:w="8640" w:type="dxa"/>
      </w:tblPr>
      <w:tblGrid>
        <w:gridCol w:w="3010"/>
        <w:gridCol w:w="3010"/>
        <w:gridCol w:w="3010"/>
      </w:tblGrid>
      <w:tr>
        <w:tc>
          <w:tcPr>
            <w:tcW w:type="dxa" w:w="3010"/>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2400" w:type="dxa"/>
          </w:tcPr>
          <w:p>
            <w:pPr>
              <w:jc w:val="center"/>
              <w:spacing w:before="0" w:after="0"/>
            </w:pPr>
            <w:r>
              <w:rPr>
                <w:b/>
                <w:i w:val="0"/>
                <w:color w:val="FFFFFF"/>
                <w:sz w:val="17"/>
              </w:rPr>
              <w:t>Attribute</w:t>
            </w:r>
          </w:p>
        </w:tc>
        <w:tc>
          <w:tcPr>
            <w:tcW w:type="dxa" w:w="3010"/>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3120" w:type="dxa"/>
          </w:tcPr>
          <w:p>
            <w:pPr>
              <w:jc w:val="center"/>
              <w:spacing w:before="0" w:after="0"/>
            </w:pPr>
            <w:r>
              <w:rPr>
                <w:b/>
                <w:i w:val="0"/>
                <w:color w:val="FFFFFF"/>
                <w:sz w:val="17"/>
              </w:rPr>
              <w:t>RSO Campaign (Section 13)</w:t>
            </w:r>
          </w:p>
        </w:tc>
        <w:tc>
          <w:tcPr>
            <w:tcW w:type="dxa" w:w="3010"/>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3120" w:type="dxa"/>
          </w:tcPr>
          <w:p>
            <w:pPr>
              <w:jc w:val="center"/>
              <w:spacing w:before="0" w:after="0"/>
            </w:pPr>
            <w:r>
              <w:rPr>
                <w:b/>
                <w:i w:val="0"/>
                <w:color w:val="FFFFFF"/>
                <w:sz w:val="17"/>
              </w:rPr>
              <w:t>Retailer Campaign (Section 14)</w:t>
            </w:r>
          </w:p>
        </w:tc>
      </w:tr>
      <w:tr>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400" w:type="dxa"/>
          </w:tcPr>
          <w:p>
            <w:pPr>
              <w:jc w:val="left"/>
              <w:spacing w:before="0" w:after="0"/>
            </w:pPr>
            <w:r>
              <w:rPr>
                <w:b w:val="0"/>
                <w:i w:val="0"/>
                <w:sz w:val="17"/>
              </w:rPr>
              <w:t>Recipient</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120" w:type="dxa"/>
          </w:tcPr>
          <w:p>
            <w:pPr>
              <w:jc w:val="left"/>
              <w:spacing w:before="0" w:after="0"/>
            </w:pPr>
            <w:r>
              <w:rPr>
                <w:b w:val="0"/>
                <w:i w:val="0"/>
                <w:sz w:val="17"/>
              </w:rPr>
              <w:t>RSO (Device Brand Promoter)</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120" w:type="dxa"/>
          </w:tcPr>
          <w:p>
            <w:pPr>
              <w:jc w:val="left"/>
              <w:spacing w:before="0" w:after="0"/>
            </w:pPr>
            <w:r>
              <w:rPr>
                <w:b w:val="0"/>
                <w:i w:val="0"/>
                <w:sz w:val="17"/>
              </w:rPr>
              <w:t>Retailer (Device Brand Promoter)</w:t>
            </w:r>
          </w:p>
        </w:tc>
      </w:tr>
      <w:tr>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400" w:type="dxa"/>
          </w:tcPr>
          <w:p>
            <w:pPr>
              <w:jc w:val="left"/>
              <w:spacing w:before="0" w:after="0"/>
            </w:pPr>
            <w:r>
              <w:rPr>
                <w:b w:val="0"/>
                <w:i w:val="0"/>
                <w:sz w:val="17"/>
              </w:rPr>
              <w:t>Commission Rate</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120" w:type="dxa"/>
          </w:tcPr>
          <w:p>
            <w:pPr>
              <w:jc w:val="left"/>
              <w:spacing w:before="0" w:after="0"/>
            </w:pPr>
            <w:r>
              <w:rPr>
                <w:b w:val="0"/>
                <w:i w:val="0"/>
                <w:sz w:val="17"/>
              </w:rPr>
              <w:t>Slab-based: BDT 300/400/500</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120" w:type="dxa"/>
          </w:tcPr>
          <w:p>
            <w:pPr>
              <w:jc w:val="left"/>
              <w:spacing w:before="0" w:after="0"/>
            </w:pPr>
            <w:r>
              <w:rPr>
                <w:b w:val="0"/>
                <w:i w:val="0"/>
                <w:sz w:val="17"/>
              </w:rPr>
              <w:t>Flat: BDT 10 per sign-up</w:t>
            </w:r>
          </w:p>
        </w:tc>
      </w:tr>
      <w:tr>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400" w:type="dxa"/>
          </w:tcPr>
          <w:p>
            <w:pPr>
              <w:jc w:val="left"/>
              <w:spacing w:before="0" w:after="0"/>
            </w:pPr>
            <w:r>
              <w:rPr>
                <w:b w:val="0"/>
                <w:i w:val="0"/>
                <w:sz w:val="17"/>
              </w:rPr>
              <w:t>Additional Bonus</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120" w:type="dxa"/>
          </w:tcPr>
          <w:p>
            <w:pPr>
              <w:jc w:val="left"/>
              <w:spacing w:before="0" w:after="0"/>
            </w:pPr>
            <w:r>
              <w:rPr>
                <w:b w:val="0"/>
                <w:i w:val="0"/>
                <w:sz w:val="17"/>
              </w:rPr>
              <w:t>Yes (BDT 5 or BDT 10 extra)</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120" w:type="dxa"/>
          </w:tcPr>
          <w:p>
            <w:pPr>
              <w:jc w:val="left"/>
              <w:spacing w:before="0" w:after="0"/>
            </w:pPr>
            <w:r>
              <w:rPr>
                <w:b w:val="0"/>
                <w:i w:val="0"/>
                <w:sz w:val="17"/>
              </w:rPr>
              <w:t>None observed</w:t>
            </w:r>
          </w:p>
        </w:tc>
      </w:tr>
      <w:tr>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400" w:type="dxa"/>
          </w:tcPr>
          <w:p>
            <w:pPr>
              <w:jc w:val="left"/>
              <w:spacing w:before="0" w:after="0"/>
            </w:pPr>
            <w:r>
              <w:rPr>
                <w:b w:val="0"/>
                <w:i w:val="0"/>
                <w:sz w:val="17"/>
              </w:rPr>
              <w:t>Commission Basis</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120" w:type="dxa"/>
          </w:tcPr>
          <w:p>
            <w:pPr>
              <w:jc w:val="left"/>
              <w:spacing w:before="0" w:after="0"/>
            </w:pPr>
            <w:r>
              <w:rPr>
                <w:b w:val="0"/>
                <w:i w:val="0"/>
                <w:sz w:val="17"/>
              </w:rPr>
              <w:t>% of target achieved</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120" w:type="dxa"/>
          </w:tcPr>
          <w:p>
            <w:pPr>
              <w:jc w:val="left"/>
              <w:spacing w:before="0" w:after="0"/>
            </w:pPr>
            <w:r>
              <w:rPr>
                <w:b w:val="0"/>
                <w:i w:val="0"/>
                <w:sz w:val="17"/>
              </w:rPr>
              <w:t>Per sign-up (no target slab)</w:t>
            </w:r>
          </w:p>
        </w:tc>
      </w:tr>
      <w:tr>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400" w:type="dxa"/>
          </w:tcPr>
          <w:p>
            <w:pPr>
              <w:jc w:val="left"/>
              <w:spacing w:before="0" w:after="0"/>
            </w:pPr>
            <w:r>
              <w:rPr>
                <w:b w:val="0"/>
                <w:i w:val="0"/>
                <w:sz w:val="17"/>
              </w:rPr>
              <w:t>Maturity Date</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120" w:type="dxa"/>
          </w:tcPr>
          <w:p>
            <w:pPr>
              <w:jc w:val="left"/>
              <w:spacing w:before="0" w:after="0"/>
            </w:pPr>
            <w:r>
              <w:rPr>
                <w:b w:val="0"/>
                <w:i w:val="0"/>
                <w:sz w:val="17"/>
              </w:rPr>
              <w:t>8th of following month</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120" w:type="dxa"/>
          </w:tcPr>
          <w:p>
            <w:pPr>
              <w:jc w:val="left"/>
              <w:spacing w:before="0" w:after="0"/>
            </w:pPr>
            <w:r>
              <w:rPr>
                <w:b w:val="0"/>
                <w:i w:val="0"/>
                <w:sz w:val="17"/>
              </w:rPr>
              <w:t>8th (Oct) or 4th (Nov/Dec) of following month</w:t>
            </w:r>
          </w:p>
        </w:tc>
      </w:tr>
    </w:tbl>
    <w:p/>
    <w:p>
      <w:r>
        <w:br w:type="page"/>
      </w:r>
    </w:p>
    <w:p>
      <w:pPr>
        <w:jc w:val="left"/>
        <w:spacing w:before="160" w:after="80"/>
      </w:pPr>
      <w:r>
        <w:rPr>
          <w:b/>
          <w:color w:val="1F4E79"/>
          <w:sz w:val="28"/>
          <w:u w:val="single"/>
        </w:rPr>
        <w:t>Section 15: Monobrand CCR MyBL App Installation Campaign</w:t>
      </w:r>
    </w:p>
    <w:p>
      <w:pPr>
        <w:spacing w:before="0" w:after="60"/>
      </w:pPr>
      <w:r>
        <w:rPr>
          <w:b w:val="0"/>
          <w:i w:val="0"/>
          <w:sz w:val="19"/>
        </w:rPr>
        <w:t>Monobrand Customer Care Representatives (CCR) earn BDT 10 per successful MyBL App sign-up. Eligibility requires the customer to be a smartphone user AND use 100MB data within 10 days of sign-up. Only single IMEI per MSISDN.</w:t>
      </w:r>
    </w:p>
    <w:p>
      <w:pPr>
        <w:jc w:val="left"/>
        <w:spacing w:before="160" w:after="80"/>
      </w:pPr>
      <w:r>
        <w:rPr>
          <w:b/>
          <w:color w:val="2E75B6"/>
          <w:sz w:val="22"/>
        </w:rPr>
        <w:t>15.1 Campaign Overview</w:t>
      </w:r>
    </w:p>
    <w:tbl>
      <w:tblPr>
        <w:tblW w:type="auto" w:w="0"/>
        <w:jc w:val="left"/>
        <w:tblLook w:firstColumn="1" w:firstRow="1" w:lastColumn="0" w:lastRow="0" w:noHBand="0" w:noVBand="1" w:val="04A0"/>
        <w:tblW w:w="8640" w:type="dxa"/>
      </w:tblPr>
      <w:tblGrid>
        <w:gridCol w:w="4514"/>
        <w:gridCol w:w="4514"/>
      </w:tblGrid>
      <w:tr>
        <w:tc>
          <w:tcPr>
            <w:tcW w:type="dxa" w:w="4514"/>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20" w:type="dxa"/>
              <w:right w:w="120" w:type="dxa"/>
            </w:tcMar>
            <w:tcW w:w="2880" w:type="dxa"/>
          </w:tcPr>
          <w:p>
            <w:pPr>
              <w:jc w:val="left"/>
              <w:spacing w:before="0" w:after="0"/>
            </w:pPr>
            <w:r>
              <w:rPr>
                <w:b/>
                <w:i w:val="0"/>
                <w:color w:val="FFFFFF"/>
                <w:sz w:val="18"/>
              </w:rPr>
              <w:t>Parameter</w:t>
            </w:r>
          </w:p>
        </w:tc>
        <w:tc>
          <w:tcPr>
            <w:tcW w:type="dxa" w:w="4514"/>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20" w:type="dxa"/>
              <w:right w:w="120" w:type="dxa"/>
            </w:tcMar>
            <w:tcW w:w="5760" w:type="dxa"/>
          </w:tcPr>
          <w:p>
            <w:pPr>
              <w:jc w:val="left"/>
              <w:spacing w:before="0" w:after="0"/>
            </w:pPr>
            <w:r>
              <w:rPr>
                <w:b/>
                <w:i w:val="0"/>
                <w:color w:val="FFFFFF"/>
                <w:sz w:val="18"/>
              </w:rPr>
              <w:t>Detail</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Campaign Type</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Monobrand CCR MyBL App Installation Campaign</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Recipient Type</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Monobrand CCR (Customer Care Representatives)</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Product Type</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Not specified (Prepaid/Postpaid — all service class)</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Periodicity</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Regular — Monthly</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Commission Rate</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BDT 10 per successful MyBL App sign-up</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Eligible Customers</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Smartphone users only</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Activation Requirement</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Customer must use 100MB data within first 10 days of sign-up</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IMEI Restriction</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Only single IMEI number per MSISDN (no multi-device sign-ups)</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Customer Scope</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Installation in New GA (General Activation) &amp; Existing Customer both allowed</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Report Frequency</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Monthly — end of month</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Report Shared</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Disbursement only</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Salescom to POS</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No</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Salescom to EV</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No</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Maturity Date</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1st of the following month</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Data Source</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ED (Enterprise Data), IT BI, DWH, TABS, DMS, POS</w:t>
            </w:r>
          </w:p>
        </w:tc>
      </w:tr>
      <w:tr>
        <w:tc>
          <w:tcPr>
            <w:tcW w:type="dxa" w:w="4514"/>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880" w:type="dxa"/>
          </w:tcPr>
          <w:p>
            <w:pPr>
              <w:jc w:val="left"/>
              <w:spacing w:before="0" w:after="0"/>
            </w:pPr>
            <w:r>
              <w:rPr>
                <w:b/>
                <w:i w:val="0"/>
                <w:sz w:val="18"/>
              </w:rPr>
              <w:t>Eligible CCR List</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760" w:type="dxa"/>
          </w:tcPr>
          <w:p>
            <w:pPr>
              <w:jc w:val="left"/>
              <w:spacing w:before="0" w:after="0"/>
            </w:pPr>
            <w:r>
              <w:rPr>
                <w:b w:val="0"/>
                <w:i w:val="0"/>
                <w:sz w:val="18"/>
              </w:rPr>
              <w:t>Provided by user team (Alternate Channel and Digital Recharge dept.)</w:t>
            </w:r>
          </w:p>
        </w:tc>
      </w:tr>
    </w:tbl>
    <w:p>
      <w:pPr>
        <w:spacing w:before="0" w:after="60"/>
      </w:pPr>
    </w:p>
    <w:p>
      <w:pPr>
        <w:jc w:val="left"/>
        <w:spacing w:before="160" w:after="80"/>
      </w:pPr>
      <w:r>
        <w:rPr>
          <w:b/>
          <w:color w:val="2E75B6"/>
          <w:sz w:val="22"/>
        </w:rPr>
        <w:t>15.2 Specific Conditions</w:t>
      </w:r>
    </w:p>
    <w:p>
      <w:pPr>
        <w:jc w:val="left"/>
        <w:spacing w:before="160" w:after="80"/>
      </w:pPr>
      <w:r>
        <w:rPr>
          <w:b/>
          <w:color w:val="1F4E79"/>
          <w:sz w:val="20"/>
        </w:rPr>
        <w:t>Conditions</w:t>
      </w:r>
    </w:p>
    <w:tbl>
      <w:tblPr>
        <w:tblW w:type="auto" w:w="0"/>
        <w:jc w:val="left"/>
        <w:tblLook w:firstColumn="1" w:firstRow="1" w:lastColumn="0" w:lastRow="0" w:noHBand="0" w:noVBand="1" w:val="04A0"/>
        <w:tblW w:w="8640" w:type="dxa"/>
      </w:tblPr>
      <w:tblGrid>
        <w:gridCol w:w="4514"/>
        <w:gridCol w:w="4514"/>
      </w:tblGrid>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1</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Customer must be a smartphone user (feature phone users are excluded).</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2</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Customer must use 100MB data within the first 10 days of MyBL App sign-up.</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3</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Only a single IMEI number per MSISDN — duplicate IMEI sign-ups are excluded.</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4</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Installation is allowed for both new General Activation (GA) customers AND existing customers.</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5</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Eligible Monobrand CCR list will be provided by the user team (not auto-determined).</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6</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Achievement data will be shared by the user team for payout calculation.</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7</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Commission is BDT 10 flat per qualifying sign-up — no slab structure.</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8</w:t>
            </w:r>
          </w:p>
        </w:tc>
        <w:tc>
          <w:tcPr>
            <w:tcW w:type="dxa" w:w="4514"/>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Report published monthly. Maturity date: 1st of following month.</w:t>
            </w:r>
          </w:p>
        </w:tc>
      </w:tr>
      <w:tr>
        <w:tc>
          <w:tcPr>
            <w:tcW w:type="dxa" w:w="4514"/>
            <w:shd w:val="clear" w:color="auto" w:fill="2E75B6"/>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center"/>
              <w:spacing w:before="0" w:after="0"/>
            </w:pPr>
            <w:r>
              <w:rPr>
                <w:b/>
                <w:i w:val="0"/>
                <w:color w:val="FFFFFF"/>
                <w:sz w:val="18"/>
              </w:rPr>
              <w:t>9</w:t>
            </w:r>
          </w:p>
        </w:tc>
        <w:tc>
          <w:tcPr>
            <w:tcW w:type="dxa" w:w="4514"/>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8160" w:type="dxa"/>
          </w:tcPr>
          <w:p>
            <w:pPr>
              <w:jc w:val="left"/>
              <w:spacing w:before="0" w:after="0"/>
            </w:pPr>
            <w:r>
              <w:rPr>
                <w:b w:val="0"/>
                <w:i w:val="0"/>
                <w:sz w:val="18"/>
              </w:rPr>
              <w:t>No Salescom to EV or POS upload — data is shared separately by user team.</w:t>
            </w:r>
          </w:p>
        </w:tc>
      </w:tr>
    </w:tbl>
    <w:p/>
    <w:p>
      <w:pPr>
        <w:jc w:val="left"/>
        <w:spacing w:before="160" w:after="80"/>
      </w:pPr>
      <w:r>
        <w:rPr>
          <w:b/>
          <w:color w:val="2E75B6"/>
          <w:sz w:val="22"/>
        </w:rPr>
        <w:t>15.3 Eligibility Criteria Summary</w:t>
      </w:r>
    </w:p>
    <w:tbl>
      <w:tblPr>
        <w:tblW w:type="auto" w:w="0"/>
        <w:jc w:val="left"/>
        <w:tblLook w:firstColumn="1" w:firstRow="1" w:lastColumn="0" w:lastRow="0" w:noHBand="0" w:noVBand="1" w:val="04A0"/>
        <w:tblW w:w="8640" w:type="dxa"/>
      </w:tblPr>
      <w:tblGrid>
        <w:gridCol w:w="3010"/>
        <w:gridCol w:w="3010"/>
        <w:gridCol w:w="3010"/>
      </w:tblGrid>
      <w:tr>
        <w:tc>
          <w:tcPr>
            <w:tcW w:type="dxa" w:w="3010"/>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2400" w:type="dxa"/>
          </w:tcPr>
          <w:p>
            <w:pPr>
              <w:jc w:val="center"/>
              <w:spacing w:before="0" w:after="0"/>
            </w:pPr>
            <w:r>
              <w:rPr>
                <w:b/>
                <w:i w:val="0"/>
                <w:color w:val="FFFFFF"/>
                <w:sz w:val="17"/>
              </w:rPr>
              <w:t>Eligibility Criterion</w:t>
            </w:r>
          </w:p>
        </w:tc>
        <w:tc>
          <w:tcPr>
            <w:tcW w:type="dxa" w:w="3010"/>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3120" w:type="dxa"/>
          </w:tcPr>
          <w:p>
            <w:pPr>
              <w:jc w:val="center"/>
              <w:spacing w:before="0" w:after="0"/>
            </w:pPr>
            <w:r>
              <w:rPr>
                <w:b/>
                <w:i w:val="0"/>
                <w:color w:val="FFFFFF"/>
                <w:sz w:val="17"/>
              </w:rPr>
              <w:t>Requirement</w:t>
            </w:r>
          </w:p>
        </w:tc>
        <w:tc>
          <w:tcPr>
            <w:tcW w:type="dxa" w:w="3010"/>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3120" w:type="dxa"/>
          </w:tcPr>
          <w:p>
            <w:pPr>
              <w:jc w:val="center"/>
              <w:spacing w:before="0" w:after="0"/>
            </w:pPr>
            <w:r>
              <w:rPr>
                <w:b/>
                <w:i w:val="0"/>
                <w:color w:val="FFFFFF"/>
                <w:sz w:val="17"/>
              </w:rPr>
              <w:t>Notes</w:t>
            </w:r>
          </w:p>
        </w:tc>
      </w:tr>
      <w:tr>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400" w:type="dxa"/>
          </w:tcPr>
          <w:p>
            <w:pPr>
              <w:jc w:val="left"/>
              <w:spacing w:before="0" w:after="0"/>
            </w:pPr>
            <w:r>
              <w:rPr>
                <w:b w:val="0"/>
                <w:i w:val="0"/>
                <w:sz w:val="17"/>
              </w:rPr>
              <w:t>Device Type</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120" w:type="dxa"/>
          </w:tcPr>
          <w:p>
            <w:pPr>
              <w:jc w:val="left"/>
              <w:spacing w:before="0" w:after="0"/>
            </w:pPr>
            <w:r>
              <w:rPr>
                <w:b w:val="0"/>
                <w:i w:val="0"/>
                <w:sz w:val="17"/>
              </w:rPr>
              <w:t>Smartphone only</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120" w:type="dxa"/>
          </w:tcPr>
          <w:p>
            <w:pPr>
              <w:jc w:val="left"/>
              <w:spacing w:before="0" w:after="0"/>
            </w:pPr>
            <w:r>
              <w:rPr>
                <w:b w:val="0"/>
                <w:i w:val="0"/>
                <w:sz w:val="17"/>
              </w:rPr>
              <w:t>Feature phone users excluded</w:t>
            </w:r>
          </w:p>
        </w:tc>
      </w:tr>
      <w:tr>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400" w:type="dxa"/>
          </w:tcPr>
          <w:p>
            <w:pPr>
              <w:jc w:val="left"/>
              <w:spacing w:before="0" w:after="0"/>
            </w:pPr>
            <w:r>
              <w:rPr>
                <w:b w:val="0"/>
                <w:i w:val="0"/>
                <w:sz w:val="17"/>
              </w:rPr>
              <w:t>Data Usage</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120" w:type="dxa"/>
          </w:tcPr>
          <w:p>
            <w:pPr>
              <w:jc w:val="left"/>
              <w:spacing w:before="0" w:after="0"/>
            </w:pPr>
            <w:r>
              <w:rPr>
                <w:b w:val="0"/>
                <w:i w:val="0"/>
                <w:sz w:val="17"/>
              </w:rPr>
              <w:t>100MB within 10 days of sign-up</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120" w:type="dxa"/>
          </w:tcPr>
          <w:p>
            <w:pPr>
              <w:jc w:val="left"/>
              <w:spacing w:before="0" w:after="0"/>
            </w:pPr>
            <w:r>
              <w:rPr>
                <w:b w:val="0"/>
                <w:i w:val="0"/>
                <w:sz w:val="17"/>
              </w:rPr>
              <w:t>Must be verified from data source</w:t>
            </w:r>
          </w:p>
        </w:tc>
      </w:tr>
      <w:tr>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400" w:type="dxa"/>
          </w:tcPr>
          <w:p>
            <w:pPr>
              <w:jc w:val="left"/>
              <w:spacing w:before="0" w:after="0"/>
            </w:pPr>
            <w:r>
              <w:rPr>
                <w:b w:val="0"/>
                <w:i w:val="0"/>
                <w:sz w:val="17"/>
              </w:rPr>
              <w:t>IMEI per MSISDN</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120" w:type="dxa"/>
          </w:tcPr>
          <w:p>
            <w:pPr>
              <w:jc w:val="left"/>
              <w:spacing w:before="0" w:after="0"/>
            </w:pPr>
            <w:r>
              <w:rPr>
                <w:b w:val="0"/>
                <w:i w:val="0"/>
                <w:sz w:val="17"/>
              </w:rPr>
              <w:t>Single IMEI only</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120" w:type="dxa"/>
          </w:tcPr>
          <w:p>
            <w:pPr>
              <w:jc w:val="left"/>
              <w:spacing w:before="0" w:after="0"/>
            </w:pPr>
            <w:r>
              <w:rPr>
                <w:b w:val="0"/>
                <w:i w:val="0"/>
                <w:sz w:val="17"/>
              </w:rPr>
              <w:t>Multi-device attempts excluded</w:t>
            </w:r>
          </w:p>
        </w:tc>
      </w:tr>
      <w:tr>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400" w:type="dxa"/>
          </w:tcPr>
          <w:p>
            <w:pPr>
              <w:jc w:val="left"/>
              <w:spacing w:before="0" w:after="0"/>
            </w:pPr>
            <w:r>
              <w:rPr>
                <w:b w:val="0"/>
                <w:i w:val="0"/>
                <w:sz w:val="17"/>
              </w:rPr>
              <w:t>Customer Type</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120" w:type="dxa"/>
          </w:tcPr>
          <w:p>
            <w:pPr>
              <w:jc w:val="left"/>
              <w:spacing w:before="0" w:after="0"/>
            </w:pPr>
            <w:r>
              <w:rPr>
                <w:b w:val="0"/>
                <w:i w:val="0"/>
                <w:sz w:val="17"/>
              </w:rPr>
              <w:t>New GA or Existing</w:t>
            </w:r>
          </w:p>
        </w:tc>
        <w:tc>
          <w:tcPr>
            <w:tcW w:type="dxa" w:w="301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120" w:type="dxa"/>
          </w:tcPr>
          <w:p>
            <w:pPr>
              <w:jc w:val="left"/>
              <w:spacing w:before="0" w:after="0"/>
            </w:pPr>
            <w:r>
              <w:rPr>
                <w:b w:val="0"/>
                <w:i w:val="0"/>
                <w:sz w:val="17"/>
              </w:rPr>
              <w:t>Both allowed</w:t>
            </w:r>
          </w:p>
        </w:tc>
      </w:tr>
      <w:tr>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400" w:type="dxa"/>
          </w:tcPr>
          <w:p>
            <w:pPr>
              <w:jc w:val="left"/>
              <w:spacing w:before="0" w:after="0"/>
            </w:pPr>
            <w:r>
              <w:rPr>
                <w:b w:val="0"/>
                <w:i w:val="0"/>
                <w:sz w:val="17"/>
              </w:rPr>
              <w:t>CCR Eligibility</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120" w:type="dxa"/>
          </w:tcPr>
          <w:p>
            <w:pPr>
              <w:jc w:val="left"/>
              <w:spacing w:before="0" w:after="0"/>
            </w:pPr>
            <w:r>
              <w:rPr>
                <w:b w:val="0"/>
                <w:i w:val="0"/>
                <w:sz w:val="17"/>
              </w:rPr>
              <w:t>Per approved list from user team</w:t>
            </w:r>
          </w:p>
        </w:tc>
        <w:tc>
          <w:tcPr>
            <w:tcW w:type="dxa" w:w="301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120" w:type="dxa"/>
          </w:tcPr>
          <w:p>
            <w:pPr>
              <w:jc w:val="left"/>
              <w:spacing w:before="0" w:after="0"/>
            </w:pPr>
            <w:r>
              <w:rPr>
                <w:b w:val="0"/>
                <w:i w:val="0"/>
                <w:sz w:val="17"/>
              </w:rPr>
              <w:t>Not open to all Monobrand CCRs</w:t>
            </w:r>
          </w:p>
        </w:tc>
      </w:tr>
    </w:tbl>
    <w:p/>
    <w:p>
      <w:r>
        <w:br w:type="page"/>
      </w:r>
    </w:p>
    <w:p>
      <w:pPr>
        <w:jc w:val="left"/>
        <w:spacing w:before="160" w:after="80"/>
      </w:pPr>
      <w:r>
        <w:rPr>
          <w:b/>
          <w:color w:val="1F4E79"/>
          <w:sz w:val="28"/>
          <w:u w:val="single"/>
        </w:rPr>
        <w:t>Appendix A: Partner MSISDN Quick Reference</w:t>
      </w:r>
    </w:p>
    <w:p>
      <w:pPr>
        <w:spacing w:before="0" w:after="60"/>
      </w:pPr>
      <w:r>
        <w:rPr>
          <w:b w:val="0"/>
          <w:i w:val="0"/>
          <w:sz w:val="19"/>
        </w:rPr>
        <w:t>All MyBL cashback campaigns route transactions through one of two partner MSISDNs. The MSISDN determines both the channel type and whether 'BLAPP' Ref ID is required.</w:t>
      </w:r>
    </w:p>
    <w:tbl>
      <w:tblPr>
        <w:tblW w:type="auto" w:w="0"/>
        <w:jc w:val="left"/>
        <w:tblLook w:firstColumn="1" w:firstRow="1" w:lastColumn="0" w:lastRow="0" w:noHBand="0" w:noVBand="1" w:val="04A0"/>
        <w:tblW w:w="8640" w:type="dxa"/>
      </w:tblPr>
      <w:tblGrid>
        <w:gridCol w:w="2257"/>
        <w:gridCol w:w="2257"/>
        <w:gridCol w:w="2257"/>
        <w:gridCol w:w="2257"/>
      </w:tblGrid>
      <w:tr>
        <w:tc>
          <w:tcPr>
            <w:tcW w:type="dxa" w:w="2257"/>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1500" w:type="dxa"/>
          </w:tcPr>
          <w:p>
            <w:pPr>
              <w:jc w:val="center"/>
              <w:spacing w:before="0" w:after="0"/>
            </w:pPr>
            <w:r>
              <w:rPr>
                <w:b/>
                <w:i w:val="0"/>
                <w:color w:val="FFFFFF"/>
                <w:sz w:val="17"/>
              </w:rPr>
              <w:t>Partner MSISDN</w:t>
            </w:r>
          </w:p>
        </w:tc>
        <w:tc>
          <w:tcPr>
            <w:tcW w:type="dxa" w:w="2257"/>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2200" w:type="dxa"/>
          </w:tcPr>
          <w:p>
            <w:pPr>
              <w:jc w:val="center"/>
              <w:spacing w:before="0" w:after="0"/>
            </w:pPr>
            <w:r>
              <w:rPr>
                <w:b/>
                <w:i w:val="0"/>
                <w:color w:val="FFFFFF"/>
                <w:sz w:val="17"/>
              </w:rPr>
              <w:t>Channel / Partner Name</w:t>
            </w:r>
          </w:p>
        </w:tc>
        <w:tc>
          <w:tcPr>
            <w:tcW w:type="dxa" w:w="2257"/>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2000" w:type="dxa"/>
          </w:tcPr>
          <w:p>
            <w:pPr>
              <w:jc w:val="center"/>
              <w:spacing w:before="0" w:after="0"/>
            </w:pPr>
            <w:r>
              <w:rPr>
                <w:b/>
                <w:i w:val="0"/>
                <w:color w:val="FFFFFF"/>
                <w:sz w:val="17"/>
              </w:rPr>
              <w:t>Ref ID Requirement</w:t>
            </w:r>
          </w:p>
        </w:tc>
        <w:tc>
          <w:tcPr>
            <w:tcW w:type="dxa" w:w="2257"/>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2940" w:type="dxa"/>
          </w:tcPr>
          <w:p>
            <w:pPr>
              <w:jc w:val="center"/>
              <w:spacing w:before="0" w:after="0"/>
            </w:pPr>
            <w:r>
              <w:rPr>
                <w:b/>
                <w:i w:val="0"/>
                <w:color w:val="FFFFFF"/>
                <w:sz w:val="17"/>
              </w:rPr>
              <w:t>Campaign Types</w:t>
            </w:r>
          </w:p>
        </w:tc>
      </w:tr>
      <w:tr>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500" w:type="dxa"/>
          </w:tcPr>
          <w:p>
            <w:pPr>
              <w:jc w:val="left"/>
              <w:spacing w:before="0" w:after="0"/>
            </w:pPr>
            <w:r>
              <w:rPr>
                <w:b w:val="0"/>
                <w:i w:val="0"/>
                <w:sz w:val="17"/>
              </w:rPr>
              <w:t>1967021235</w:t>
            </w:r>
          </w:p>
        </w:tc>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200" w:type="dxa"/>
          </w:tcPr>
          <w:p>
            <w:pPr>
              <w:jc w:val="left"/>
              <w:spacing w:before="0" w:after="0"/>
            </w:pPr>
            <w:r>
              <w:rPr>
                <w:b w:val="0"/>
                <w:i w:val="0"/>
                <w:sz w:val="17"/>
              </w:rPr>
              <w:t>BL Self-channels (SSL)</w:t>
            </w:r>
          </w:p>
        </w:tc>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00" w:type="dxa"/>
          </w:tcPr>
          <w:p>
            <w:pPr>
              <w:jc w:val="left"/>
              <w:spacing w:before="0" w:after="0"/>
            </w:pPr>
            <w:r>
              <w:rPr>
                <w:b w:val="0"/>
                <w:i w:val="0"/>
                <w:sz w:val="17"/>
              </w:rPr>
              <w:t>'BLAPP' prefix required</w:t>
            </w:r>
          </w:p>
        </w:tc>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940" w:type="dxa"/>
          </w:tcPr>
          <w:p>
            <w:pPr>
              <w:jc w:val="left"/>
              <w:spacing w:before="0" w:after="0"/>
            </w:pPr>
            <w:r>
              <w:rPr>
                <w:b w:val="0"/>
                <w:i w:val="0"/>
                <w:sz w:val="17"/>
              </w:rPr>
              <w:t>Standard Prepaid, SSL Postpaid, SSL Postpaid Revision, Hourly, Segmented, SME Segmented SSL, Special Day</w:t>
            </w:r>
          </w:p>
        </w:tc>
      </w:tr>
      <w:tr>
        <w:tc>
          <w:tcPr>
            <w:tcW w:type="dxa" w:w="2257"/>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500" w:type="dxa"/>
          </w:tcPr>
          <w:p>
            <w:pPr>
              <w:jc w:val="left"/>
              <w:spacing w:before="0" w:after="0"/>
            </w:pPr>
            <w:r>
              <w:rPr>
                <w:b w:val="0"/>
                <w:i w:val="0"/>
                <w:sz w:val="17"/>
              </w:rPr>
              <w:t>1953348398</w:t>
            </w:r>
          </w:p>
        </w:tc>
        <w:tc>
          <w:tcPr>
            <w:tcW w:type="dxa" w:w="2257"/>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200" w:type="dxa"/>
          </w:tcPr>
          <w:p>
            <w:pPr>
              <w:jc w:val="left"/>
              <w:spacing w:before="0" w:after="0"/>
            </w:pPr>
            <w:r>
              <w:rPr>
                <w:b w:val="0"/>
                <w:i w:val="0"/>
                <w:sz w:val="17"/>
              </w:rPr>
              <w:t>Portonics</w:t>
            </w:r>
          </w:p>
        </w:tc>
        <w:tc>
          <w:tcPr>
            <w:tcW w:type="dxa" w:w="2257"/>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00" w:type="dxa"/>
          </w:tcPr>
          <w:p>
            <w:pPr>
              <w:jc w:val="left"/>
              <w:spacing w:before="0" w:after="0"/>
            </w:pPr>
            <w:r>
              <w:rPr>
                <w:b w:val="0"/>
                <w:i w:val="0"/>
                <w:sz w:val="17"/>
              </w:rPr>
              <w:t>No 'BLAPP' requirement</w:t>
            </w:r>
          </w:p>
        </w:tc>
        <w:tc>
          <w:tcPr>
            <w:tcW w:type="dxa" w:w="2257"/>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940" w:type="dxa"/>
          </w:tcPr>
          <w:p>
            <w:pPr>
              <w:jc w:val="left"/>
              <w:spacing w:before="0" w:after="0"/>
            </w:pPr>
            <w:r>
              <w:rPr>
                <w:b w:val="0"/>
                <w:i w:val="0"/>
                <w:sz w:val="17"/>
              </w:rPr>
              <w:t>Portonics Standard Prepaid, Portonics Postpaid, SME Segmented Portonics, Portonics Special Day</w:t>
            </w:r>
          </w:p>
        </w:tc>
      </w:tr>
    </w:tbl>
    <w:p/>
    <w:p/>
    <w:p>
      <w:pPr>
        <w:jc w:val="left"/>
        <w:spacing w:before="160" w:after="80"/>
      </w:pPr>
      <w:r>
        <w:rPr>
          <w:b/>
          <w:color w:val="1F4E79"/>
          <w:sz w:val="28"/>
          <w:u w:val="single"/>
        </w:rPr>
        <w:t>Appendix B: Campaign Priority Hierarchy Summary</w:t>
      </w:r>
    </w:p>
    <w:tbl>
      <w:tblPr>
        <w:tblW w:type="auto" w:w="0"/>
        <w:jc w:val="left"/>
        <w:tblLook w:firstColumn="1" w:firstRow="1" w:lastColumn="0" w:lastRow="0" w:noHBand="0" w:noVBand="1" w:val="04A0"/>
        <w:tblW w:w="8640" w:type="dxa"/>
      </w:tblPr>
      <w:tblGrid>
        <w:gridCol w:w="2257"/>
        <w:gridCol w:w="2257"/>
        <w:gridCol w:w="2257"/>
        <w:gridCol w:w="2257"/>
      </w:tblGrid>
      <w:tr>
        <w:tc>
          <w:tcPr>
            <w:tcW w:type="dxa" w:w="2257"/>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1200" w:type="dxa"/>
          </w:tcPr>
          <w:p>
            <w:pPr>
              <w:jc w:val="center"/>
              <w:spacing w:before="0" w:after="0"/>
            </w:pPr>
            <w:r>
              <w:rPr>
                <w:b/>
                <w:i w:val="0"/>
                <w:color w:val="FFFFFF"/>
                <w:sz w:val="17"/>
              </w:rPr>
              <w:t>Priority</w:t>
            </w:r>
          </w:p>
        </w:tc>
        <w:tc>
          <w:tcPr>
            <w:tcW w:type="dxa" w:w="2257"/>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2000" w:type="dxa"/>
          </w:tcPr>
          <w:p>
            <w:pPr>
              <w:jc w:val="center"/>
              <w:spacing w:before="0" w:after="0"/>
            </w:pPr>
            <w:r>
              <w:rPr>
                <w:b/>
                <w:i w:val="0"/>
                <w:color w:val="FFFFFF"/>
                <w:sz w:val="17"/>
              </w:rPr>
              <w:t>Campaign Type</w:t>
            </w:r>
          </w:p>
        </w:tc>
        <w:tc>
          <w:tcPr>
            <w:tcW w:type="dxa" w:w="2257"/>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3540" w:type="dxa"/>
          </w:tcPr>
          <w:p>
            <w:pPr>
              <w:jc w:val="center"/>
              <w:spacing w:before="0" w:after="0"/>
            </w:pPr>
            <w:r>
              <w:rPr>
                <w:b/>
                <w:i w:val="0"/>
                <w:color w:val="FFFFFF"/>
                <w:sz w:val="17"/>
              </w:rPr>
              <w:t>Exclusion Rule</w:t>
            </w:r>
          </w:p>
        </w:tc>
        <w:tc>
          <w:tcPr>
            <w:tcW w:type="dxa" w:w="2257"/>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1900" w:type="dxa"/>
          </w:tcPr>
          <w:p>
            <w:pPr>
              <w:jc w:val="center"/>
              <w:spacing w:before="0" w:after="0"/>
            </w:pPr>
            <w:r>
              <w:rPr>
                <w:b/>
                <w:i w:val="0"/>
                <w:color w:val="FFFFFF"/>
                <w:sz w:val="17"/>
              </w:rPr>
              <w:t>Multiple Cashback?</w:t>
            </w:r>
          </w:p>
        </w:tc>
      </w:tr>
      <w:tr>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200" w:type="dxa"/>
          </w:tcPr>
          <w:p>
            <w:pPr>
              <w:jc w:val="left"/>
              <w:spacing w:before="0" w:after="0"/>
            </w:pPr>
            <w:r>
              <w:rPr>
                <w:b w:val="0"/>
                <w:i w:val="0"/>
                <w:sz w:val="17"/>
              </w:rPr>
              <w:t>1 (Highest)</w:t>
            </w:r>
          </w:p>
        </w:tc>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00" w:type="dxa"/>
          </w:tcPr>
          <w:p>
            <w:pPr>
              <w:jc w:val="left"/>
              <w:spacing w:before="0" w:after="0"/>
            </w:pPr>
            <w:r>
              <w:rPr>
                <w:b w:val="0"/>
                <w:i w:val="0"/>
                <w:sz w:val="17"/>
              </w:rPr>
              <w:t>Segmented</w:t>
            </w:r>
          </w:p>
        </w:tc>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540" w:type="dxa"/>
          </w:tcPr>
          <w:p>
            <w:pPr>
              <w:jc w:val="left"/>
              <w:spacing w:before="0" w:after="0"/>
            </w:pPr>
            <w:r>
              <w:rPr>
                <w:b w:val="0"/>
                <w:i w:val="0"/>
                <w:sz w:val="17"/>
              </w:rPr>
              <w:t>Transactions counted here are NOT counted in Hourly, Special Day, or Regular</w:t>
            </w:r>
          </w:p>
        </w:tc>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900" w:type="dxa"/>
          </w:tcPr>
          <w:p>
            <w:pPr>
              <w:jc w:val="left"/>
              <w:spacing w:before="0" w:after="0"/>
            </w:pPr>
            <w:r>
              <w:rPr>
                <w:b w:val="0"/>
                <w:i w:val="0"/>
                <w:sz w:val="17"/>
              </w:rPr>
              <w:t>One-time OR multiple (per SRF)</w:t>
            </w:r>
          </w:p>
        </w:tc>
      </w:tr>
      <w:tr>
        <w:tc>
          <w:tcPr>
            <w:tcW w:type="dxa" w:w="2257"/>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200" w:type="dxa"/>
          </w:tcPr>
          <w:p>
            <w:pPr>
              <w:jc w:val="left"/>
              <w:spacing w:before="0" w:after="0"/>
            </w:pPr>
            <w:r>
              <w:rPr>
                <w:b w:val="0"/>
                <w:i w:val="0"/>
                <w:sz w:val="17"/>
              </w:rPr>
              <w:t>2</w:t>
            </w:r>
          </w:p>
        </w:tc>
        <w:tc>
          <w:tcPr>
            <w:tcW w:type="dxa" w:w="2257"/>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00" w:type="dxa"/>
          </w:tcPr>
          <w:p>
            <w:pPr>
              <w:jc w:val="left"/>
              <w:spacing w:before="0" w:after="0"/>
            </w:pPr>
            <w:r>
              <w:rPr>
                <w:b w:val="0"/>
                <w:i w:val="0"/>
                <w:sz w:val="17"/>
              </w:rPr>
              <w:t>Hourly</w:t>
            </w:r>
          </w:p>
        </w:tc>
        <w:tc>
          <w:tcPr>
            <w:tcW w:type="dxa" w:w="2257"/>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540" w:type="dxa"/>
          </w:tcPr>
          <w:p>
            <w:pPr>
              <w:jc w:val="left"/>
              <w:spacing w:before="0" w:after="0"/>
            </w:pPr>
            <w:r>
              <w:rPr>
                <w:b w:val="0"/>
                <w:i w:val="0"/>
                <w:sz w:val="17"/>
              </w:rPr>
              <w:t>Segmented transactions excluded; Hourly transactions not counted in Regular</w:t>
            </w:r>
          </w:p>
        </w:tc>
        <w:tc>
          <w:tcPr>
            <w:tcW w:type="dxa" w:w="2257"/>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900" w:type="dxa"/>
          </w:tcPr>
          <w:p>
            <w:pPr>
              <w:jc w:val="left"/>
              <w:spacing w:before="0" w:after="0"/>
            </w:pPr>
            <w:r>
              <w:rPr>
                <w:b w:val="0"/>
                <w:i w:val="0"/>
                <w:sz w:val="17"/>
              </w:rPr>
              <w:t>Yes — multiple</w:t>
            </w:r>
          </w:p>
        </w:tc>
      </w:tr>
      <w:tr>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200" w:type="dxa"/>
          </w:tcPr>
          <w:p>
            <w:pPr>
              <w:jc w:val="left"/>
              <w:spacing w:before="0" w:after="0"/>
            </w:pPr>
            <w:r>
              <w:rPr>
                <w:b w:val="0"/>
                <w:i w:val="0"/>
                <w:sz w:val="17"/>
              </w:rPr>
              <w:t>3</w:t>
            </w:r>
          </w:p>
        </w:tc>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00" w:type="dxa"/>
          </w:tcPr>
          <w:p>
            <w:pPr>
              <w:jc w:val="left"/>
              <w:spacing w:before="0" w:after="0"/>
            </w:pPr>
            <w:r>
              <w:rPr>
                <w:b w:val="0"/>
                <w:i w:val="0"/>
                <w:sz w:val="17"/>
              </w:rPr>
              <w:t>Special Day</w:t>
            </w:r>
          </w:p>
        </w:tc>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540" w:type="dxa"/>
          </w:tcPr>
          <w:p>
            <w:pPr>
              <w:jc w:val="left"/>
              <w:spacing w:before="0" w:after="0"/>
            </w:pPr>
            <w:r>
              <w:rPr>
                <w:b w:val="0"/>
                <w:i w:val="0"/>
                <w:sz w:val="17"/>
              </w:rPr>
              <w:t>Segmented and Hourly transactions excluded; Special Day not counted in Regular</w:t>
            </w:r>
          </w:p>
        </w:tc>
        <w:tc>
          <w:tcPr>
            <w:tcW w:type="dxa" w:w="2257"/>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900" w:type="dxa"/>
          </w:tcPr>
          <w:p>
            <w:pPr>
              <w:jc w:val="left"/>
              <w:spacing w:before="0" w:after="0"/>
            </w:pPr>
            <w:r>
              <w:rPr>
                <w:b w:val="0"/>
                <w:i w:val="0"/>
                <w:sz w:val="17"/>
              </w:rPr>
              <w:t>Yes — multiple</w:t>
            </w:r>
          </w:p>
        </w:tc>
      </w:tr>
      <w:tr>
        <w:tc>
          <w:tcPr>
            <w:tcW w:type="dxa" w:w="2257"/>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200" w:type="dxa"/>
          </w:tcPr>
          <w:p>
            <w:pPr>
              <w:jc w:val="left"/>
              <w:spacing w:before="0" w:after="0"/>
            </w:pPr>
            <w:r>
              <w:rPr>
                <w:b w:val="0"/>
                <w:i w:val="0"/>
                <w:sz w:val="17"/>
              </w:rPr>
              <w:t>4 (Lowest)</w:t>
            </w:r>
          </w:p>
        </w:tc>
        <w:tc>
          <w:tcPr>
            <w:tcW w:type="dxa" w:w="2257"/>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00" w:type="dxa"/>
          </w:tcPr>
          <w:p>
            <w:pPr>
              <w:jc w:val="left"/>
              <w:spacing w:before="0" w:after="0"/>
            </w:pPr>
            <w:r>
              <w:rPr>
                <w:b w:val="0"/>
                <w:i w:val="0"/>
                <w:sz w:val="17"/>
              </w:rPr>
              <w:t>Regular/Standard</w:t>
            </w:r>
          </w:p>
        </w:tc>
        <w:tc>
          <w:tcPr>
            <w:tcW w:type="dxa" w:w="2257"/>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3540" w:type="dxa"/>
          </w:tcPr>
          <w:p>
            <w:pPr>
              <w:jc w:val="left"/>
              <w:spacing w:before="0" w:after="0"/>
            </w:pPr>
            <w:r>
              <w:rPr>
                <w:b w:val="0"/>
                <w:i w:val="0"/>
                <w:sz w:val="17"/>
              </w:rPr>
              <w:t>Segmented, Hourly, and Special Day transactions are all excluded</w:t>
            </w:r>
          </w:p>
        </w:tc>
        <w:tc>
          <w:tcPr>
            <w:tcW w:type="dxa" w:w="2257"/>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900" w:type="dxa"/>
          </w:tcPr>
          <w:p>
            <w:pPr>
              <w:jc w:val="left"/>
              <w:spacing w:before="0" w:after="0"/>
            </w:pPr>
            <w:r>
              <w:rPr>
                <w:b w:val="0"/>
                <w:i w:val="0"/>
                <w:sz w:val="17"/>
              </w:rPr>
              <w:t>Yes — multiple</w:t>
            </w:r>
          </w:p>
        </w:tc>
      </w:tr>
    </w:tbl>
    <w:p/>
    <w:p/>
    <w:p>
      <w:pPr>
        <w:jc w:val="left"/>
        <w:spacing w:before="160" w:after="80"/>
      </w:pPr>
      <w:r>
        <w:rPr>
          <w:b/>
          <w:color w:val="1F4E79"/>
          <w:sz w:val="28"/>
          <w:u w:val="single"/>
        </w:rPr>
        <w:t>Appendix C: Campaign Type Cross-Reference Matrix</w:t>
      </w:r>
    </w:p>
    <w:tbl>
      <w:tblPr>
        <w:tblW w:type="auto" w:w="0"/>
        <w:jc w:val="left"/>
        <w:tblLook w:firstColumn="1" w:firstRow="1" w:lastColumn="0" w:lastRow="0" w:noHBand="0" w:noVBand="1" w:val="04A0"/>
        <w:tblW w:w="8640" w:type="dxa"/>
      </w:tblPr>
      <w:tblGrid>
        <w:gridCol w:w="1290"/>
        <w:gridCol w:w="1290"/>
        <w:gridCol w:w="1290"/>
        <w:gridCol w:w="1290"/>
        <w:gridCol w:w="1290"/>
        <w:gridCol w:w="1290"/>
        <w:gridCol w:w="1290"/>
      </w:tblGrid>
      <w:tr>
        <w:tc>
          <w:tcPr>
            <w:tcW w:type="dxa" w:w="1290"/>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480" w:type="dxa"/>
          </w:tcPr>
          <w:p>
            <w:pPr>
              <w:jc w:val="center"/>
              <w:spacing w:before="0" w:after="0"/>
            </w:pPr>
            <w:r>
              <w:rPr>
                <w:b/>
                <w:i w:val="0"/>
                <w:color w:val="FFFFFF"/>
                <w:sz w:val="17"/>
              </w:rPr>
              <w:t>Section</w:t>
            </w:r>
          </w:p>
        </w:tc>
        <w:tc>
          <w:tcPr>
            <w:tcW w:type="dxa" w:w="1290"/>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2000" w:type="dxa"/>
          </w:tcPr>
          <w:p>
            <w:pPr>
              <w:jc w:val="center"/>
              <w:spacing w:before="0" w:after="0"/>
            </w:pPr>
            <w:r>
              <w:rPr>
                <w:b/>
                <w:i w:val="0"/>
                <w:color w:val="FFFFFF"/>
                <w:sz w:val="17"/>
              </w:rPr>
              <w:t>Campaign Type</w:t>
            </w:r>
          </w:p>
        </w:tc>
        <w:tc>
          <w:tcPr>
            <w:tcW w:type="dxa" w:w="1290"/>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1100" w:type="dxa"/>
          </w:tcPr>
          <w:p>
            <w:pPr>
              <w:jc w:val="center"/>
              <w:spacing w:before="0" w:after="0"/>
            </w:pPr>
            <w:r>
              <w:rPr>
                <w:b/>
                <w:i w:val="0"/>
                <w:color w:val="FFFFFF"/>
                <w:sz w:val="17"/>
              </w:rPr>
              <w:t>Channel</w:t>
            </w:r>
          </w:p>
        </w:tc>
        <w:tc>
          <w:tcPr>
            <w:tcW w:type="dxa" w:w="1290"/>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1300" w:type="dxa"/>
          </w:tcPr>
          <w:p>
            <w:pPr>
              <w:jc w:val="center"/>
              <w:spacing w:before="0" w:after="0"/>
            </w:pPr>
            <w:r>
              <w:rPr>
                <w:b/>
                <w:i w:val="0"/>
                <w:color w:val="FFFFFF"/>
                <w:sz w:val="17"/>
              </w:rPr>
              <w:t>MSISDN</w:t>
            </w:r>
          </w:p>
        </w:tc>
        <w:tc>
          <w:tcPr>
            <w:tcW w:type="dxa" w:w="1290"/>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1200" w:type="dxa"/>
          </w:tcPr>
          <w:p>
            <w:pPr>
              <w:jc w:val="center"/>
              <w:spacing w:before="0" w:after="0"/>
            </w:pPr>
            <w:r>
              <w:rPr>
                <w:b/>
                <w:i w:val="0"/>
                <w:color w:val="FFFFFF"/>
                <w:sz w:val="17"/>
              </w:rPr>
              <w:t>Service Class</w:t>
            </w:r>
          </w:p>
        </w:tc>
        <w:tc>
          <w:tcPr>
            <w:tcW w:type="dxa" w:w="1290"/>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1060" w:type="dxa"/>
          </w:tcPr>
          <w:p>
            <w:pPr>
              <w:jc w:val="center"/>
              <w:spacing w:before="0" w:after="0"/>
            </w:pPr>
            <w:r>
              <w:rPr>
                <w:b/>
                <w:i w:val="0"/>
                <w:color w:val="FFFFFF"/>
                <w:sz w:val="17"/>
              </w:rPr>
              <w:t>BLAPP Req?</w:t>
            </w:r>
          </w:p>
        </w:tc>
        <w:tc>
          <w:tcPr>
            <w:tcW w:type="dxa" w:w="1290"/>
            <w:shd w:val="clear" w:color="auto" w:fill="1F4E79"/>
            <w:tcBorders>
              <w:top w:val="single" w:sz="6" w:space="0" w:color="FFFFFF"/>
              <w:left w:val="single" w:sz="6" w:space="0" w:color="FFFFFF"/>
              <w:bottom w:val="single" w:sz="6" w:space="0" w:color="FFFFFF"/>
              <w:right w:val="single" w:sz="6" w:space="0" w:color="FFFFFF"/>
            </w:tcBorders>
            <w:tcMar>
              <w:top w:w="80" w:type="dxa"/>
              <w:bottom w:w="80" w:type="dxa"/>
              <w:left w:w="100" w:type="dxa"/>
              <w:right w:w="100" w:type="dxa"/>
            </w:tcMar>
            <w:tcW w:w="1500" w:type="dxa"/>
          </w:tcPr>
          <w:p>
            <w:pPr>
              <w:jc w:val="center"/>
              <w:spacing w:before="0" w:after="0"/>
            </w:pPr>
            <w:r>
              <w:rPr>
                <w:b/>
                <w:i w:val="0"/>
                <w:color w:val="FFFFFF"/>
                <w:sz w:val="17"/>
              </w:rPr>
              <w:t>Priority</w:t>
            </w:r>
          </w:p>
        </w:tc>
      </w:tr>
      <w:tr>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left"/>
              <w:spacing w:before="0" w:after="0"/>
            </w:pPr>
            <w:r>
              <w:rPr>
                <w:b w:val="0"/>
                <w:i w:val="0"/>
                <w:sz w:val="17"/>
              </w:rPr>
              <w:t>1</w:t>
            </w:r>
          </w:p>
        </w:tc>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00" w:type="dxa"/>
          </w:tcPr>
          <w:p>
            <w:pPr>
              <w:jc w:val="left"/>
              <w:spacing w:before="0" w:after="0"/>
            </w:pPr>
            <w:r>
              <w:rPr>
                <w:b w:val="0"/>
                <w:i w:val="0"/>
                <w:sz w:val="17"/>
              </w:rPr>
              <w:t>Standard Regular</w:t>
            </w:r>
          </w:p>
        </w:tc>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100" w:type="dxa"/>
          </w:tcPr>
          <w:p>
            <w:pPr>
              <w:jc w:val="left"/>
              <w:spacing w:before="0" w:after="0"/>
            </w:pPr>
            <w:r>
              <w:rPr>
                <w:b w:val="0"/>
                <w:i w:val="0"/>
                <w:sz w:val="17"/>
              </w:rPr>
              <w:t>BL Self</w:t>
            </w:r>
          </w:p>
        </w:tc>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300" w:type="dxa"/>
          </w:tcPr>
          <w:p>
            <w:pPr>
              <w:jc w:val="left"/>
              <w:spacing w:before="0" w:after="0"/>
            </w:pPr>
            <w:r>
              <w:rPr>
                <w:b w:val="0"/>
                <w:i w:val="0"/>
                <w:sz w:val="17"/>
              </w:rPr>
              <w:t>1967021235</w:t>
            </w:r>
          </w:p>
        </w:tc>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200" w:type="dxa"/>
          </w:tcPr>
          <w:p>
            <w:pPr>
              <w:jc w:val="left"/>
              <w:spacing w:before="0" w:after="0"/>
            </w:pPr>
            <w:r>
              <w:rPr>
                <w:b w:val="0"/>
                <w:i w:val="0"/>
                <w:sz w:val="17"/>
              </w:rPr>
              <w:t>&lt;1000</w:t>
            </w:r>
          </w:p>
        </w:tc>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060" w:type="dxa"/>
          </w:tcPr>
          <w:p>
            <w:pPr>
              <w:jc w:val="left"/>
              <w:spacing w:before="0" w:after="0"/>
            </w:pPr>
            <w:r>
              <w:rPr>
                <w:b w:val="0"/>
                <w:i w:val="0"/>
                <w:sz w:val="17"/>
              </w:rPr>
              <w:t>YES</w:t>
            </w:r>
          </w:p>
        </w:tc>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500" w:type="dxa"/>
          </w:tcPr>
          <w:p>
            <w:pPr>
              <w:jc w:val="left"/>
              <w:spacing w:before="0" w:after="0"/>
            </w:pPr>
            <w:r>
              <w:rPr>
                <w:b w:val="0"/>
                <w:i w:val="0"/>
                <w:sz w:val="17"/>
              </w:rPr>
              <w:t>4-Lowest</w:t>
            </w:r>
          </w:p>
        </w:tc>
      </w:tr>
      <w:tr>
        <w:tc>
          <w:tcPr>
            <w:tcW w:type="dxa" w:w="129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left"/>
              <w:spacing w:before="0" w:after="0"/>
            </w:pPr>
            <w:r>
              <w:rPr>
                <w:b w:val="0"/>
                <w:i w:val="0"/>
                <w:sz w:val="17"/>
              </w:rPr>
              <w:t>2</w:t>
            </w:r>
          </w:p>
        </w:tc>
        <w:tc>
          <w:tcPr>
            <w:tcW w:type="dxa" w:w="129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00" w:type="dxa"/>
          </w:tcPr>
          <w:p>
            <w:pPr>
              <w:jc w:val="left"/>
              <w:spacing w:before="0" w:after="0"/>
            </w:pPr>
            <w:r>
              <w:rPr>
                <w:b w:val="0"/>
                <w:i w:val="0"/>
                <w:sz w:val="17"/>
              </w:rPr>
              <w:t>Portonics Standard</w:t>
            </w:r>
          </w:p>
        </w:tc>
        <w:tc>
          <w:tcPr>
            <w:tcW w:type="dxa" w:w="129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100" w:type="dxa"/>
          </w:tcPr>
          <w:p>
            <w:pPr>
              <w:jc w:val="left"/>
              <w:spacing w:before="0" w:after="0"/>
            </w:pPr>
            <w:r>
              <w:rPr>
                <w:b w:val="0"/>
                <w:i w:val="0"/>
                <w:sz w:val="17"/>
              </w:rPr>
              <w:t>Portonics</w:t>
            </w:r>
          </w:p>
        </w:tc>
        <w:tc>
          <w:tcPr>
            <w:tcW w:type="dxa" w:w="129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300" w:type="dxa"/>
          </w:tcPr>
          <w:p>
            <w:pPr>
              <w:jc w:val="left"/>
              <w:spacing w:before="0" w:after="0"/>
            </w:pPr>
            <w:r>
              <w:rPr>
                <w:b w:val="0"/>
                <w:i w:val="0"/>
                <w:sz w:val="17"/>
              </w:rPr>
              <w:t>1953348398</w:t>
            </w:r>
          </w:p>
        </w:tc>
        <w:tc>
          <w:tcPr>
            <w:tcW w:type="dxa" w:w="129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200" w:type="dxa"/>
          </w:tcPr>
          <w:p>
            <w:pPr>
              <w:jc w:val="left"/>
              <w:spacing w:before="0" w:after="0"/>
            </w:pPr>
            <w:r>
              <w:rPr>
                <w:b w:val="0"/>
                <w:i w:val="0"/>
                <w:sz w:val="17"/>
              </w:rPr>
              <w:t>&lt;1000</w:t>
            </w:r>
          </w:p>
        </w:tc>
        <w:tc>
          <w:tcPr>
            <w:tcW w:type="dxa" w:w="129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060" w:type="dxa"/>
          </w:tcPr>
          <w:p>
            <w:pPr>
              <w:jc w:val="left"/>
              <w:spacing w:before="0" w:after="0"/>
            </w:pPr>
            <w:r>
              <w:rPr>
                <w:b w:val="0"/>
                <w:i w:val="0"/>
                <w:sz w:val="17"/>
              </w:rPr>
              <w:t>NO</w:t>
            </w:r>
          </w:p>
        </w:tc>
        <w:tc>
          <w:tcPr>
            <w:tcW w:type="dxa" w:w="129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500" w:type="dxa"/>
          </w:tcPr>
          <w:p>
            <w:pPr>
              <w:jc w:val="left"/>
              <w:spacing w:before="0" w:after="0"/>
            </w:pPr>
            <w:r>
              <w:rPr>
                <w:b w:val="0"/>
                <w:i w:val="0"/>
                <w:sz w:val="17"/>
              </w:rPr>
              <w:t>4-Lowest</w:t>
            </w:r>
          </w:p>
        </w:tc>
      </w:tr>
      <w:tr>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left"/>
              <w:spacing w:before="0" w:after="0"/>
            </w:pPr>
            <w:r>
              <w:rPr>
                <w:b w:val="0"/>
                <w:i w:val="0"/>
                <w:sz w:val="17"/>
              </w:rPr>
              <w:t>3</w:t>
            </w:r>
          </w:p>
        </w:tc>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00" w:type="dxa"/>
          </w:tcPr>
          <w:p>
            <w:pPr>
              <w:jc w:val="left"/>
              <w:spacing w:before="0" w:after="0"/>
            </w:pPr>
            <w:r>
              <w:rPr>
                <w:b w:val="0"/>
                <w:i w:val="0"/>
                <w:sz w:val="17"/>
              </w:rPr>
              <w:t>SSL Postpaid</w:t>
            </w:r>
          </w:p>
        </w:tc>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100" w:type="dxa"/>
          </w:tcPr>
          <w:p>
            <w:pPr>
              <w:jc w:val="left"/>
              <w:spacing w:before="0" w:after="0"/>
            </w:pPr>
            <w:r>
              <w:rPr>
                <w:b w:val="0"/>
                <w:i w:val="0"/>
                <w:sz w:val="17"/>
              </w:rPr>
              <w:t>BL Self</w:t>
            </w:r>
          </w:p>
        </w:tc>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300" w:type="dxa"/>
          </w:tcPr>
          <w:p>
            <w:pPr>
              <w:jc w:val="left"/>
              <w:spacing w:before="0" w:after="0"/>
            </w:pPr>
            <w:r>
              <w:rPr>
                <w:b w:val="0"/>
                <w:i w:val="0"/>
                <w:sz w:val="17"/>
              </w:rPr>
              <w:t>1967021235</w:t>
            </w:r>
          </w:p>
        </w:tc>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200" w:type="dxa"/>
          </w:tcPr>
          <w:p>
            <w:pPr>
              <w:jc w:val="left"/>
              <w:spacing w:before="0" w:after="0"/>
            </w:pPr>
            <w:r>
              <w:rPr>
                <w:b w:val="0"/>
                <w:i w:val="0"/>
                <w:sz w:val="17"/>
              </w:rPr>
              <w:t>≥1000</w:t>
            </w:r>
          </w:p>
        </w:tc>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060" w:type="dxa"/>
          </w:tcPr>
          <w:p>
            <w:pPr>
              <w:jc w:val="left"/>
              <w:spacing w:before="0" w:after="0"/>
            </w:pPr>
            <w:r>
              <w:rPr>
                <w:b w:val="0"/>
                <w:i w:val="0"/>
                <w:sz w:val="17"/>
              </w:rPr>
              <w:t>YES</w:t>
            </w:r>
          </w:p>
        </w:tc>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500" w:type="dxa"/>
          </w:tcPr>
          <w:p>
            <w:pPr>
              <w:jc w:val="left"/>
              <w:spacing w:before="0" w:after="0"/>
            </w:pPr>
            <w:r>
              <w:rPr>
                <w:b w:val="0"/>
                <w:i w:val="0"/>
                <w:sz w:val="17"/>
              </w:rPr>
              <w:t>Standard</w:t>
            </w:r>
          </w:p>
        </w:tc>
      </w:tr>
      <w:tr>
        <w:tc>
          <w:tcPr>
            <w:tcW w:type="dxa" w:w="129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left"/>
              <w:spacing w:before="0" w:after="0"/>
            </w:pPr>
            <w:r>
              <w:rPr>
                <w:b w:val="0"/>
                <w:i w:val="0"/>
                <w:sz w:val="17"/>
              </w:rPr>
              <w:t>4</w:t>
            </w:r>
          </w:p>
        </w:tc>
        <w:tc>
          <w:tcPr>
            <w:tcW w:type="dxa" w:w="129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00" w:type="dxa"/>
          </w:tcPr>
          <w:p>
            <w:pPr>
              <w:jc w:val="left"/>
              <w:spacing w:before="0" w:after="0"/>
            </w:pPr>
            <w:r>
              <w:rPr>
                <w:b w:val="0"/>
                <w:i w:val="0"/>
                <w:sz w:val="17"/>
              </w:rPr>
              <w:t>SSL Postpaid Revision</w:t>
            </w:r>
          </w:p>
        </w:tc>
        <w:tc>
          <w:tcPr>
            <w:tcW w:type="dxa" w:w="129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100" w:type="dxa"/>
          </w:tcPr>
          <w:p>
            <w:pPr>
              <w:jc w:val="left"/>
              <w:spacing w:before="0" w:after="0"/>
            </w:pPr>
            <w:r>
              <w:rPr>
                <w:b w:val="0"/>
                <w:i w:val="0"/>
                <w:sz w:val="17"/>
              </w:rPr>
              <w:t>BL Self</w:t>
            </w:r>
          </w:p>
        </w:tc>
        <w:tc>
          <w:tcPr>
            <w:tcW w:type="dxa" w:w="129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300" w:type="dxa"/>
          </w:tcPr>
          <w:p>
            <w:pPr>
              <w:jc w:val="left"/>
              <w:spacing w:before="0" w:after="0"/>
            </w:pPr>
            <w:r>
              <w:rPr>
                <w:b w:val="0"/>
                <w:i w:val="0"/>
                <w:sz w:val="17"/>
              </w:rPr>
              <w:t>1967021235</w:t>
            </w:r>
          </w:p>
        </w:tc>
        <w:tc>
          <w:tcPr>
            <w:tcW w:type="dxa" w:w="129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200" w:type="dxa"/>
          </w:tcPr>
          <w:p>
            <w:pPr>
              <w:jc w:val="left"/>
              <w:spacing w:before="0" w:after="0"/>
            </w:pPr>
            <w:r>
              <w:rPr>
                <w:b w:val="0"/>
                <w:i w:val="0"/>
                <w:sz w:val="17"/>
              </w:rPr>
              <w:t>≥1000</w:t>
            </w:r>
          </w:p>
        </w:tc>
        <w:tc>
          <w:tcPr>
            <w:tcW w:type="dxa" w:w="129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060" w:type="dxa"/>
          </w:tcPr>
          <w:p>
            <w:pPr>
              <w:jc w:val="left"/>
              <w:spacing w:before="0" w:after="0"/>
            </w:pPr>
            <w:r>
              <w:rPr>
                <w:b w:val="0"/>
                <w:i w:val="0"/>
                <w:sz w:val="17"/>
              </w:rPr>
              <w:t>YES</w:t>
            </w:r>
          </w:p>
        </w:tc>
        <w:tc>
          <w:tcPr>
            <w:tcW w:type="dxa" w:w="129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500" w:type="dxa"/>
          </w:tcPr>
          <w:p>
            <w:pPr>
              <w:jc w:val="left"/>
              <w:spacing w:before="0" w:after="0"/>
            </w:pPr>
            <w:r>
              <w:rPr>
                <w:b w:val="0"/>
                <w:i w:val="0"/>
                <w:sz w:val="17"/>
              </w:rPr>
              <w:t>Standard</w:t>
            </w:r>
          </w:p>
        </w:tc>
      </w:tr>
      <w:tr>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left"/>
              <w:spacing w:before="0" w:after="0"/>
            </w:pPr>
            <w:r>
              <w:rPr>
                <w:b w:val="0"/>
                <w:i w:val="0"/>
                <w:sz w:val="17"/>
              </w:rPr>
              <w:t>5</w:t>
            </w:r>
          </w:p>
        </w:tc>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00" w:type="dxa"/>
          </w:tcPr>
          <w:p>
            <w:pPr>
              <w:jc w:val="left"/>
              <w:spacing w:before="0" w:after="0"/>
            </w:pPr>
            <w:r>
              <w:rPr>
                <w:b w:val="0"/>
                <w:i w:val="0"/>
                <w:sz w:val="17"/>
              </w:rPr>
              <w:t>Portonics Postpaid</w:t>
            </w:r>
          </w:p>
        </w:tc>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100" w:type="dxa"/>
          </w:tcPr>
          <w:p>
            <w:pPr>
              <w:jc w:val="left"/>
              <w:spacing w:before="0" w:after="0"/>
            </w:pPr>
            <w:r>
              <w:rPr>
                <w:b w:val="0"/>
                <w:i w:val="0"/>
                <w:sz w:val="17"/>
              </w:rPr>
              <w:t>Portonics</w:t>
            </w:r>
          </w:p>
        </w:tc>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300" w:type="dxa"/>
          </w:tcPr>
          <w:p>
            <w:pPr>
              <w:jc w:val="left"/>
              <w:spacing w:before="0" w:after="0"/>
            </w:pPr>
            <w:r>
              <w:rPr>
                <w:b w:val="0"/>
                <w:i w:val="0"/>
                <w:sz w:val="17"/>
              </w:rPr>
              <w:t>1953348398</w:t>
            </w:r>
          </w:p>
        </w:tc>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200" w:type="dxa"/>
          </w:tcPr>
          <w:p>
            <w:pPr>
              <w:jc w:val="left"/>
              <w:spacing w:before="0" w:after="0"/>
            </w:pPr>
            <w:r>
              <w:rPr>
                <w:b w:val="0"/>
                <w:i w:val="0"/>
                <w:sz w:val="17"/>
              </w:rPr>
              <w:t>≥1000</w:t>
            </w:r>
          </w:p>
        </w:tc>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060" w:type="dxa"/>
          </w:tcPr>
          <w:p>
            <w:pPr>
              <w:jc w:val="left"/>
              <w:spacing w:before="0" w:after="0"/>
            </w:pPr>
            <w:r>
              <w:rPr>
                <w:b w:val="0"/>
                <w:i w:val="0"/>
                <w:sz w:val="17"/>
              </w:rPr>
              <w:t>NO</w:t>
            </w:r>
          </w:p>
        </w:tc>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500" w:type="dxa"/>
          </w:tcPr>
          <w:p>
            <w:pPr>
              <w:jc w:val="left"/>
              <w:spacing w:before="0" w:after="0"/>
            </w:pPr>
            <w:r>
              <w:rPr>
                <w:b w:val="0"/>
                <w:i w:val="0"/>
                <w:sz w:val="17"/>
              </w:rPr>
              <w:t>Standard</w:t>
            </w:r>
          </w:p>
        </w:tc>
      </w:tr>
      <w:tr>
        <w:tc>
          <w:tcPr>
            <w:tcW w:type="dxa" w:w="129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left"/>
              <w:spacing w:before="0" w:after="0"/>
            </w:pPr>
            <w:r>
              <w:rPr>
                <w:b w:val="0"/>
                <w:i w:val="0"/>
                <w:sz w:val="17"/>
              </w:rPr>
              <w:t>6</w:t>
            </w:r>
          </w:p>
        </w:tc>
        <w:tc>
          <w:tcPr>
            <w:tcW w:type="dxa" w:w="129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00" w:type="dxa"/>
          </w:tcPr>
          <w:p>
            <w:pPr>
              <w:jc w:val="left"/>
              <w:spacing w:before="0" w:after="0"/>
            </w:pPr>
            <w:r>
              <w:rPr>
                <w:b w:val="0"/>
                <w:i w:val="0"/>
                <w:sz w:val="17"/>
              </w:rPr>
              <w:t>Hourly</w:t>
            </w:r>
          </w:p>
        </w:tc>
        <w:tc>
          <w:tcPr>
            <w:tcW w:type="dxa" w:w="129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100" w:type="dxa"/>
          </w:tcPr>
          <w:p>
            <w:pPr>
              <w:jc w:val="left"/>
              <w:spacing w:before="0" w:after="0"/>
            </w:pPr>
            <w:r>
              <w:rPr>
                <w:b w:val="0"/>
                <w:i w:val="0"/>
                <w:sz w:val="17"/>
              </w:rPr>
              <w:t>BL Self</w:t>
            </w:r>
          </w:p>
        </w:tc>
        <w:tc>
          <w:tcPr>
            <w:tcW w:type="dxa" w:w="129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300" w:type="dxa"/>
          </w:tcPr>
          <w:p>
            <w:pPr>
              <w:jc w:val="left"/>
              <w:spacing w:before="0" w:after="0"/>
            </w:pPr>
            <w:r>
              <w:rPr>
                <w:b w:val="0"/>
                <w:i w:val="0"/>
                <w:sz w:val="17"/>
              </w:rPr>
              <w:t>1967021235</w:t>
            </w:r>
          </w:p>
        </w:tc>
        <w:tc>
          <w:tcPr>
            <w:tcW w:type="dxa" w:w="129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200" w:type="dxa"/>
          </w:tcPr>
          <w:p>
            <w:pPr>
              <w:jc w:val="left"/>
              <w:spacing w:before="0" w:after="0"/>
            </w:pPr>
            <w:r>
              <w:rPr>
                <w:b w:val="0"/>
                <w:i w:val="0"/>
                <w:sz w:val="17"/>
              </w:rPr>
              <w:t>&lt;1000</w:t>
            </w:r>
          </w:p>
        </w:tc>
        <w:tc>
          <w:tcPr>
            <w:tcW w:type="dxa" w:w="129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060" w:type="dxa"/>
          </w:tcPr>
          <w:p>
            <w:pPr>
              <w:jc w:val="left"/>
              <w:spacing w:before="0" w:after="0"/>
            </w:pPr>
            <w:r>
              <w:rPr>
                <w:b w:val="0"/>
                <w:i w:val="0"/>
                <w:sz w:val="17"/>
              </w:rPr>
              <w:t>YES</w:t>
            </w:r>
          </w:p>
        </w:tc>
        <w:tc>
          <w:tcPr>
            <w:tcW w:type="dxa" w:w="129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500" w:type="dxa"/>
          </w:tcPr>
          <w:p>
            <w:pPr>
              <w:jc w:val="left"/>
              <w:spacing w:before="0" w:after="0"/>
            </w:pPr>
            <w:r>
              <w:rPr>
                <w:b w:val="0"/>
                <w:i w:val="0"/>
                <w:sz w:val="17"/>
              </w:rPr>
              <w:t>2nd</w:t>
            </w:r>
          </w:p>
        </w:tc>
      </w:tr>
      <w:tr>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left"/>
              <w:spacing w:before="0" w:after="0"/>
            </w:pPr>
            <w:r>
              <w:rPr>
                <w:b w:val="0"/>
                <w:i w:val="0"/>
                <w:sz w:val="17"/>
              </w:rPr>
              <w:t>7</w:t>
            </w:r>
          </w:p>
        </w:tc>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00" w:type="dxa"/>
          </w:tcPr>
          <w:p>
            <w:pPr>
              <w:jc w:val="left"/>
              <w:spacing w:before="0" w:after="0"/>
            </w:pPr>
            <w:r>
              <w:rPr>
                <w:b w:val="0"/>
                <w:i w:val="0"/>
                <w:sz w:val="17"/>
              </w:rPr>
              <w:t>Segmented</w:t>
            </w:r>
          </w:p>
        </w:tc>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100" w:type="dxa"/>
          </w:tcPr>
          <w:p>
            <w:pPr>
              <w:jc w:val="left"/>
              <w:spacing w:before="0" w:after="0"/>
            </w:pPr>
            <w:r>
              <w:rPr>
                <w:b w:val="0"/>
                <w:i w:val="0"/>
                <w:sz w:val="17"/>
              </w:rPr>
              <w:t>BL Self</w:t>
            </w:r>
          </w:p>
        </w:tc>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300" w:type="dxa"/>
          </w:tcPr>
          <w:p>
            <w:pPr>
              <w:jc w:val="left"/>
              <w:spacing w:before="0" w:after="0"/>
            </w:pPr>
            <w:r>
              <w:rPr>
                <w:b w:val="0"/>
                <w:i w:val="0"/>
                <w:sz w:val="17"/>
              </w:rPr>
              <w:t>1967021235</w:t>
            </w:r>
          </w:p>
        </w:tc>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200" w:type="dxa"/>
          </w:tcPr>
          <w:p>
            <w:pPr>
              <w:jc w:val="left"/>
              <w:spacing w:before="0" w:after="0"/>
            </w:pPr>
            <w:r>
              <w:rPr>
                <w:b w:val="0"/>
                <w:i w:val="0"/>
                <w:sz w:val="17"/>
              </w:rPr>
              <w:t>&lt;1000</w:t>
            </w:r>
          </w:p>
        </w:tc>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060" w:type="dxa"/>
          </w:tcPr>
          <w:p>
            <w:pPr>
              <w:jc w:val="left"/>
              <w:spacing w:before="0" w:after="0"/>
            </w:pPr>
            <w:r>
              <w:rPr>
                <w:b w:val="0"/>
                <w:i w:val="0"/>
                <w:sz w:val="17"/>
              </w:rPr>
              <w:t>YES</w:t>
            </w:r>
          </w:p>
        </w:tc>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500" w:type="dxa"/>
          </w:tcPr>
          <w:p>
            <w:pPr>
              <w:jc w:val="left"/>
              <w:spacing w:before="0" w:after="0"/>
            </w:pPr>
            <w:r>
              <w:rPr>
                <w:b w:val="0"/>
                <w:i w:val="0"/>
                <w:sz w:val="17"/>
              </w:rPr>
              <w:t>1st-Highest</w:t>
            </w:r>
          </w:p>
        </w:tc>
      </w:tr>
      <w:tr>
        <w:tc>
          <w:tcPr>
            <w:tcW w:type="dxa" w:w="129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left"/>
              <w:spacing w:before="0" w:after="0"/>
            </w:pPr>
            <w:r>
              <w:rPr>
                <w:b w:val="0"/>
                <w:i w:val="0"/>
                <w:sz w:val="17"/>
              </w:rPr>
              <w:t>8</w:t>
            </w:r>
          </w:p>
        </w:tc>
        <w:tc>
          <w:tcPr>
            <w:tcW w:type="dxa" w:w="129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00" w:type="dxa"/>
          </w:tcPr>
          <w:p>
            <w:pPr>
              <w:jc w:val="left"/>
              <w:spacing w:before="0" w:after="0"/>
            </w:pPr>
            <w:r>
              <w:rPr>
                <w:b w:val="0"/>
                <w:i w:val="0"/>
                <w:sz w:val="17"/>
              </w:rPr>
              <w:t>SME Segmented SSL</w:t>
            </w:r>
          </w:p>
        </w:tc>
        <w:tc>
          <w:tcPr>
            <w:tcW w:type="dxa" w:w="129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100" w:type="dxa"/>
          </w:tcPr>
          <w:p>
            <w:pPr>
              <w:jc w:val="left"/>
              <w:spacing w:before="0" w:after="0"/>
            </w:pPr>
            <w:r>
              <w:rPr>
                <w:b w:val="0"/>
                <w:i w:val="0"/>
                <w:sz w:val="17"/>
              </w:rPr>
              <w:t>BL Self</w:t>
            </w:r>
          </w:p>
        </w:tc>
        <w:tc>
          <w:tcPr>
            <w:tcW w:type="dxa" w:w="129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300" w:type="dxa"/>
          </w:tcPr>
          <w:p>
            <w:pPr>
              <w:jc w:val="left"/>
              <w:spacing w:before="0" w:after="0"/>
            </w:pPr>
            <w:r>
              <w:rPr>
                <w:b w:val="0"/>
                <w:i w:val="0"/>
                <w:sz w:val="17"/>
              </w:rPr>
              <w:t>1967021235</w:t>
            </w:r>
          </w:p>
        </w:tc>
        <w:tc>
          <w:tcPr>
            <w:tcW w:type="dxa" w:w="129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200" w:type="dxa"/>
          </w:tcPr>
          <w:p>
            <w:pPr>
              <w:jc w:val="left"/>
              <w:spacing w:before="0" w:after="0"/>
            </w:pPr>
            <w:r>
              <w:rPr>
                <w:b w:val="0"/>
                <w:i w:val="0"/>
                <w:sz w:val="17"/>
              </w:rPr>
              <w:t>SME</w:t>
            </w:r>
          </w:p>
        </w:tc>
        <w:tc>
          <w:tcPr>
            <w:tcW w:type="dxa" w:w="129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060" w:type="dxa"/>
          </w:tcPr>
          <w:p>
            <w:pPr>
              <w:jc w:val="left"/>
              <w:spacing w:before="0" w:after="0"/>
            </w:pPr>
            <w:r>
              <w:rPr>
                <w:b w:val="0"/>
                <w:i w:val="0"/>
                <w:sz w:val="17"/>
              </w:rPr>
              <w:t>YES</w:t>
            </w:r>
          </w:p>
        </w:tc>
        <w:tc>
          <w:tcPr>
            <w:tcW w:type="dxa" w:w="129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500" w:type="dxa"/>
          </w:tcPr>
          <w:p>
            <w:pPr>
              <w:jc w:val="left"/>
              <w:spacing w:before="0" w:after="0"/>
            </w:pPr>
            <w:r>
              <w:rPr>
                <w:b w:val="0"/>
                <w:i w:val="0"/>
                <w:sz w:val="17"/>
              </w:rPr>
              <w:t>1st-Highest</w:t>
            </w:r>
          </w:p>
        </w:tc>
      </w:tr>
      <w:tr>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left"/>
              <w:spacing w:before="0" w:after="0"/>
            </w:pPr>
            <w:r>
              <w:rPr>
                <w:b w:val="0"/>
                <w:i w:val="0"/>
                <w:sz w:val="17"/>
              </w:rPr>
              <w:t>9</w:t>
            </w:r>
          </w:p>
        </w:tc>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00" w:type="dxa"/>
          </w:tcPr>
          <w:p>
            <w:pPr>
              <w:jc w:val="left"/>
              <w:spacing w:before="0" w:after="0"/>
            </w:pPr>
            <w:r>
              <w:rPr>
                <w:b w:val="0"/>
                <w:i w:val="0"/>
                <w:sz w:val="17"/>
              </w:rPr>
              <w:t>SME Segmented Port.</w:t>
            </w:r>
          </w:p>
        </w:tc>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100" w:type="dxa"/>
          </w:tcPr>
          <w:p>
            <w:pPr>
              <w:jc w:val="left"/>
              <w:spacing w:before="0" w:after="0"/>
            </w:pPr>
            <w:r>
              <w:rPr>
                <w:b w:val="0"/>
                <w:i w:val="0"/>
                <w:sz w:val="17"/>
              </w:rPr>
              <w:t>Portonics</w:t>
            </w:r>
          </w:p>
        </w:tc>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300" w:type="dxa"/>
          </w:tcPr>
          <w:p>
            <w:pPr>
              <w:jc w:val="left"/>
              <w:spacing w:before="0" w:after="0"/>
            </w:pPr>
            <w:r>
              <w:rPr>
                <w:b w:val="0"/>
                <w:i w:val="0"/>
                <w:sz w:val="17"/>
              </w:rPr>
              <w:t>1953348398</w:t>
            </w:r>
          </w:p>
        </w:tc>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200" w:type="dxa"/>
          </w:tcPr>
          <w:p>
            <w:pPr>
              <w:jc w:val="left"/>
              <w:spacing w:before="0" w:after="0"/>
            </w:pPr>
            <w:r>
              <w:rPr>
                <w:b w:val="0"/>
                <w:i w:val="0"/>
                <w:sz w:val="17"/>
              </w:rPr>
              <w:t>SME</w:t>
            </w:r>
          </w:p>
        </w:tc>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060" w:type="dxa"/>
          </w:tcPr>
          <w:p>
            <w:pPr>
              <w:jc w:val="left"/>
              <w:spacing w:before="0" w:after="0"/>
            </w:pPr>
            <w:r>
              <w:rPr>
                <w:b w:val="0"/>
                <w:i w:val="0"/>
                <w:sz w:val="17"/>
              </w:rPr>
              <w:t>NO</w:t>
            </w:r>
          </w:p>
        </w:tc>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500" w:type="dxa"/>
          </w:tcPr>
          <w:p>
            <w:pPr>
              <w:jc w:val="left"/>
              <w:spacing w:before="0" w:after="0"/>
            </w:pPr>
            <w:r>
              <w:rPr>
                <w:b w:val="0"/>
                <w:i w:val="0"/>
                <w:sz w:val="17"/>
              </w:rPr>
              <w:t>1st-Highest</w:t>
            </w:r>
          </w:p>
        </w:tc>
      </w:tr>
      <w:tr>
        <w:tc>
          <w:tcPr>
            <w:tcW w:type="dxa" w:w="129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left"/>
              <w:spacing w:before="0" w:after="0"/>
            </w:pPr>
            <w:r>
              <w:rPr>
                <w:b w:val="0"/>
                <w:i w:val="0"/>
                <w:sz w:val="17"/>
              </w:rPr>
              <w:t>10</w:t>
            </w:r>
          </w:p>
        </w:tc>
        <w:tc>
          <w:tcPr>
            <w:tcW w:type="dxa" w:w="129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00" w:type="dxa"/>
          </w:tcPr>
          <w:p>
            <w:pPr>
              <w:jc w:val="left"/>
              <w:spacing w:before="0" w:after="0"/>
            </w:pPr>
            <w:r>
              <w:rPr>
                <w:b w:val="0"/>
                <w:i w:val="0"/>
                <w:sz w:val="17"/>
              </w:rPr>
              <w:t>Special Day</w:t>
            </w:r>
          </w:p>
        </w:tc>
        <w:tc>
          <w:tcPr>
            <w:tcW w:type="dxa" w:w="129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100" w:type="dxa"/>
          </w:tcPr>
          <w:p>
            <w:pPr>
              <w:jc w:val="left"/>
              <w:spacing w:before="0" w:after="0"/>
            </w:pPr>
            <w:r>
              <w:rPr>
                <w:b w:val="0"/>
                <w:i w:val="0"/>
                <w:sz w:val="17"/>
              </w:rPr>
              <w:t>BL Self</w:t>
            </w:r>
          </w:p>
        </w:tc>
        <w:tc>
          <w:tcPr>
            <w:tcW w:type="dxa" w:w="129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300" w:type="dxa"/>
          </w:tcPr>
          <w:p>
            <w:pPr>
              <w:jc w:val="left"/>
              <w:spacing w:before="0" w:after="0"/>
            </w:pPr>
            <w:r>
              <w:rPr>
                <w:b w:val="0"/>
                <w:i w:val="0"/>
                <w:sz w:val="17"/>
              </w:rPr>
              <w:t>1967021235</w:t>
            </w:r>
          </w:p>
        </w:tc>
        <w:tc>
          <w:tcPr>
            <w:tcW w:type="dxa" w:w="129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200" w:type="dxa"/>
          </w:tcPr>
          <w:p>
            <w:pPr>
              <w:jc w:val="left"/>
              <w:spacing w:before="0" w:after="0"/>
            </w:pPr>
            <w:r>
              <w:rPr>
                <w:b w:val="0"/>
                <w:i w:val="0"/>
                <w:sz w:val="17"/>
              </w:rPr>
              <w:t>&lt;1000</w:t>
            </w:r>
          </w:p>
        </w:tc>
        <w:tc>
          <w:tcPr>
            <w:tcW w:type="dxa" w:w="129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060" w:type="dxa"/>
          </w:tcPr>
          <w:p>
            <w:pPr>
              <w:jc w:val="left"/>
              <w:spacing w:before="0" w:after="0"/>
            </w:pPr>
            <w:r>
              <w:rPr>
                <w:b w:val="0"/>
                <w:i w:val="0"/>
                <w:sz w:val="17"/>
              </w:rPr>
              <w:t>YES</w:t>
            </w:r>
          </w:p>
        </w:tc>
        <w:tc>
          <w:tcPr>
            <w:tcW w:type="dxa" w:w="129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500" w:type="dxa"/>
          </w:tcPr>
          <w:p>
            <w:pPr>
              <w:jc w:val="left"/>
              <w:spacing w:before="0" w:after="0"/>
            </w:pPr>
            <w:r>
              <w:rPr>
                <w:b w:val="0"/>
                <w:i w:val="0"/>
                <w:sz w:val="17"/>
              </w:rPr>
              <w:t>3rd</w:t>
            </w:r>
          </w:p>
        </w:tc>
      </w:tr>
      <w:tr>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left"/>
              <w:spacing w:before="0" w:after="0"/>
            </w:pPr>
            <w:r>
              <w:rPr>
                <w:b w:val="0"/>
                <w:i w:val="0"/>
                <w:sz w:val="17"/>
              </w:rPr>
              <w:t>11</w:t>
            </w:r>
          </w:p>
        </w:tc>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00" w:type="dxa"/>
          </w:tcPr>
          <w:p>
            <w:pPr>
              <w:jc w:val="left"/>
              <w:spacing w:before="0" w:after="0"/>
            </w:pPr>
            <w:r>
              <w:rPr>
                <w:b w:val="0"/>
                <w:i w:val="0"/>
                <w:sz w:val="17"/>
              </w:rPr>
              <w:t>Portonics Special Day</w:t>
            </w:r>
          </w:p>
        </w:tc>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100" w:type="dxa"/>
          </w:tcPr>
          <w:p>
            <w:pPr>
              <w:jc w:val="left"/>
              <w:spacing w:before="0" w:after="0"/>
            </w:pPr>
            <w:r>
              <w:rPr>
                <w:b w:val="0"/>
                <w:i w:val="0"/>
                <w:sz w:val="17"/>
              </w:rPr>
              <w:t>Portonics</w:t>
            </w:r>
          </w:p>
        </w:tc>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300" w:type="dxa"/>
          </w:tcPr>
          <w:p>
            <w:pPr>
              <w:jc w:val="left"/>
              <w:spacing w:before="0" w:after="0"/>
            </w:pPr>
            <w:r>
              <w:rPr>
                <w:b w:val="0"/>
                <w:i w:val="0"/>
                <w:sz w:val="17"/>
              </w:rPr>
              <w:t>1953348398</w:t>
            </w:r>
          </w:p>
        </w:tc>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200" w:type="dxa"/>
          </w:tcPr>
          <w:p>
            <w:pPr>
              <w:jc w:val="left"/>
              <w:spacing w:before="0" w:after="0"/>
            </w:pPr>
            <w:r>
              <w:rPr>
                <w:b w:val="0"/>
                <w:i w:val="0"/>
                <w:sz w:val="17"/>
              </w:rPr>
              <w:t>&lt;1000</w:t>
            </w:r>
          </w:p>
        </w:tc>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060" w:type="dxa"/>
          </w:tcPr>
          <w:p>
            <w:pPr>
              <w:jc w:val="left"/>
              <w:spacing w:before="0" w:after="0"/>
            </w:pPr>
            <w:r>
              <w:rPr>
                <w:b w:val="0"/>
                <w:i w:val="0"/>
                <w:sz w:val="17"/>
              </w:rPr>
              <w:t>NO</w:t>
            </w:r>
          </w:p>
        </w:tc>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500" w:type="dxa"/>
          </w:tcPr>
          <w:p>
            <w:pPr>
              <w:jc w:val="left"/>
              <w:spacing w:before="0" w:after="0"/>
            </w:pPr>
            <w:r>
              <w:rPr>
                <w:b w:val="0"/>
                <w:i w:val="0"/>
                <w:sz w:val="17"/>
              </w:rPr>
              <w:t>3rd</w:t>
            </w:r>
          </w:p>
        </w:tc>
      </w:tr>
      <w:tr>
        <w:tc>
          <w:tcPr>
            <w:tcW w:type="dxa" w:w="129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left"/>
              <w:spacing w:before="0" w:after="0"/>
            </w:pPr>
            <w:r>
              <w:rPr>
                <w:b w:val="0"/>
                <w:i w:val="0"/>
                <w:sz w:val="17"/>
              </w:rPr>
              <w:t>12</w:t>
            </w:r>
          </w:p>
        </w:tc>
        <w:tc>
          <w:tcPr>
            <w:tcW w:type="dxa" w:w="129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00" w:type="dxa"/>
          </w:tcPr>
          <w:p>
            <w:pPr>
              <w:jc w:val="left"/>
              <w:spacing w:before="0" w:after="0"/>
            </w:pPr>
            <w:r>
              <w:rPr>
                <w:b w:val="0"/>
                <w:i w:val="0"/>
                <w:sz w:val="17"/>
              </w:rPr>
              <w:t>BL Power Distributor</w:t>
            </w:r>
          </w:p>
        </w:tc>
        <w:tc>
          <w:tcPr>
            <w:tcW w:type="dxa" w:w="129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100" w:type="dxa"/>
          </w:tcPr>
          <w:p>
            <w:pPr>
              <w:jc w:val="left"/>
              <w:spacing w:before="0" w:after="0"/>
            </w:pPr>
            <w:r>
              <w:rPr>
                <w:b w:val="0"/>
                <w:i w:val="0"/>
                <w:sz w:val="17"/>
              </w:rPr>
              <w:t>BL POWER</w:t>
            </w:r>
          </w:p>
        </w:tc>
        <w:tc>
          <w:tcPr>
            <w:tcW w:type="dxa" w:w="129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300" w:type="dxa"/>
          </w:tcPr>
          <w:p>
            <w:pPr>
              <w:jc w:val="left"/>
              <w:spacing w:before="0" w:after="0"/>
            </w:pPr>
            <w:r>
              <w:rPr>
                <w:b w:val="0"/>
                <w:i w:val="0"/>
                <w:sz w:val="17"/>
              </w:rPr>
              <w:t>N/A</w:t>
            </w:r>
          </w:p>
        </w:tc>
        <w:tc>
          <w:tcPr>
            <w:tcW w:type="dxa" w:w="129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200" w:type="dxa"/>
          </w:tcPr>
          <w:p>
            <w:pPr>
              <w:jc w:val="left"/>
              <w:spacing w:before="0" w:after="0"/>
            </w:pPr>
            <w:r>
              <w:rPr>
                <w:b w:val="0"/>
                <w:i w:val="0"/>
                <w:sz w:val="17"/>
              </w:rPr>
              <w:t>All</w:t>
            </w:r>
          </w:p>
        </w:tc>
        <w:tc>
          <w:tcPr>
            <w:tcW w:type="dxa" w:w="129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060" w:type="dxa"/>
          </w:tcPr>
          <w:p>
            <w:pPr>
              <w:jc w:val="left"/>
              <w:spacing w:before="0" w:after="0"/>
            </w:pPr>
            <w:r>
              <w:rPr>
                <w:b w:val="0"/>
                <w:i w:val="0"/>
                <w:sz w:val="17"/>
              </w:rPr>
              <w:t>N/A</w:t>
            </w:r>
          </w:p>
        </w:tc>
        <w:tc>
          <w:tcPr>
            <w:tcW w:type="dxa" w:w="129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500" w:type="dxa"/>
          </w:tcPr>
          <w:p>
            <w:pPr>
              <w:jc w:val="left"/>
              <w:spacing w:before="0" w:after="0"/>
            </w:pPr>
            <w:r>
              <w:rPr>
                <w:b w:val="0"/>
                <w:i w:val="0"/>
                <w:sz w:val="17"/>
              </w:rPr>
              <w:t>Different Platform</w:t>
            </w:r>
          </w:p>
        </w:tc>
      </w:tr>
      <w:tr>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left"/>
              <w:spacing w:before="0" w:after="0"/>
            </w:pPr>
            <w:r>
              <w:rPr>
                <w:b w:val="0"/>
                <w:i w:val="0"/>
                <w:sz w:val="17"/>
              </w:rPr>
              <w:t>13</w:t>
            </w:r>
          </w:p>
        </w:tc>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00" w:type="dxa"/>
          </w:tcPr>
          <w:p>
            <w:pPr>
              <w:jc w:val="left"/>
              <w:spacing w:before="0" w:after="0"/>
            </w:pPr>
            <w:r>
              <w:rPr>
                <w:b w:val="0"/>
                <w:i w:val="0"/>
                <w:sz w:val="17"/>
              </w:rPr>
              <w:t>RSO Referral</w:t>
            </w:r>
          </w:p>
        </w:tc>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100" w:type="dxa"/>
          </w:tcPr>
          <w:p>
            <w:pPr>
              <w:jc w:val="left"/>
              <w:spacing w:before="0" w:after="0"/>
            </w:pPr>
            <w:r>
              <w:rPr>
                <w:b w:val="0"/>
                <w:i w:val="0"/>
                <w:sz w:val="17"/>
              </w:rPr>
              <w:t>RSO</w:t>
            </w:r>
          </w:p>
        </w:tc>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300" w:type="dxa"/>
          </w:tcPr>
          <w:p>
            <w:pPr>
              <w:jc w:val="left"/>
              <w:spacing w:before="0" w:after="0"/>
            </w:pPr>
            <w:r>
              <w:rPr>
                <w:b w:val="0"/>
                <w:i w:val="0"/>
                <w:sz w:val="17"/>
              </w:rPr>
              <w:t>N/A</w:t>
            </w:r>
          </w:p>
        </w:tc>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200" w:type="dxa"/>
          </w:tcPr>
          <w:p>
            <w:pPr>
              <w:jc w:val="left"/>
              <w:spacing w:before="0" w:after="0"/>
            </w:pPr>
            <w:r>
              <w:rPr>
                <w:b w:val="0"/>
                <w:i w:val="0"/>
                <w:sz w:val="17"/>
              </w:rPr>
              <w:t>All</w:t>
            </w:r>
          </w:p>
        </w:tc>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060" w:type="dxa"/>
          </w:tcPr>
          <w:p>
            <w:pPr>
              <w:jc w:val="left"/>
              <w:spacing w:before="0" w:after="0"/>
            </w:pPr>
            <w:r>
              <w:rPr>
                <w:b w:val="0"/>
                <w:i w:val="0"/>
                <w:sz w:val="17"/>
              </w:rPr>
              <w:t>N/A</w:t>
            </w:r>
          </w:p>
        </w:tc>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500" w:type="dxa"/>
          </w:tcPr>
          <w:p>
            <w:pPr>
              <w:jc w:val="left"/>
              <w:spacing w:before="0" w:after="0"/>
            </w:pPr>
            <w:r>
              <w:rPr>
                <w:b w:val="0"/>
                <w:i w:val="0"/>
                <w:sz w:val="17"/>
              </w:rPr>
              <w:t>Ad-hoc</w:t>
            </w:r>
          </w:p>
        </w:tc>
      </w:tr>
      <w:tr>
        <w:tc>
          <w:tcPr>
            <w:tcW w:type="dxa" w:w="129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left"/>
              <w:spacing w:before="0" w:after="0"/>
            </w:pPr>
            <w:r>
              <w:rPr>
                <w:b w:val="0"/>
                <w:i w:val="0"/>
                <w:sz w:val="17"/>
              </w:rPr>
              <w:t>14</w:t>
            </w:r>
          </w:p>
        </w:tc>
        <w:tc>
          <w:tcPr>
            <w:tcW w:type="dxa" w:w="129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00" w:type="dxa"/>
          </w:tcPr>
          <w:p>
            <w:pPr>
              <w:jc w:val="left"/>
              <w:spacing w:before="0" w:after="0"/>
            </w:pPr>
            <w:r>
              <w:rPr>
                <w:b w:val="0"/>
                <w:i w:val="0"/>
                <w:sz w:val="17"/>
              </w:rPr>
              <w:t>Retailer Referral</w:t>
            </w:r>
          </w:p>
        </w:tc>
        <w:tc>
          <w:tcPr>
            <w:tcW w:type="dxa" w:w="129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100" w:type="dxa"/>
          </w:tcPr>
          <w:p>
            <w:pPr>
              <w:jc w:val="left"/>
              <w:spacing w:before="0" w:after="0"/>
            </w:pPr>
            <w:r>
              <w:rPr>
                <w:b w:val="0"/>
                <w:i w:val="0"/>
                <w:sz w:val="17"/>
              </w:rPr>
              <w:t>Retailer</w:t>
            </w:r>
          </w:p>
        </w:tc>
        <w:tc>
          <w:tcPr>
            <w:tcW w:type="dxa" w:w="129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300" w:type="dxa"/>
          </w:tcPr>
          <w:p>
            <w:pPr>
              <w:jc w:val="left"/>
              <w:spacing w:before="0" w:after="0"/>
            </w:pPr>
            <w:r>
              <w:rPr>
                <w:b w:val="0"/>
                <w:i w:val="0"/>
                <w:sz w:val="17"/>
              </w:rPr>
              <w:t>N/A</w:t>
            </w:r>
          </w:p>
        </w:tc>
        <w:tc>
          <w:tcPr>
            <w:tcW w:type="dxa" w:w="129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200" w:type="dxa"/>
          </w:tcPr>
          <w:p>
            <w:pPr>
              <w:jc w:val="left"/>
              <w:spacing w:before="0" w:after="0"/>
            </w:pPr>
            <w:r>
              <w:rPr>
                <w:b w:val="0"/>
                <w:i w:val="0"/>
                <w:sz w:val="17"/>
              </w:rPr>
              <w:t>All</w:t>
            </w:r>
          </w:p>
        </w:tc>
        <w:tc>
          <w:tcPr>
            <w:tcW w:type="dxa" w:w="129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060" w:type="dxa"/>
          </w:tcPr>
          <w:p>
            <w:pPr>
              <w:jc w:val="left"/>
              <w:spacing w:before="0" w:after="0"/>
            </w:pPr>
            <w:r>
              <w:rPr>
                <w:b w:val="0"/>
                <w:i w:val="0"/>
                <w:sz w:val="17"/>
              </w:rPr>
              <w:t>N/A</w:t>
            </w:r>
          </w:p>
        </w:tc>
        <w:tc>
          <w:tcPr>
            <w:tcW w:type="dxa" w:w="129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500" w:type="dxa"/>
          </w:tcPr>
          <w:p>
            <w:pPr>
              <w:jc w:val="left"/>
              <w:spacing w:before="0" w:after="0"/>
            </w:pPr>
            <w:r>
              <w:rPr>
                <w:b w:val="0"/>
                <w:i w:val="0"/>
                <w:sz w:val="17"/>
              </w:rPr>
              <w:t>Ad-hoc</w:t>
            </w:r>
          </w:p>
        </w:tc>
      </w:tr>
      <w:tr>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480" w:type="dxa"/>
          </w:tcPr>
          <w:p>
            <w:pPr>
              <w:jc w:val="left"/>
              <w:spacing w:before="0" w:after="0"/>
            </w:pPr>
            <w:r>
              <w:rPr>
                <w:b w:val="0"/>
                <w:i w:val="0"/>
                <w:sz w:val="17"/>
              </w:rPr>
              <w:t>15</w:t>
            </w:r>
          </w:p>
        </w:tc>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2000" w:type="dxa"/>
          </w:tcPr>
          <w:p>
            <w:pPr>
              <w:jc w:val="left"/>
              <w:spacing w:before="0" w:after="0"/>
            </w:pPr>
            <w:r>
              <w:rPr>
                <w:b w:val="0"/>
                <w:i w:val="0"/>
                <w:sz w:val="17"/>
              </w:rPr>
              <w:t>Monobrand CCR</w:t>
            </w:r>
          </w:p>
        </w:tc>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100" w:type="dxa"/>
          </w:tcPr>
          <w:p>
            <w:pPr>
              <w:jc w:val="left"/>
              <w:spacing w:before="0" w:after="0"/>
            </w:pPr>
            <w:r>
              <w:rPr>
                <w:b w:val="0"/>
                <w:i w:val="0"/>
                <w:sz w:val="17"/>
              </w:rPr>
              <w:t>Monobrand</w:t>
            </w:r>
          </w:p>
        </w:tc>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300" w:type="dxa"/>
          </w:tcPr>
          <w:p>
            <w:pPr>
              <w:jc w:val="left"/>
              <w:spacing w:before="0" w:after="0"/>
            </w:pPr>
            <w:r>
              <w:rPr>
                <w:b w:val="0"/>
                <w:i w:val="0"/>
                <w:sz w:val="17"/>
              </w:rPr>
              <w:t>N/A</w:t>
            </w:r>
          </w:p>
        </w:tc>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200" w:type="dxa"/>
          </w:tcPr>
          <w:p>
            <w:pPr>
              <w:jc w:val="left"/>
              <w:spacing w:before="0" w:after="0"/>
            </w:pPr>
            <w:r>
              <w:rPr>
                <w:b w:val="0"/>
                <w:i w:val="0"/>
                <w:sz w:val="17"/>
              </w:rPr>
              <w:t>All</w:t>
            </w:r>
          </w:p>
        </w:tc>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060" w:type="dxa"/>
          </w:tcPr>
          <w:p>
            <w:pPr>
              <w:jc w:val="left"/>
              <w:spacing w:before="0" w:after="0"/>
            </w:pPr>
            <w:r>
              <w:rPr>
                <w:b w:val="0"/>
                <w:i w:val="0"/>
                <w:sz w:val="17"/>
              </w:rPr>
              <w:t>N/A</w:t>
            </w:r>
          </w:p>
        </w:tc>
        <w:tc>
          <w:tcPr>
            <w:tcW w:type="dxa" w:w="1290"/>
            <w:shd w:val="clear" w:color="auto" w:fill="F2F2F2"/>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W w:w="1500" w:type="dxa"/>
          </w:tcPr>
          <w:p>
            <w:pPr>
              <w:jc w:val="left"/>
              <w:spacing w:before="0" w:after="0"/>
            </w:pPr>
            <w:r>
              <w:rPr>
                <w:b w:val="0"/>
                <w:i w:val="0"/>
                <w:sz w:val="17"/>
              </w:rPr>
              <w:t>Monthly</w:t>
            </w:r>
          </w:p>
        </w:tc>
      </w:tr>
    </w:tbl>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rPr>
  </w:style>
  <w:style w:type="character" w:customStyle="1" w:styleId="HeaderChar">
    <w:name w:val="Header Char"/>
    <w:basedOn w:val="DefaultParagraphFont"/>
    <w:link w:val="Header"/>
    <w:uiPriority w:val="99"/>
    <w:rsid w:val="00E618BF"/>
    <w:rPr>
      <w:rFonts w:ascii="Calibri" w:hAnsi="Calibri"/>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rPr>
  </w:style>
  <w:style w:type="character" w:customStyle="1" w:styleId="FooterChar">
    <w:name w:val="Footer Char"/>
    <w:basedOn w:val="DefaultParagraphFont"/>
    <w:link w:val="Footer"/>
    <w:uiPriority w:val="99"/>
    <w:rsid w:val="00E618B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Calibri" w:hAnsi="Calibr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Calibri" w:hAnsi="Calibr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Calibri" w:hAnsi="Calibri"/>
      <w:i/>
      <w:iCs/>
      <w:color w:val="404040" w:themeColor="text1" w:themeTint="BF"/>
      <w:sz w:val="20"/>
      <w:szCs w:val="20"/>
    </w:rPr>
  </w:style>
  <w:style w:type="character" w:default="1" w:styleId="DefaultParagraphFont">
    <w:name w:val="Default Paragraph Font"/>
    <w:uiPriority w:val="1"/>
    <w:semiHidden/>
    <w:unhideWhenUsed/>
    <w:rPr>
      <w:rFonts w:ascii="Calibri" w:hAnsi="Calibri"/>
    </w:rPr>
  </w:style>
  <w:style w:type="table" w:default="1" w:styleId="TableNormal">
    <w:name w:val="Normal Table"/>
    <w:uiPriority w:val="99"/>
    <w:semiHidden/>
    <w:unhideWhenUsed/>
    <w:rPr>
      <w:rFonts w:ascii="Calibri" w:hAnsi="Calibri"/>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Calibri" w:hAnsi="Calibri"/>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rPr>
  </w:style>
  <w:style w:type="paragraph" w:styleId="BodyText">
    <w:name w:val="Body Text"/>
    <w:basedOn w:val="Normal"/>
    <w:link w:val="BodyTextChar"/>
    <w:uiPriority w:val="99"/>
    <w:unhideWhenUsed/>
    <w:rsid w:val="00AA1D8D"/>
    <w:pPr>
      <w:spacing w:after="120"/>
    </w:pPr>
    <w:rPr>
      <w:rFonts w:ascii="Calibri" w:hAnsi="Calibri"/>
    </w:rPr>
  </w:style>
  <w:style w:type="character" w:customStyle="1" w:styleId="BodyTextChar">
    <w:name w:val="Body Text Char"/>
    <w:basedOn w:val="DefaultParagraphFont"/>
    <w:link w:val="BodyText"/>
    <w:uiPriority w:val="99"/>
    <w:rsid w:val="00AA1D8D"/>
    <w:rPr>
      <w:rFonts w:ascii="Calibri" w:hAnsi="Calibri"/>
    </w:rPr>
  </w:style>
  <w:style w:type="paragraph" w:styleId="BodyText2">
    <w:name w:val="Body Text 2"/>
    <w:basedOn w:val="Normal"/>
    <w:link w:val="BodyText2Char"/>
    <w:uiPriority w:val="99"/>
    <w:unhideWhenUsed/>
    <w:rsid w:val="00AA1D8D"/>
    <w:pPr>
      <w:spacing w:after="120" w:line="480" w:lineRule="auto"/>
    </w:pPr>
    <w:rPr>
      <w:rFonts w:ascii="Calibri" w:hAnsi="Calibri"/>
    </w:rPr>
  </w:style>
  <w:style w:type="character" w:customStyle="1" w:styleId="BodyText2Char">
    <w:name w:val="Body Text 2 Char"/>
    <w:basedOn w:val="DefaultParagraphFont"/>
    <w:link w:val="BodyText2"/>
    <w:uiPriority w:val="99"/>
    <w:rsid w:val="00AA1D8D"/>
    <w:rPr>
      <w:rFonts w:ascii="Calibri" w:hAnsi="Calibri"/>
    </w:rPr>
  </w:style>
  <w:style w:type="paragraph" w:styleId="BodyText3">
    <w:name w:val="Body Text 3"/>
    <w:basedOn w:val="Normal"/>
    <w:link w:val="BodyText3Char"/>
    <w:uiPriority w:val="99"/>
    <w:unhideWhenUsed/>
    <w:rsid w:val="00AA1D8D"/>
    <w:pPr>
      <w:spacing w:after="120"/>
    </w:pPr>
    <w:rPr>
      <w:rFonts w:ascii="Calibri" w:hAnsi="Calibri"/>
      <w:sz w:val="16"/>
      <w:szCs w:val="16"/>
    </w:rPr>
  </w:style>
  <w:style w:type="character" w:customStyle="1" w:styleId="BodyText3Char">
    <w:name w:val="Body Text 3 Char"/>
    <w:basedOn w:val="DefaultParagraphFont"/>
    <w:link w:val="BodyText3"/>
    <w:uiPriority w:val="99"/>
    <w:rsid w:val="00AA1D8D"/>
    <w:rPr>
      <w:rFonts w:ascii="Calibri" w:hAnsi="Calibri"/>
      <w:sz w:val="16"/>
      <w:szCs w:val="16"/>
    </w:rPr>
  </w:style>
  <w:style w:type="paragraph" w:styleId="List">
    <w:name w:val="List"/>
    <w:basedOn w:val="Normal"/>
    <w:uiPriority w:val="99"/>
    <w:unhideWhenUsed/>
    <w:rsid w:val="00AA1D8D"/>
    <w:pPr>
      <w:ind w:left="360" w:hanging="360"/>
      <w:contextualSpacing/>
    </w:pPr>
    <w:rPr>
      <w:rFonts w:ascii="Calibri" w:hAnsi="Calibri"/>
    </w:rPr>
  </w:style>
  <w:style w:type="paragraph" w:styleId="List2">
    <w:name w:val="List 2"/>
    <w:basedOn w:val="Normal"/>
    <w:uiPriority w:val="99"/>
    <w:unhideWhenUsed/>
    <w:rsid w:val="00326F90"/>
    <w:pPr>
      <w:ind w:left="720" w:hanging="360"/>
      <w:contextualSpacing/>
    </w:pPr>
    <w:rPr>
      <w:rFonts w:ascii="Calibri" w:hAnsi="Calibri"/>
    </w:rPr>
  </w:style>
  <w:style w:type="paragraph" w:styleId="List3">
    <w:name w:val="List 3"/>
    <w:basedOn w:val="Normal"/>
    <w:uiPriority w:val="99"/>
    <w:unhideWhenUsed/>
    <w:rsid w:val="00326F90"/>
    <w:pPr>
      <w:ind w:left="1080" w:hanging="360"/>
      <w:contextualSpacing/>
    </w:pPr>
    <w:rPr>
      <w:rFonts w:ascii="Calibri" w:hAnsi="Calibri"/>
    </w:rPr>
  </w:style>
  <w:style w:type="paragraph" w:styleId="ListBullet">
    <w:name w:val="List Bullet"/>
    <w:basedOn w:val="Normal"/>
    <w:uiPriority w:val="99"/>
    <w:unhideWhenUsed/>
    <w:rsid w:val="00326F90"/>
    <w:pPr>
      <w:numPr>
        <w:numId w:val="1"/>
      </w:numPr>
      <w:contextualSpacing/>
    </w:pPr>
    <w:rPr>
      <w:rFonts w:ascii="Calibri" w:hAnsi="Calibri"/>
    </w:rPr>
  </w:style>
  <w:style w:type="paragraph" w:styleId="ListBullet2">
    <w:name w:val="List Bullet 2"/>
    <w:basedOn w:val="Normal"/>
    <w:uiPriority w:val="99"/>
    <w:unhideWhenUsed/>
    <w:rsid w:val="00326F90"/>
    <w:pPr>
      <w:numPr>
        <w:numId w:val="2"/>
      </w:numPr>
      <w:contextualSpacing/>
    </w:pPr>
    <w:rPr>
      <w:rFonts w:ascii="Calibri" w:hAnsi="Calibri"/>
    </w:rPr>
  </w:style>
  <w:style w:type="paragraph" w:styleId="ListBullet3">
    <w:name w:val="List Bullet 3"/>
    <w:basedOn w:val="Normal"/>
    <w:uiPriority w:val="99"/>
    <w:unhideWhenUsed/>
    <w:rsid w:val="00326F90"/>
    <w:pPr>
      <w:numPr>
        <w:numId w:val="3"/>
      </w:numPr>
      <w:contextualSpacing/>
    </w:pPr>
    <w:rPr>
      <w:rFonts w:ascii="Calibri" w:hAnsi="Calibri"/>
    </w:rPr>
  </w:style>
  <w:style w:type="paragraph" w:styleId="ListNumber">
    <w:name w:val="List Number"/>
    <w:basedOn w:val="Normal"/>
    <w:uiPriority w:val="99"/>
    <w:unhideWhenUsed/>
    <w:rsid w:val="00326F90"/>
    <w:pPr>
      <w:numPr>
        <w:numId w:val="5"/>
      </w:numPr>
      <w:contextualSpacing/>
    </w:pPr>
    <w:rPr>
      <w:rFonts w:ascii="Calibri" w:hAnsi="Calibri"/>
    </w:rPr>
  </w:style>
  <w:style w:type="paragraph" w:styleId="ListNumber2">
    <w:name w:val="List Number 2"/>
    <w:basedOn w:val="Normal"/>
    <w:uiPriority w:val="99"/>
    <w:unhideWhenUsed/>
    <w:rsid w:val="0029639D"/>
    <w:pPr>
      <w:numPr>
        <w:numId w:val="6"/>
      </w:numPr>
      <w:contextualSpacing/>
    </w:pPr>
    <w:rPr>
      <w:rFonts w:ascii="Calibri" w:hAnsi="Calibri"/>
    </w:rPr>
  </w:style>
  <w:style w:type="paragraph" w:styleId="ListNumber3">
    <w:name w:val="List Number 3"/>
    <w:basedOn w:val="Normal"/>
    <w:uiPriority w:val="99"/>
    <w:unhideWhenUsed/>
    <w:rsid w:val="0029639D"/>
    <w:pPr>
      <w:numPr>
        <w:numId w:val="7"/>
      </w:numPr>
      <w:contextualSpacing/>
    </w:pPr>
    <w:rPr>
      <w:rFonts w:ascii="Calibri" w:hAnsi="Calibri"/>
    </w:rPr>
  </w:style>
  <w:style w:type="paragraph" w:styleId="ListContinue">
    <w:name w:val="List Continue"/>
    <w:basedOn w:val="Normal"/>
    <w:uiPriority w:val="99"/>
    <w:unhideWhenUsed/>
    <w:rsid w:val="0029639D"/>
    <w:pPr>
      <w:spacing w:after="120"/>
      <w:ind w:left="360"/>
      <w:contextualSpacing/>
    </w:pPr>
    <w:rPr>
      <w:rFonts w:ascii="Calibri" w:hAnsi="Calibri"/>
    </w:rPr>
  </w:style>
  <w:style w:type="paragraph" w:styleId="ListContinue2">
    <w:name w:val="List Continue 2"/>
    <w:basedOn w:val="Normal"/>
    <w:uiPriority w:val="99"/>
    <w:unhideWhenUsed/>
    <w:rsid w:val="0029639D"/>
    <w:pPr>
      <w:spacing w:after="120"/>
      <w:ind w:left="720"/>
      <w:contextualSpacing/>
    </w:pPr>
    <w:rPr>
      <w:rFonts w:ascii="Calibri" w:hAnsi="Calibri"/>
    </w:rPr>
  </w:style>
  <w:style w:type="paragraph" w:styleId="ListContinue3">
    <w:name w:val="List Continue 3"/>
    <w:basedOn w:val="Normal"/>
    <w:uiPriority w:val="99"/>
    <w:unhideWhenUsed/>
    <w:rsid w:val="0029639D"/>
    <w:pPr>
      <w:spacing w:after="120"/>
      <w:ind w:left="1080"/>
      <w:contextualSpacing/>
    </w:pPr>
    <w:rPr>
      <w:rFonts w:ascii="Calibri" w:hAnsi="Calibri"/>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libri" w:hAnsi="Calibri"/>
      <w:sz w:val="20"/>
      <w:szCs w:val="20"/>
    </w:rPr>
  </w:style>
  <w:style w:type="character" w:customStyle="1" w:styleId="MacroTextChar">
    <w:name w:val="Macro Text Char"/>
    <w:basedOn w:val="DefaultParagraphFont"/>
    <w:link w:val="MacroText"/>
    <w:uiPriority w:val="99"/>
    <w:rsid w:val="0029639D"/>
    <w:rPr>
      <w:rFonts w:ascii="Calibri" w:hAnsi="Calibri"/>
      <w:sz w:val="20"/>
      <w:szCs w:val="20"/>
    </w:rPr>
  </w:style>
  <w:style w:type="paragraph" w:styleId="Quote">
    <w:name w:val="Quote"/>
    <w:basedOn w:val="Normal"/>
    <w:next w:val="Normal"/>
    <w:link w:val="QuoteChar"/>
    <w:uiPriority w:val="29"/>
    <w:qFormat/>
    <w:rsid w:val="00FC693F"/>
    <w:rPr>
      <w:rFonts w:ascii="Calibri" w:hAnsi="Calibri"/>
      <w:i/>
      <w:iCs/>
      <w:color w:val="000000" w:themeColor="text1"/>
    </w:rPr>
  </w:style>
  <w:style w:type="character" w:customStyle="1" w:styleId="QuoteChar">
    <w:name w:val="Quote Char"/>
    <w:basedOn w:val="DefaultParagraphFont"/>
    <w:link w:val="Quote"/>
    <w:uiPriority w:val="29"/>
    <w:rsid w:val="00FC693F"/>
    <w:rPr>
      <w:rFonts w:ascii="Calibri" w:hAnsi="Calibri"/>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4F81BD" w:themeColor="accent1"/>
      <w:sz w:val="18"/>
      <w:szCs w:val="18"/>
    </w:rPr>
  </w:style>
  <w:style w:type="character" w:styleId="Strong">
    <w:name w:val="Strong"/>
    <w:basedOn w:val="DefaultParagraphFont"/>
    <w:uiPriority w:val="22"/>
    <w:qFormat/>
    <w:rsid w:val="00FC693F"/>
    <w:rPr>
      <w:rFonts w:ascii="Calibri" w:hAnsi="Calibri"/>
      <w:b/>
      <w:bCs/>
    </w:rPr>
  </w:style>
  <w:style w:type="character" w:styleId="Emphasis">
    <w:name w:val="Emphasis"/>
    <w:basedOn w:val="DefaultParagraphFont"/>
    <w:uiPriority w:val="20"/>
    <w:qFormat/>
    <w:rsid w:val="00FC693F"/>
    <w:rPr>
      <w:rFonts w:ascii="Calibri" w:hAnsi="Calibri"/>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Calibri" w:hAnsi="Calibri"/>
      <w:b/>
      <w:bCs/>
      <w:i/>
      <w:iCs/>
      <w:color w:val="4F81BD" w:themeColor="accent1"/>
    </w:rPr>
  </w:style>
  <w:style w:type="character" w:customStyle="1" w:styleId="IntenseQuoteChar">
    <w:name w:val="Intense Quote Char"/>
    <w:basedOn w:val="DefaultParagraphFont"/>
    <w:link w:val="IntenseQuote"/>
    <w:uiPriority w:val="30"/>
    <w:rsid w:val="00FC693F"/>
    <w:rPr>
      <w:rFonts w:ascii="Calibri" w:hAnsi="Calibri"/>
      <w:b/>
      <w:bCs/>
      <w:i/>
      <w:iCs/>
      <w:color w:val="4F81BD" w:themeColor="accent1"/>
    </w:rPr>
  </w:style>
  <w:style w:type="character" w:styleId="SubtleEmphasis">
    <w:name w:val="Subtle Emphasis"/>
    <w:basedOn w:val="DefaultParagraphFont"/>
    <w:uiPriority w:val="19"/>
    <w:qFormat/>
    <w:rsid w:val="00FC693F"/>
    <w:rPr>
      <w:rFonts w:ascii="Calibri" w:hAnsi="Calibri"/>
      <w:i/>
      <w:iCs/>
      <w:color w:val="808080" w:themeColor="text1" w:themeTint="7F"/>
    </w:rPr>
  </w:style>
  <w:style w:type="character" w:styleId="IntenseEmphasis">
    <w:name w:val="Intense Emphasis"/>
    <w:basedOn w:val="DefaultParagraphFont"/>
    <w:uiPriority w:val="21"/>
    <w:qFormat/>
    <w:rsid w:val="00FC693F"/>
    <w:rPr>
      <w:rFonts w:ascii="Calibri" w:hAnsi="Calibri"/>
      <w:b/>
      <w:bCs/>
      <w:i/>
      <w:iCs/>
      <w:color w:val="4F81BD" w:themeColor="accent1"/>
    </w:rPr>
  </w:style>
  <w:style w:type="character" w:styleId="SubtleReference">
    <w:name w:val="Subtle Reference"/>
    <w:basedOn w:val="DefaultParagraphFont"/>
    <w:uiPriority w:val="31"/>
    <w:qFormat/>
    <w:rsid w:val="00FC693F"/>
    <w:rPr>
      <w:rFonts w:ascii="Calibri" w:hAnsi="Calibri"/>
      <w:smallCaps/>
      <w:color w:val="C0504D" w:themeColor="accent2"/>
      <w:u w:val="single"/>
    </w:rPr>
  </w:style>
  <w:style w:type="character" w:styleId="IntenseReference">
    <w:name w:val="Intense Reference"/>
    <w:basedOn w:val="DefaultParagraphFont"/>
    <w:uiPriority w:val="32"/>
    <w:qFormat/>
    <w:rsid w:val="00FC693F"/>
    <w:rPr>
      <w:rFonts w:ascii="Calibri" w:hAnsi="Calibri"/>
      <w:b/>
      <w:bCs/>
      <w:smallCaps/>
      <w:color w:val="C0504D" w:themeColor="accent2"/>
      <w:spacing w:val="5"/>
      <w:u w:val="single"/>
    </w:rPr>
  </w:style>
  <w:style w:type="character" w:styleId="BookTitle">
    <w:name w:val="Book Title"/>
    <w:basedOn w:val="DefaultParagraphFont"/>
    <w:uiPriority w:val="33"/>
    <w:qFormat/>
    <w:rsid w:val="00FC693F"/>
    <w:rPr>
      <w:rFonts w:ascii="Calibri" w:hAnsi="Calibri"/>
      <w:b/>
      <w:bCs/>
      <w:smallCaps/>
      <w:spacing w:val="5"/>
    </w:rPr>
  </w:style>
  <w:style w:type="paragraph" w:styleId="TOCHeading">
    <w:name w:val="TOC Heading"/>
    <w:basedOn w:val="Heading1"/>
    <w:next w:val="Normal"/>
    <w:uiPriority w:val="39"/>
    <w:semiHidden/>
    <w:unhideWhenUsed/>
    <w:qFormat/>
    <w:rsid w:val="00FC693F"/>
    <w:pPr>
      <w:outlineLvl w:val="9"/>
    </w:pPr>
    <w:rPr>
      <w:rFonts w:ascii="Calibri" w:hAnsi="Calibri"/>
    </w:rPr>
  </w:style>
  <w:style w:type="table" w:styleId="TableGrid">
    <w:name w:val="Table Grid"/>
    <w:basedOn w:val="TableNormal"/>
    <w:uiPriority w:val="59"/>
    <w:rsid w:val="00FC693F"/>
    <w:pPr>
      <w:spacing w:after="0" w:line="240" w:lineRule="auto"/>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Calibri" w:hAnsi="Calibri"/>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Calibri" w:hAnsi="Calibri"/>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Calibri" w:hAnsi="Calibri"/>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Calibri" w:hAnsi="Calibr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Calibri" w:hAnsi="Calibri"/>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Calibri" w:hAnsi="Calibri"/>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Calibri" w:hAnsi="Calibri"/>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Calibri" w:hAnsi="Calibri"/>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Calibri" w:hAnsi="Calibri"/>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