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4E79"/>
          <w:sz w:val="44"/>
        </w:rPr>
        <w:t>BANGLALINK</w:t>
      </w:r>
    </w:p>
    <w:p>
      <w:pPr>
        <w:jc w:val="center"/>
      </w:pPr>
      <w:r>
        <w:rPr>
          <w:b/>
          <w:color w:val="2E75B6"/>
          <w:sz w:val="36"/>
        </w:rPr>
        <w:t>POSTPAID GA FOLDER</w:t>
      </w:r>
    </w:p>
    <w:p/>
    <w:p>
      <w:pPr>
        <w:jc w:val="center"/>
      </w:pPr>
      <w:r>
        <w:rPr>
          <w:b/>
          <w:color w:val="1F4E79"/>
          <w:sz w:val="32"/>
        </w:rPr>
        <w:t>Unique KPI Conditions</w:t>
      </w:r>
    </w:p>
    <w:p>
      <w:pPr>
        <w:jc w:val="center"/>
      </w:pPr>
      <w:r>
        <w:rPr>
          <w:i/>
          <w:color w:val="595959"/>
          <w:sz w:val="22"/>
        </w:rPr>
        <w:t>All Unique Commissioning Conditions Across All Campaign Types</w:t>
      </w:r>
    </w:p>
    <w:p/>
    <w:p/>
    <w:p>
      <w:pPr>
        <w:jc w:val="center"/>
      </w:pPr>
      <w:r>
        <w:rPr>
          <w:i/>
          <w:color w:val="595959"/>
          <w:sz w:val="18"/>
        </w:rPr>
        <w:t>Total SRFs Analysed: 6</w:t>
      </w:r>
    </w:p>
    <w:p>
      <w:pPr>
        <w:jc w:val="center"/>
      </w:pPr>
      <w:r>
        <w:rPr>
          <w:i/>
          <w:color w:val="595959"/>
          <w:sz w:val="18"/>
        </w:rPr>
        <w:t>Department: Alternate Channel and Digital Recharge</w:t>
      </w:r>
    </w:p>
    <w:p>
      <w:pPr>
        <w:jc w:val="center"/>
      </w:pPr>
      <w:r>
        <w:rPr>
          <w:i/>
          <w:color w:val="595959"/>
          <w:sz w:val="18"/>
        </w:rPr>
        <w:t>Recipient Roles: B2C Postpaid BDO / Monobrand CCR</w:t>
      </w:r>
    </w:p>
    <w:p>
      <w:pPr>
        <w:jc w:val="center"/>
      </w:pPr>
      <w:r>
        <w:rPr>
          <w:i/>
          <w:color w:val="595959"/>
          <w:sz w:val="18"/>
        </w:rPr>
        <w:t>Prepared: May 2026</w:t>
      </w:r>
    </w:p>
    <w:p>
      <w:r>
        <w:br w:type="page"/>
      </w:r>
    </w:p>
    <w:p>
      <w:pPr>
        <w:spacing w:before="160" w:after="80"/>
      </w:pPr>
      <w:r>
        <w:rPr>
          <w:b/>
          <w:color w:val="1F4E79"/>
          <w:sz w:val="28"/>
          <w:u w:val="single"/>
        </w:rPr>
        <w:t>INDEX — Postpaid GA Folder Campaign Types</w:t>
      </w:r>
    </w:p>
    <w:tbl>
      <w:tblPr>
        <w:tblW w:type="auto" w:w="0"/>
        <w:jc w:val="left"/>
        <w:tblLook w:firstColumn="1" w:firstRow="1" w:lastColumn="0" w:lastRow="0" w:noHBand="0" w:noVBand="1" w:val="04A0"/>
        <w:tblW w:w="8640" w:type="dxa"/>
      </w:tblPr>
      <w:tblGrid>
        <w:gridCol w:w="3010"/>
        <w:gridCol w:w="3010"/>
        <w:gridCol w:w="3010"/>
      </w:tblGrid>
      <w:tr>
        <w:tc>
          <w:tcPr>
            <w:tcW w:type="dxa" w:w="3010"/>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480" w:type="dxa"/>
          </w:tcPr>
          <w:p>
            <w:pPr>
              <w:jc w:val="left"/>
              <w:spacing w:before="0" w:after="0"/>
            </w:pPr>
            <w:r>
              <w:rPr>
                <w:b/>
                <w:i w:val="0"/>
                <w:color w:val="FFFFFF"/>
                <w:sz w:val="18"/>
              </w:rPr>
              <w:t>#</w:t>
            </w:r>
          </w:p>
        </w:tc>
        <w:tc>
          <w:tcPr>
            <w:tcW w:type="dxa" w:w="3010"/>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3200" w:type="dxa"/>
          </w:tcPr>
          <w:p>
            <w:pPr>
              <w:jc w:val="left"/>
              <w:spacing w:before="0" w:after="0"/>
            </w:pPr>
            <w:r>
              <w:rPr>
                <w:b/>
                <w:i w:val="0"/>
                <w:color w:val="FFFFFF"/>
                <w:sz w:val="18"/>
              </w:rPr>
              <w:t>Campaign Type</w:t>
            </w:r>
          </w:p>
        </w:tc>
        <w:tc>
          <w:tcPr>
            <w:tcW w:type="dxa" w:w="3010"/>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4960" w:type="dxa"/>
          </w:tcPr>
          <w:p>
            <w:pPr>
              <w:jc w:val="left"/>
              <w:spacing w:before="0" w:after="0"/>
            </w:pPr>
            <w:r>
              <w:rPr>
                <w:b/>
                <w:i w:val="0"/>
                <w:color w:val="FFFFFF"/>
                <w:sz w:val="18"/>
              </w:rPr>
              <w:t>Brief Description</w:t>
            </w:r>
          </w:p>
        </w:tc>
      </w:tr>
      <w:tr>
        <w:tc>
          <w:tcPr>
            <w:tcW w:type="dxa" w:w="301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left"/>
              <w:spacing w:before="0" w:after="0"/>
            </w:pPr>
            <w:r>
              <w:rPr>
                <w:b w:val="0"/>
                <w:i w:val="0"/>
                <w:sz w:val="18"/>
              </w:rPr>
              <w:t>1</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200" w:type="dxa"/>
          </w:tcPr>
          <w:p>
            <w:pPr>
              <w:jc w:val="left"/>
              <w:spacing w:before="0" w:after="0"/>
            </w:pPr>
            <w:r>
              <w:rPr>
                <w:b/>
                <w:i w:val="0"/>
                <w:sz w:val="18"/>
              </w:rPr>
              <w:t>Postpaid GA Achievement with Daily Participation — BDO</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960" w:type="dxa"/>
          </w:tcPr>
          <w:p>
            <w:pPr>
              <w:jc w:val="left"/>
              <w:spacing w:before="0" w:after="0"/>
            </w:pPr>
            <w:r>
              <w:rPr>
                <w:b w:val="0"/>
                <w:i w:val="0"/>
                <w:sz w:val="18"/>
              </w:rPr>
              <w:t>BDO gets fixed bonus (BDT 4,000 or BDT 2,000) based on ≥93% GA target achievement AND minimum active participation days in the month</w:t>
            </w:r>
          </w:p>
        </w:tc>
      </w:tr>
      <w:tr>
        <w:tc>
          <w:tcPr>
            <w:tcW w:type="dxa" w:w="301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left"/>
              <w:spacing w:before="0" w:after="0"/>
            </w:pPr>
            <w:r>
              <w:rPr>
                <w:b w:val="0"/>
                <w:i w:val="0"/>
                <w:sz w:val="18"/>
              </w:rPr>
              <w:t>2</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200" w:type="dxa"/>
          </w:tcPr>
          <w:p>
            <w:pPr>
              <w:jc w:val="left"/>
              <w:spacing w:before="0" w:after="0"/>
            </w:pPr>
            <w:r>
              <w:rPr>
                <w:b/>
                <w:i w:val="0"/>
                <w:sz w:val="18"/>
              </w:rPr>
              <w:t>Postpaid Slab-wise GA Achievement Bonus — BDO</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960" w:type="dxa"/>
          </w:tcPr>
          <w:p>
            <w:pPr>
              <w:jc w:val="left"/>
              <w:spacing w:before="0" w:after="0"/>
            </w:pPr>
            <w:r>
              <w:rPr>
                <w:b w:val="0"/>
                <w:i w:val="0"/>
                <w:sz w:val="18"/>
              </w:rPr>
              <w:t>BDO earns up to BDT 2,000 via two within-month date-based slabs (1st–10th and 11th–20th), each requiring 20 GAs; must also achieve ≥93% overall monthly target</w:t>
            </w:r>
          </w:p>
        </w:tc>
      </w:tr>
      <w:tr>
        <w:tc>
          <w:tcPr>
            <w:tcW w:type="dxa" w:w="301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left"/>
              <w:spacing w:before="0" w:after="0"/>
            </w:pPr>
            <w:r>
              <w:rPr>
                <w:b w:val="0"/>
                <w:i w:val="0"/>
                <w:sz w:val="18"/>
              </w:rPr>
              <w:t>3</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200" w:type="dxa"/>
          </w:tcPr>
          <w:p>
            <w:pPr>
              <w:jc w:val="left"/>
              <w:spacing w:before="0" w:after="0"/>
            </w:pPr>
            <w:r>
              <w:rPr>
                <w:b/>
                <w:i w:val="0"/>
                <w:sz w:val="18"/>
              </w:rPr>
              <w:t>BL Prepaid and Postpaid GA Campaign — Monobrand CCR</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960" w:type="dxa"/>
          </w:tcPr>
          <w:p>
            <w:pPr>
              <w:jc w:val="left"/>
              <w:spacing w:before="0" w:after="0"/>
            </w:pPr>
            <w:r>
              <w:rPr>
                <w:b w:val="0"/>
                <w:i w:val="0"/>
                <w:sz w:val="18"/>
              </w:rPr>
              <w:t>Monobrand CCR earns per-GA incentive on a 3-slab basis for both Prepaid and Postpaid; requires recharge completion rate ≥95%; AIT NOT applicable</w:t>
            </w:r>
          </w:p>
        </w:tc>
      </w:tr>
    </w:tbl>
    <w:p/>
    <w:tbl>
      <w:tblPr>
        <w:tblW w:type="auto" w:w="0"/>
        <w:jc w:val="left"/>
        <w:tblLook w:firstColumn="1" w:firstRow="1" w:lastColumn="0" w:lastRow="0" w:noHBand="0" w:noVBand="1" w:val="04A0"/>
        <w:tblW w:w="8640" w:type="dxa"/>
      </w:tblPr>
      <w:tblGrid>
        <w:gridCol w:w="9029"/>
      </w:tblGrid>
      <w:tr>
        <w:tc>
          <w:tcPr>
            <w:tcW w:type="dxa" w:w="9029"/>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640" w:type="dxa"/>
          </w:tcPr>
          <w:p>
            <w:pPr>
              <w:jc w:val="left"/>
              <w:spacing w:before="0" w:after="0"/>
            </w:pPr>
            <w:r>
              <w:rPr>
                <w:b w:val="0"/>
                <w:i/>
                <w:color w:val="595959"/>
                <w:sz w:val="18"/>
              </w:rPr>
              <w:t>All three campaign types in this folder share the same postpaid eligible product IDs and security deposit framework. See Appendix A (Products) and Appendix B (Security Deposits). The Monobrand CCR campaign also covers Prepaid activations.</w:t>
            </w:r>
          </w:p>
        </w:tc>
      </w:tr>
    </w:tbl>
    <w:p/>
    <w:p>
      <w:r>
        <w:br w:type="page"/>
      </w:r>
    </w:p>
    <w:p>
      <w:pPr>
        <w:spacing w:before="160" w:after="80"/>
      </w:pPr>
      <w:r>
        <w:rPr>
          <w:b/>
          <w:color w:val="1F4E79"/>
          <w:sz w:val="28"/>
          <w:u w:val="single"/>
        </w:rPr>
        <w:t>Section 1: Postpaid GA Achievement with Daily Participation — BDO</w:t>
      </w:r>
    </w:p>
    <w:p>
      <w:pPr>
        <w:spacing w:before="0" w:after="60"/>
      </w:pPr>
      <w:r>
        <w:rPr>
          <w:b w:val="0"/>
          <w:i w:val="0"/>
          <w:sz w:val="19"/>
        </w:rPr>
        <w:t>BDO earns a fixed monthly bonus for achieving at least 93% of their GA target, provided they also maintain a minimum number of active participation days in that month. Two bonus tiers exist — higher bonus for more participation days, lower bonus for fewer. The participation day thresholds are adjusted each month to reflect the total working days available.</w:t>
      </w:r>
    </w:p>
    <w:p>
      <w:pPr>
        <w:spacing w:before="160" w:after="80"/>
      </w:pPr>
      <w:r>
        <w:rPr>
          <w:b/>
          <w:color w:val="2E75B6"/>
          <w:sz w:val="22"/>
        </w:rPr>
        <w:t>1.1 Campaign Overview</w:t>
      </w:r>
    </w:p>
    <w:tbl>
      <w:tblPr>
        <w:tblW w:type="auto" w:w="0"/>
        <w:jc w:val="left"/>
        <w:tblLook w:firstColumn="1" w:firstRow="1" w:lastColumn="0" w:lastRow="0" w:noHBand="0" w:noVBand="1" w:val="04A0"/>
        <w:tblW w:w="8640" w:type="dxa"/>
      </w:tblPr>
      <w:tblGrid>
        <w:gridCol w:w="4514"/>
        <w:gridCol w:w="4514"/>
      </w:tblGrid>
      <w:tr>
        <w:tc>
          <w:tcPr>
            <w:tcW w:type="dxa" w:w="4514"/>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20" w:type="dxa"/>
              <w:right w:w="120" w:type="dxa"/>
            </w:tcMar>
            <w:tcW w:w="2880" w:type="dxa"/>
          </w:tcPr>
          <w:p>
            <w:pPr>
              <w:jc w:val="left"/>
              <w:spacing w:before="0" w:after="0"/>
            </w:pPr>
            <w:r>
              <w:rPr>
                <w:b/>
                <w:i w:val="0"/>
                <w:color w:val="FFFFFF"/>
                <w:sz w:val="18"/>
              </w:rPr>
              <w:t>Parameter</w:t>
            </w:r>
          </w:p>
        </w:tc>
        <w:tc>
          <w:tcPr>
            <w:tcW w:type="dxa" w:w="4514"/>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20" w:type="dxa"/>
              <w:right w:w="120" w:type="dxa"/>
            </w:tcMar>
            <w:tcW w:w="5760" w:type="dxa"/>
          </w:tcPr>
          <w:p>
            <w:pPr>
              <w:jc w:val="left"/>
              <w:spacing w:before="0" w:after="0"/>
            </w:pPr>
            <w:r>
              <w:rPr>
                <w:b/>
                <w:i w:val="0"/>
                <w:color w:val="FFFFFF"/>
                <w:sz w:val="18"/>
              </w:rPr>
              <w:t>Detail</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Recipient</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B2C Postpaid BDO (individual retailer code)</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Commission Concept</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Dual condition: GA % achievement ≥93% AND minimum monthly participation days</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Commission Tiers</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BDT 4,000 (higher tier) or BDT 2,000 (lower tier) — fixed, not proportional</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Periodicity</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Regular — Monthly (Jan26 onwards)</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Reporting</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Jan26 and Apr26 as Regular; Mar26 filed as Ad-hoc</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Report Slot</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Disbursement only</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AIT</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Applicable</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Maturity Date</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8th of following month</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Salescom to POS</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No</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Salescom to IN HOUSE</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No</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Data Source</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ED, IT BI, DWH, TABS, DMS, POS; DWH table: POSTPAID_COMMISSION_DATA_MONTHLY_DWH</w:t>
            </w:r>
          </w:p>
        </w:tc>
      </w:tr>
    </w:tbl>
    <w:p>
      <w:pPr>
        <w:spacing w:before="0" w:after="60"/>
      </w:pPr>
    </w:p>
    <w:p>
      <w:pPr>
        <w:spacing w:before="160" w:after="80"/>
      </w:pPr>
      <w:r>
        <w:rPr>
          <w:b/>
          <w:color w:val="2E75B6"/>
          <w:sz w:val="22"/>
        </w:rPr>
        <w:t>1.2 Bonus Structure — by Month</w:t>
      </w:r>
    </w:p>
    <w:p>
      <w:pPr>
        <w:spacing w:before="0" w:after="40"/>
      </w:pPr>
      <w:r>
        <w:rPr>
          <w:b w:val="0"/>
          <w:i w:val="0"/>
          <w:sz w:val="19"/>
        </w:rPr>
        <w:t>The GA achievement threshold (93%) is constant across all months. Only the participation day thresholds change to reflect the number of working/calendar days per month:</w:t>
      </w:r>
    </w:p>
    <w:tbl>
      <w:tblPr>
        <w:tblW w:type="auto" w:w="0"/>
        <w:jc w:val="left"/>
        <w:tblLook w:firstColumn="1" w:firstRow="1" w:lastColumn="0" w:lastRow="0" w:noHBand="0" w:noVBand="1" w:val="04A0"/>
        <w:tblW w:w="8640" w:type="dxa"/>
      </w:tblPr>
      <w:tblGrid>
        <w:gridCol w:w="1505"/>
        <w:gridCol w:w="1505"/>
        <w:gridCol w:w="1505"/>
        <w:gridCol w:w="1505"/>
        <w:gridCol w:w="1505"/>
        <w:gridCol w:w="1505"/>
      </w:tblGrid>
      <w:tr>
        <w:tc>
          <w:tcPr>
            <w:tcW w:type="dxa" w:w="1505"/>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900" w:type="dxa"/>
          </w:tcPr>
          <w:p>
            <w:pPr>
              <w:jc w:val="center"/>
              <w:spacing w:before="0" w:after="0"/>
            </w:pPr>
            <w:r>
              <w:rPr>
                <w:b/>
                <w:i w:val="0"/>
                <w:color w:val="FFFFFF"/>
                <w:sz w:val="17"/>
              </w:rPr>
              <w:t>Month</w:t>
            </w:r>
          </w:p>
        </w:tc>
        <w:tc>
          <w:tcPr>
            <w:tcW w:type="dxa" w:w="1505"/>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2000" w:type="dxa"/>
          </w:tcPr>
          <w:p>
            <w:pPr>
              <w:jc w:val="center"/>
              <w:spacing w:before="0" w:after="0"/>
            </w:pPr>
            <w:r>
              <w:rPr>
                <w:b/>
                <w:i w:val="0"/>
                <w:color w:val="FFFFFF"/>
                <w:sz w:val="17"/>
              </w:rPr>
              <w:t>GA Achievement Required</w:t>
            </w:r>
          </w:p>
        </w:tc>
        <w:tc>
          <w:tcPr>
            <w:tcW w:type="dxa" w:w="1505"/>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1500" w:type="dxa"/>
          </w:tcPr>
          <w:p>
            <w:pPr>
              <w:jc w:val="center"/>
              <w:spacing w:before="0" w:after="0"/>
            </w:pPr>
            <w:r>
              <w:rPr>
                <w:b/>
                <w:i w:val="0"/>
                <w:color w:val="FFFFFF"/>
                <w:sz w:val="17"/>
              </w:rPr>
              <w:t>Tier 1 (Higher Bonus)</w:t>
            </w:r>
          </w:p>
        </w:tc>
        <w:tc>
          <w:tcPr>
            <w:tcW w:type="dxa" w:w="1505"/>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1580" w:type="dxa"/>
          </w:tcPr>
          <w:p>
            <w:pPr>
              <w:jc w:val="center"/>
              <w:spacing w:before="0" w:after="0"/>
            </w:pPr>
            <w:r>
              <w:rPr>
                <w:b/>
                <w:i w:val="0"/>
                <w:color w:val="FFFFFF"/>
                <w:sz w:val="17"/>
              </w:rPr>
              <w:t>Participation Days for Tier 1</w:t>
            </w:r>
          </w:p>
        </w:tc>
        <w:tc>
          <w:tcPr>
            <w:tcW w:type="dxa" w:w="1505"/>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1500" w:type="dxa"/>
          </w:tcPr>
          <w:p>
            <w:pPr>
              <w:jc w:val="center"/>
              <w:spacing w:before="0" w:after="0"/>
            </w:pPr>
            <w:r>
              <w:rPr>
                <w:b/>
                <w:i w:val="0"/>
                <w:color w:val="FFFFFF"/>
                <w:sz w:val="17"/>
              </w:rPr>
              <w:t>Tier 2 (Lower Bonus)</w:t>
            </w:r>
          </w:p>
        </w:tc>
        <w:tc>
          <w:tcPr>
            <w:tcW w:type="dxa" w:w="1505"/>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1160" w:type="dxa"/>
          </w:tcPr>
          <w:p>
            <w:pPr>
              <w:jc w:val="center"/>
              <w:spacing w:before="0" w:after="0"/>
            </w:pPr>
            <w:r>
              <w:rPr>
                <w:b/>
                <w:i w:val="0"/>
                <w:color w:val="FFFFFF"/>
                <w:sz w:val="17"/>
              </w:rPr>
              <w:t>Participation Days for Tier 2</w:t>
            </w:r>
          </w:p>
        </w:tc>
      </w:tr>
      <w:tr>
        <w:tc>
          <w:tcPr>
            <w:tcW w:type="dxa" w:w="1505"/>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900" w:type="dxa"/>
          </w:tcPr>
          <w:p>
            <w:pPr>
              <w:jc w:val="left"/>
              <w:spacing w:before="0" w:after="0"/>
            </w:pPr>
            <w:r>
              <w:rPr>
                <w:b w:val="0"/>
                <w:i w:val="0"/>
                <w:sz w:val="17"/>
              </w:rPr>
              <w:t>Jan 2026</w:t>
            </w:r>
          </w:p>
        </w:tc>
        <w:tc>
          <w:tcPr>
            <w:tcW w:type="dxa" w:w="1505"/>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 93% of monthly GA target</w:t>
            </w:r>
          </w:p>
        </w:tc>
        <w:tc>
          <w:tcPr>
            <w:tcW w:type="dxa" w:w="1505"/>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500" w:type="dxa"/>
          </w:tcPr>
          <w:p>
            <w:pPr>
              <w:jc w:val="left"/>
              <w:spacing w:before="0" w:after="0"/>
            </w:pPr>
            <w:r>
              <w:rPr>
                <w:b w:val="0"/>
                <w:i w:val="0"/>
                <w:sz w:val="17"/>
              </w:rPr>
              <w:t>BDT 4,000</w:t>
            </w:r>
          </w:p>
        </w:tc>
        <w:tc>
          <w:tcPr>
            <w:tcW w:type="dxa" w:w="1505"/>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580" w:type="dxa"/>
          </w:tcPr>
          <w:p>
            <w:pPr>
              <w:jc w:val="left"/>
              <w:spacing w:before="0" w:after="0"/>
            </w:pPr>
            <w:r>
              <w:rPr>
                <w:b w:val="0"/>
                <w:i w:val="0"/>
                <w:sz w:val="17"/>
              </w:rPr>
              <w:t>≥ 24 days</w:t>
            </w:r>
          </w:p>
        </w:tc>
        <w:tc>
          <w:tcPr>
            <w:tcW w:type="dxa" w:w="1505"/>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500" w:type="dxa"/>
          </w:tcPr>
          <w:p>
            <w:pPr>
              <w:jc w:val="left"/>
              <w:spacing w:before="0" w:after="0"/>
            </w:pPr>
            <w:r>
              <w:rPr>
                <w:b w:val="0"/>
                <w:i w:val="0"/>
                <w:sz w:val="17"/>
              </w:rPr>
              <w:t>BDT 2,000</w:t>
            </w:r>
          </w:p>
        </w:tc>
        <w:tc>
          <w:tcPr>
            <w:tcW w:type="dxa" w:w="1505"/>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160" w:type="dxa"/>
          </w:tcPr>
          <w:p>
            <w:pPr>
              <w:jc w:val="left"/>
              <w:spacing w:before="0" w:after="0"/>
            </w:pPr>
            <w:r>
              <w:rPr>
                <w:b w:val="0"/>
                <w:i w:val="0"/>
                <w:sz w:val="17"/>
              </w:rPr>
              <w:t>≥ 20 days</w:t>
            </w:r>
          </w:p>
        </w:tc>
      </w:tr>
      <w:tr>
        <w:tc>
          <w:tcPr>
            <w:tcW w:type="dxa" w:w="1505"/>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900" w:type="dxa"/>
          </w:tcPr>
          <w:p>
            <w:pPr>
              <w:jc w:val="left"/>
              <w:spacing w:before="0" w:after="0"/>
            </w:pPr>
            <w:r>
              <w:rPr>
                <w:b w:val="0"/>
                <w:i w:val="0"/>
                <w:sz w:val="17"/>
              </w:rPr>
              <w:t>Feb 2026</w:t>
            </w:r>
          </w:p>
        </w:tc>
        <w:tc>
          <w:tcPr>
            <w:tcW w:type="dxa" w:w="1505"/>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 93% of monthly GA target</w:t>
            </w:r>
          </w:p>
        </w:tc>
        <w:tc>
          <w:tcPr>
            <w:tcW w:type="dxa" w:w="1505"/>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500" w:type="dxa"/>
          </w:tcPr>
          <w:p>
            <w:pPr>
              <w:jc w:val="left"/>
              <w:spacing w:before="0" w:after="0"/>
            </w:pPr>
            <w:r>
              <w:rPr>
                <w:b w:val="0"/>
                <w:i w:val="0"/>
                <w:sz w:val="17"/>
              </w:rPr>
              <w:t>BDT 4,000</w:t>
            </w:r>
          </w:p>
        </w:tc>
        <w:tc>
          <w:tcPr>
            <w:tcW w:type="dxa" w:w="1505"/>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580" w:type="dxa"/>
          </w:tcPr>
          <w:p>
            <w:pPr>
              <w:jc w:val="left"/>
              <w:spacing w:before="0" w:after="0"/>
            </w:pPr>
            <w:r>
              <w:rPr>
                <w:b w:val="0"/>
                <w:i w:val="0"/>
                <w:sz w:val="17"/>
              </w:rPr>
              <w:t>≥ 22 days</w:t>
            </w:r>
          </w:p>
        </w:tc>
        <w:tc>
          <w:tcPr>
            <w:tcW w:type="dxa" w:w="1505"/>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500" w:type="dxa"/>
          </w:tcPr>
          <w:p>
            <w:pPr>
              <w:jc w:val="left"/>
              <w:spacing w:before="0" w:after="0"/>
            </w:pPr>
            <w:r>
              <w:rPr>
                <w:b w:val="0"/>
                <w:i w:val="0"/>
                <w:sz w:val="17"/>
              </w:rPr>
              <w:t>BDT 2,000</w:t>
            </w:r>
          </w:p>
        </w:tc>
        <w:tc>
          <w:tcPr>
            <w:tcW w:type="dxa" w:w="1505"/>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160" w:type="dxa"/>
          </w:tcPr>
          <w:p>
            <w:pPr>
              <w:jc w:val="left"/>
              <w:spacing w:before="0" w:after="0"/>
            </w:pPr>
            <w:r>
              <w:rPr>
                <w:b w:val="0"/>
                <w:i w:val="0"/>
                <w:sz w:val="17"/>
              </w:rPr>
              <w:t>≥ 18 days</w:t>
            </w:r>
          </w:p>
        </w:tc>
      </w:tr>
      <w:tr>
        <w:tc>
          <w:tcPr>
            <w:tcW w:type="dxa" w:w="1505"/>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900" w:type="dxa"/>
          </w:tcPr>
          <w:p>
            <w:pPr>
              <w:jc w:val="left"/>
              <w:spacing w:before="0" w:after="0"/>
            </w:pPr>
            <w:r>
              <w:rPr>
                <w:b w:val="0"/>
                <w:i w:val="0"/>
                <w:sz w:val="17"/>
              </w:rPr>
              <w:t>Mar 2026</w:t>
            </w:r>
          </w:p>
        </w:tc>
        <w:tc>
          <w:tcPr>
            <w:tcW w:type="dxa" w:w="1505"/>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 93% of monthly GA target</w:t>
            </w:r>
          </w:p>
        </w:tc>
        <w:tc>
          <w:tcPr>
            <w:tcW w:type="dxa" w:w="1505"/>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500" w:type="dxa"/>
          </w:tcPr>
          <w:p>
            <w:pPr>
              <w:jc w:val="left"/>
              <w:spacing w:before="0" w:after="0"/>
            </w:pPr>
            <w:r>
              <w:rPr>
                <w:b w:val="0"/>
                <w:i w:val="0"/>
                <w:sz w:val="17"/>
              </w:rPr>
              <w:t>BDT 4,000</w:t>
            </w:r>
          </w:p>
        </w:tc>
        <w:tc>
          <w:tcPr>
            <w:tcW w:type="dxa" w:w="1505"/>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580" w:type="dxa"/>
          </w:tcPr>
          <w:p>
            <w:pPr>
              <w:jc w:val="left"/>
              <w:spacing w:before="0" w:after="0"/>
            </w:pPr>
            <w:r>
              <w:rPr>
                <w:b w:val="0"/>
                <w:i w:val="0"/>
                <w:sz w:val="17"/>
              </w:rPr>
              <w:t>≥ 20 days</w:t>
            </w:r>
          </w:p>
        </w:tc>
        <w:tc>
          <w:tcPr>
            <w:tcW w:type="dxa" w:w="1505"/>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500" w:type="dxa"/>
          </w:tcPr>
          <w:p>
            <w:pPr>
              <w:jc w:val="left"/>
              <w:spacing w:before="0" w:after="0"/>
            </w:pPr>
            <w:r>
              <w:rPr>
                <w:b w:val="0"/>
                <w:i w:val="0"/>
                <w:sz w:val="17"/>
              </w:rPr>
              <w:t>BDT 2,000</w:t>
            </w:r>
          </w:p>
        </w:tc>
        <w:tc>
          <w:tcPr>
            <w:tcW w:type="dxa" w:w="1505"/>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160" w:type="dxa"/>
          </w:tcPr>
          <w:p>
            <w:pPr>
              <w:jc w:val="left"/>
              <w:spacing w:before="0" w:after="0"/>
            </w:pPr>
            <w:r>
              <w:rPr>
                <w:b w:val="0"/>
                <w:i w:val="0"/>
                <w:sz w:val="17"/>
              </w:rPr>
              <w:t>≥ 19 days</w:t>
            </w:r>
          </w:p>
        </w:tc>
      </w:tr>
      <w:tr>
        <w:tc>
          <w:tcPr>
            <w:tcW w:type="dxa" w:w="1505"/>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900" w:type="dxa"/>
          </w:tcPr>
          <w:p>
            <w:pPr>
              <w:jc w:val="left"/>
              <w:spacing w:before="0" w:after="0"/>
            </w:pPr>
            <w:r>
              <w:rPr>
                <w:b w:val="0"/>
                <w:i w:val="0"/>
                <w:sz w:val="17"/>
              </w:rPr>
              <w:t>Apr 2026</w:t>
            </w:r>
          </w:p>
        </w:tc>
        <w:tc>
          <w:tcPr>
            <w:tcW w:type="dxa" w:w="1505"/>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 93% of monthly GA target</w:t>
            </w:r>
          </w:p>
        </w:tc>
        <w:tc>
          <w:tcPr>
            <w:tcW w:type="dxa" w:w="1505"/>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500" w:type="dxa"/>
          </w:tcPr>
          <w:p>
            <w:pPr>
              <w:jc w:val="left"/>
              <w:spacing w:before="0" w:after="0"/>
            </w:pPr>
            <w:r>
              <w:rPr>
                <w:b w:val="0"/>
                <w:i w:val="0"/>
                <w:sz w:val="17"/>
              </w:rPr>
              <w:t>BDT 4,000</w:t>
            </w:r>
          </w:p>
        </w:tc>
        <w:tc>
          <w:tcPr>
            <w:tcW w:type="dxa" w:w="1505"/>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580" w:type="dxa"/>
          </w:tcPr>
          <w:p>
            <w:pPr>
              <w:jc w:val="left"/>
              <w:spacing w:before="0" w:after="0"/>
            </w:pPr>
            <w:r>
              <w:rPr>
                <w:b w:val="0"/>
                <w:i w:val="0"/>
                <w:sz w:val="17"/>
              </w:rPr>
              <w:t>≥ 24 days</w:t>
            </w:r>
          </w:p>
        </w:tc>
        <w:tc>
          <w:tcPr>
            <w:tcW w:type="dxa" w:w="1505"/>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500" w:type="dxa"/>
          </w:tcPr>
          <w:p>
            <w:pPr>
              <w:jc w:val="left"/>
              <w:spacing w:before="0" w:after="0"/>
            </w:pPr>
            <w:r>
              <w:rPr>
                <w:b w:val="0"/>
                <w:i w:val="0"/>
                <w:sz w:val="17"/>
              </w:rPr>
              <w:t>BDT 2,000</w:t>
            </w:r>
          </w:p>
        </w:tc>
        <w:tc>
          <w:tcPr>
            <w:tcW w:type="dxa" w:w="1505"/>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160" w:type="dxa"/>
          </w:tcPr>
          <w:p>
            <w:pPr>
              <w:jc w:val="left"/>
              <w:spacing w:before="0" w:after="0"/>
            </w:pPr>
            <w:r>
              <w:rPr>
                <w:b w:val="0"/>
                <w:i w:val="0"/>
                <w:sz w:val="17"/>
              </w:rPr>
              <w:t>≥ 20 days</w:t>
            </w:r>
          </w:p>
        </w:tc>
      </w:tr>
    </w:tbl>
    <w:p/>
    <w:tbl>
      <w:tblPr>
        <w:tblW w:type="auto" w:w="0"/>
        <w:jc w:val="left"/>
        <w:tblLook w:firstColumn="1" w:firstRow="1" w:lastColumn="0" w:lastRow="0" w:noHBand="0" w:noVBand="1" w:val="04A0"/>
        <w:tblW w:w="8640" w:type="dxa"/>
      </w:tblPr>
      <w:tblGrid>
        <w:gridCol w:w="9029"/>
      </w:tblGrid>
      <w:tr>
        <w:tc>
          <w:tcPr>
            <w:tcW w:type="dxa" w:w="9029"/>
            <w:shd w:val="clear" w:color="auto" w:fill="FFF2CC"/>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640" w:type="dxa"/>
          </w:tcPr>
          <w:p>
            <w:pPr>
              <w:jc w:val="left"/>
              <w:spacing w:before="0" w:after="0"/>
            </w:pPr>
            <w:r>
              <w:rPr>
                <w:b w:val="0"/>
                <w:i/>
                <w:color w:val="595959"/>
                <w:sz w:val="18"/>
              </w:rPr>
              <w:t>KEY RULE: Both conditions (GA ≥93% AND participation days ≥ threshold) must be met to qualify for either tier. A BDO who achieves 95% GA but participates only 19 days in January gets BDT 0 — below the 20-day lower threshold. The participation day thresholds are set lower in shorter months (e.g., Feb requires only 18/22 days vs Jan's 20/24).</w:t>
            </w:r>
          </w:p>
        </w:tc>
      </w:tr>
    </w:tbl>
    <w:p/>
    <w:p>
      <w:pPr>
        <w:spacing w:before="160" w:after="80"/>
      </w:pPr>
      <w:r>
        <w:rPr>
          <w:b/>
          <w:color w:val="2E75B6"/>
          <w:sz w:val="22"/>
        </w:rPr>
        <w:t>1.3 Eligibility Logic</w:t>
      </w:r>
    </w:p>
    <w:tbl>
      <w:tblPr>
        <w:tblW w:type="auto" w:w="0"/>
        <w:jc w:val="left"/>
        <w:tblLook w:firstColumn="1" w:firstRow="1" w:lastColumn="0" w:lastRow="0" w:noHBand="0" w:noVBand="1" w:val="04A0"/>
        <w:tblW w:w="8640" w:type="dxa"/>
      </w:tblPr>
      <w:tblGrid>
        <w:gridCol w:w="2257"/>
        <w:gridCol w:w="2257"/>
        <w:gridCol w:w="2257"/>
        <w:gridCol w:w="2257"/>
      </w:tblGrid>
      <w:tr>
        <w:tc>
          <w:tcPr>
            <w:tcW w:type="dxa" w:w="2257"/>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2200" w:type="dxa"/>
          </w:tcPr>
          <w:p>
            <w:pPr>
              <w:jc w:val="center"/>
              <w:spacing w:before="0" w:after="0"/>
            </w:pPr>
            <w:r>
              <w:rPr>
                <w:b/>
                <w:i w:val="0"/>
                <w:color w:val="FFFFFF"/>
                <w:sz w:val="17"/>
              </w:rPr>
              <w:t>Scenario</w:t>
            </w:r>
          </w:p>
        </w:tc>
        <w:tc>
          <w:tcPr>
            <w:tcW w:type="dxa" w:w="2257"/>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1800" w:type="dxa"/>
          </w:tcPr>
          <w:p>
            <w:pPr>
              <w:jc w:val="center"/>
              <w:spacing w:before="0" w:after="0"/>
            </w:pPr>
            <w:r>
              <w:rPr>
                <w:b/>
                <w:i w:val="0"/>
                <w:color w:val="FFFFFF"/>
                <w:sz w:val="17"/>
              </w:rPr>
              <w:t>GA Achievement</w:t>
            </w:r>
          </w:p>
        </w:tc>
        <w:tc>
          <w:tcPr>
            <w:tcW w:type="dxa" w:w="2257"/>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2600" w:type="dxa"/>
          </w:tcPr>
          <w:p>
            <w:pPr>
              <w:jc w:val="center"/>
              <w:spacing w:before="0" w:after="0"/>
            </w:pPr>
            <w:r>
              <w:rPr>
                <w:b/>
                <w:i w:val="0"/>
                <w:color w:val="FFFFFF"/>
                <w:sz w:val="17"/>
              </w:rPr>
              <w:t>Participation Days (e.g. Jan26)</w:t>
            </w:r>
          </w:p>
        </w:tc>
        <w:tc>
          <w:tcPr>
            <w:tcW w:type="dxa" w:w="2257"/>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2040" w:type="dxa"/>
          </w:tcPr>
          <w:p>
            <w:pPr>
              <w:jc w:val="center"/>
              <w:spacing w:before="0" w:after="0"/>
            </w:pPr>
            <w:r>
              <w:rPr>
                <w:b/>
                <w:i w:val="0"/>
                <w:color w:val="FFFFFF"/>
                <w:sz w:val="17"/>
              </w:rPr>
              <w:t>Commission Earned</w:t>
            </w:r>
          </w:p>
        </w:tc>
      </w:tr>
      <w:tr>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200" w:type="dxa"/>
          </w:tcPr>
          <w:p>
            <w:pPr>
              <w:jc w:val="left"/>
              <w:spacing w:before="0" w:after="0"/>
            </w:pPr>
            <w:r>
              <w:rPr>
                <w:b w:val="0"/>
                <w:i w:val="0"/>
                <w:sz w:val="17"/>
              </w:rPr>
              <w:t>Qualifies for Tier 1</w:t>
            </w:r>
          </w:p>
        </w:tc>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800" w:type="dxa"/>
          </w:tcPr>
          <w:p>
            <w:pPr>
              <w:jc w:val="left"/>
              <w:spacing w:before="0" w:after="0"/>
            </w:pPr>
            <w:r>
              <w:rPr>
                <w:b w:val="0"/>
                <w:i w:val="0"/>
                <w:sz w:val="17"/>
              </w:rPr>
              <w:t>≥ 93%</w:t>
            </w:r>
          </w:p>
        </w:tc>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600" w:type="dxa"/>
          </w:tcPr>
          <w:p>
            <w:pPr>
              <w:jc w:val="left"/>
              <w:spacing w:before="0" w:after="0"/>
            </w:pPr>
            <w:r>
              <w:rPr>
                <w:b w:val="0"/>
                <w:i w:val="0"/>
                <w:sz w:val="17"/>
              </w:rPr>
              <w:t>≥ 24 days</w:t>
            </w:r>
          </w:p>
        </w:tc>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40" w:type="dxa"/>
          </w:tcPr>
          <w:p>
            <w:pPr>
              <w:jc w:val="left"/>
              <w:spacing w:before="0" w:after="0"/>
            </w:pPr>
            <w:r>
              <w:rPr>
                <w:b w:val="0"/>
                <w:i w:val="0"/>
                <w:sz w:val="17"/>
              </w:rPr>
              <w:t>BDT 4,000</w:t>
            </w:r>
          </w:p>
        </w:tc>
      </w:tr>
      <w:tr>
        <w:tc>
          <w:tcPr>
            <w:tcW w:type="dxa" w:w="2257"/>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200" w:type="dxa"/>
          </w:tcPr>
          <w:p>
            <w:pPr>
              <w:jc w:val="left"/>
              <w:spacing w:before="0" w:after="0"/>
            </w:pPr>
            <w:r>
              <w:rPr>
                <w:b w:val="0"/>
                <w:i w:val="0"/>
                <w:sz w:val="17"/>
              </w:rPr>
              <w:t>Qualifies for Tier 2 only</w:t>
            </w:r>
          </w:p>
        </w:tc>
        <w:tc>
          <w:tcPr>
            <w:tcW w:type="dxa" w:w="2257"/>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800" w:type="dxa"/>
          </w:tcPr>
          <w:p>
            <w:pPr>
              <w:jc w:val="left"/>
              <w:spacing w:before="0" w:after="0"/>
            </w:pPr>
            <w:r>
              <w:rPr>
                <w:b w:val="0"/>
                <w:i w:val="0"/>
                <w:sz w:val="17"/>
              </w:rPr>
              <w:t>≥ 93%</w:t>
            </w:r>
          </w:p>
        </w:tc>
        <w:tc>
          <w:tcPr>
            <w:tcW w:type="dxa" w:w="2257"/>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600" w:type="dxa"/>
          </w:tcPr>
          <w:p>
            <w:pPr>
              <w:jc w:val="left"/>
              <w:spacing w:before="0" w:after="0"/>
            </w:pPr>
            <w:r>
              <w:rPr>
                <w:b w:val="0"/>
                <w:i w:val="0"/>
                <w:sz w:val="17"/>
              </w:rPr>
              <w:t>≥ 20 days but &lt; 24 days</w:t>
            </w:r>
          </w:p>
        </w:tc>
        <w:tc>
          <w:tcPr>
            <w:tcW w:type="dxa" w:w="2257"/>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40" w:type="dxa"/>
          </w:tcPr>
          <w:p>
            <w:pPr>
              <w:jc w:val="left"/>
              <w:spacing w:before="0" w:after="0"/>
            </w:pPr>
            <w:r>
              <w:rPr>
                <w:b w:val="0"/>
                <w:i w:val="0"/>
                <w:sz w:val="17"/>
              </w:rPr>
              <w:t>BDT 2,000</w:t>
            </w:r>
          </w:p>
        </w:tc>
      </w:tr>
      <w:tr>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200" w:type="dxa"/>
          </w:tcPr>
          <w:p>
            <w:pPr>
              <w:jc w:val="left"/>
              <w:spacing w:before="0" w:after="0"/>
            </w:pPr>
            <w:r>
              <w:rPr>
                <w:b w:val="0"/>
                <w:i w:val="0"/>
                <w:sz w:val="17"/>
              </w:rPr>
              <w:t>Does not qualify</w:t>
            </w:r>
          </w:p>
        </w:tc>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800" w:type="dxa"/>
          </w:tcPr>
          <w:p>
            <w:pPr>
              <w:jc w:val="left"/>
              <w:spacing w:before="0" w:after="0"/>
            </w:pPr>
            <w:r>
              <w:rPr>
                <w:b w:val="0"/>
                <w:i w:val="0"/>
                <w:sz w:val="17"/>
              </w:rPr>
              <w:t>≥ 93%</w:t>
            </w:r>
          </w:p>
        </w:tc>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600" w:type="dxa"/>
          </w:tcPr>
          <w:p>
            <w:pPr>
              <w:jc w:val="left"/>
              <w:spacing w:before="0" w:after="0"/>
            </w:pPr>
            <w:r>
              <w:rPr>
                <w:b w:val="0"/>
                <w:i w:val="0"/>
                <w:sz w:val="17"/>
              </w:rPr>
              <w:t>&lt; 20 days</w:t>
            </w:r>
          </w:p>
        </w:tc>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40" w:type="dxa"/>
          </w:tcPr>
          <w:p>
            <w:pPr>
              <w:jc w:val="left"/>
              <w:spacing w:before="0" w:after="0"/>
            </w:pPr>
            <w:r>
              <w:rPr>
                <w:b w:val="0"/>
                <w:i w:val="0"/>
                <w:sz w:val="17"/>
              </w:rPr>
              <w:t>BDT 0</w:t>
            </w:r>
          </w:p>
        </w:tc>
      </w:tr>
      <w:tr>
        <w:tc>
          <w:tcPr>
            <w:tcW w:type="dxa" w:w="2257"/>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200" w:type="dxa"/>
          </w:tcPr>
          <w:p>
            <w:pPr>
              <w:jc w:val="left"/>
              <w:spacing w:before="0" w:after="0"/>
            </w:pPr>
            <w:r>
              <w:rPr>
                <w:b w:val="0"/>
                <w:i w:val="0"/>
                <w:sz w:val="17"/>
              </w:rPr>
              <w:t>Does not qualify</w:t>
            </w:r>
          </w:p>
        </w:tc>
        <w:tc>
          <w:tcPr>
            <w:tcW w:type="dxa" w:w="2257"/>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800" w:type="dxa"/>
          </w:tcPr>
          <w:p>
            <w:pPr>
              <w:jc w:val="left"/>
              <w:spacing w:before="0" w:after="0"/>
            </w:pPr>
            <w:r>
              <w:rPr>
                <w:b w:val="0"/>
                <w:i w:val="0"/>
                <w:sz w:val="17"/>
              </w:rPr>
              <w:t>&lt; 93%</w:t>
            </w:r>
          </w:p>
        </w:tc>
        <w:tc>
          <w:tcPr>
            <w:tcW w:type="dxa" w:w="2257"/>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600" w:type="dxa"/>
          </w:tcPr>
          <w:p>
            <w:pPr>
              <w:jc w:val="left"/>
              <w:spacing w:before="0" w:after="0"/>
            </w:pPr>
            <w:r>
              <w:rPr>
                <w:b w:val="0"/>
                <w:i w:val="0"/>
                <w:sz w:val="17"/>
              </w:rPr>
              <w:t>Any</w:t>
            </w:r>
          </w:p>
        </w:tc>
        <w:tc>
          <w:tcPr>
            <w:tcW w:type="dxa" w:w="2257"/>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40" w:type="dxa"/>
          </w:tcPr>
          <w:p>
            <w:pPr>
              <w:jc w:val="left"/>
              <w:spacing w:before="0" w:after="0"/>
            </w:pPr>
            <w:r>
              <w:rPr>
                <w:b w:val="0"/>
                <w:i w:val="0"/>
                <w:sz w:val="17"/>
              </w:rPr>
              <w:t>BDT 0</w:t>
            </w:r>
          </w:p>
        </w:tc>
      </w:tr>
    </w:tbl>
    <w:p/>
    <w:p>
      <w:pPr>
        <w:spacing w:before="160" w:after="80"/>
      </w:pPr>
      <w:r>
        <w:rPr>
          <w:b/>
          <w:color w:val="2E75B6"/>
          <w:sz w:val="22"/>
        </w:rPr>
        <w:t>1.4 GA Conditions</w:t>
      </w:r>
    </w:p>
    <w:p>
      <w:pPr>
        <w:spacing w:before="160" w:after="80"/>
      </w:pPr>
      <w:r>
        <w:rPr>
          <w:b/>
          <w:color w:val="1F4E79"/>
          <w:sz w:val="20"/>
        </w:rPr>
        <w:t>GA &amp; MNP Eligibility Conditions</w:t>
      </w:r>
    </w:p>
    <w:tbl>
      <w:tblPr>
        <w:tblW w:type="auto" w:w="0"/>
        <w:jc w:val="left"/>
        <w:tblLook w:firstColumn="1" w:firstRow="1" w:lastColumn="0" w:lastRow="0" w:noHBand="0" w:noVBand="1" w:val="04A0"/>
        <w:tblW w:w="8640" w:type="dxa"/>
      </w:tblPr>
      <w:tblGrid>
        <w:gridCol w:w="4514"/>
        <w:gridCol w:w="4514"/>
      </w:tblGrid>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8160" w:type="dxa"/>
          </w:tcPr>
          <w:p>
            <w:pPr>
              <w:jc w:val="left"/>
              <w:spacing w:before="0" w:after="0"/>
            </w:pPr>
            <w:r>
              <w:rPr>
                <w:b w:val="0"/>
                <w:i w:val="0"/>
                <w:sz w:val="18"/>
              </w:rPr>
              <w:t>GA includes both New Activations and MNP (Mobile Number Portability).</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2</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8160" w:type="dxa"/>
          </w:tcPr>
          <w:p>
            <w:pPr>
              <w:jc w:val="left"/>
              <w:spacing w:before="0" w:after="0"/>
            </w:pPr>
            <w:r>
              <w:rPr>
                <w:b w:val="0"/>
                <w:i w:val="0"/>
                <w:sz w:val="18"/>
              </w:rPr>
              <w:t>New Activation: on Retail2Postpaid / Banglalink Select Postpaid (M2MADV) + (blkSelPostpaid) base package, with mentioned bundle or non-bundle.</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3</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8160" w:type="dxa"/>
          </w:tcPr>
          <w:p>
            <w:pPr>
              <w:jc w:val="left"/>
              <w:spacing w:before="0" w:after="0"/>
            </w:pPr>
            <w:r>
              <w:rPr>
                <w:b w:val="0"/>
                <w:i w:val="0"/>
                <w:sz w:val="18"/>
              </w:rPr>
              <w:t>MNP: to subscription ID Retail2Postpaid / Banglalink Select Postpaid (M2MADV) + (blkSelPostpaid), with mentioned bundle or non-bundle.</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4</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8160" w:type="dxa"/>
          </w:tcPr>
          <w:p>
            <w:pPr>
              <w:jc w:val="left"/>
              <w:spacing w:before="0" w:after="0"/>
            </w:pPr>
            <w:r>
              <w:rPr>
                <w:b w:val="0"/>
                <w:i w:val="0"/>
                <w:sz w:val="18"/>
              </w:rPr>
              <w:t>Activation retailer type must be 'B2C_postpaid' in DMS.</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5</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8160" w:type="dxa"/>
          </w:tcPr>
          <w:p>
            <w:pPr>
              <w:jc w:val="left"/>
              <w:spacing w:before="0" w:after="0"/>
            </w:pPr>
            <w:r>
              <w:rPr>
                <w:b w:val="0"/>
                <w:i w:val="0"/>
                <w:sz w:val="18"/>
              </w:rPr>
              <w:t>Only eligible subscription IDs and option group bundles count (see Appendix A).</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6</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8160" w:type="dxa"/>
          </w:tcPr>
          <w:p>
            <w:pPr>
              <w:jc w:val="left"/>
              <w:spacing w:before="0" w:after="0"/>
            </w:pPr>
            <w:r>
              <w:rPr>
                <w:b w:val="0"/>
                <w:i w:val="0"/>
                <w:sz w:val="18"/>
              </w:rPr>
              <w:t>Security deposit must be ensured on the same day as activation.</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7</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8160" w:type="dxa"/>
          </w:tcPr>
          <w:p>
            <w:pPr>
              <w:jc w:val="left"/>
              <w:spacing w:before="0" w:after="0"/>
            </w:pPr>
            <w:r>
              <w:rPr>
                <w:b w:val="0"/>
                <w:i w:val="0"/>
                <w:sz w:val="18"/>
              </w:rPr>
              <w:t>Security deposit must be equal to or greater than the bundle-wise minimum amount (see Appendix B).</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8</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8160" w:type="dxa"/>
          </w:tcPr>
          <w:p>
            <w:pPr>
              <w:jc w:val="left"/>
              <w:spacing w:before="0" w:after="0"/>
            </w:pPr>
            <w:r>
              <w:rPr>
                <w:b w:val="0"/>
                <w:i w:val="0"/>
                <w:sz w:val="18"/>
              </w:rPr>
              <w:t>Top-up for security deposit can be in one shot or multiple — total must add up to required deposit.</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9</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8160" w:type="dxa"/>
          </w:tcPr>
          <w:p>
            <w:pPr>
              <w:jc w:val="left"/>
              <w:spacing w:before="0" w:after="0"/>
            </w:pPr>
            <w:r>
              <w:rPr>
                <w:b w:val="0"/>
                <w:i w:val="0"/>
                <w:sz w:val="18"/>
              </w:rPr>
              <w:t>Security deposit top-up can be done via i-top number list (to be shared) OR via BL Power App (any registered number).</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10</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8160" w:type="dxa"/>
          </w:tcPr>
          <w:p>
            <w:pPr>
              <w:jc w:val="left"/>
              <w:spacing w:before="0" w:after="0"/>
            </w:pPr>
            <w:r>
              <w:rPr>
                <w:b w:val="0"/>
                <w:i w:val="0"/>
                <w:sz w:val="18"/>
              </w:rPr>
              <w:t>For TK200 packs, deposit amount must be extracted from DWH (Table: POSTPAID_COMMISSION_DATA_MONTHLY_DWH).</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11</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8160" w:type="dxa"/>
          </w:tcPr>
          <w:p>
            <w:pPr>
              <w:jc w:val="left"/>
              <w:spacing w:before="0" w:after="0"/>
            </w:pPr>
            <w:r>
              <w:rPr>
                <w:b w:val="0"/>
                <w:i w:val="0"/>
                <w:sz w:val="18"/>
              </w:rPr>
              <w:t>DWH source file for BL Power deposits: bl_power_recharge_dwh_yyyymmdd.csv at /ccn1/downstream/export/daily/salescom.</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12</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8160" w:type="dxa"/>
          </w:tcPr>
          <w:p>
            <w:pPr>
              <w:jc w:val="left"/>
              <w:spacing w:before="0" w:after="0"/>
            </w:pPr>
            <w:r>
              <w:rPr>
                <w:b w:val="0"/>
                <w:i w:val="0"/>
                <w:sz w:val="18"/>
              </w:rPr>
              <w:t>98% ETSAF must be submitted by 7th of the following month.</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13</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8160" w:type="dxa"/>
          </w:tcPr>
          <w:p>
            <w:pPr>
              <w:jc w:val="left"/>
              <w:spacing w:before="0" w:after="0"/>
            </w:pPr>
            <w:r>
              <w:rPr>
                <w:b w:val="0"/>
                <w:i w:val="0"/>
                <w:sz w:val="18"/>
              </w:rPr>
              <w:t>One shot or multiple recharge from any source considered — must add up as deposit.</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14</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8160" w:type="dxa"/>
          </w:tcPr>
          <w:p>
            <w:pPr>
              <w:jc w:val="left"/>
              <w:spacing w:before="0" w:after="0"/>
            </w:pPr>
            <w:r>
              <w:rPr>
                <w:b w:val="0"/>
                <w:i w:val="0"/>
                <w:sz w:val="18"/>
              </w:rPr>
              <w:t>Disconnection data: latest up to report generation date (T-6).</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15</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8160" w:type="dxa"/>
          </w:tcPr>
          <w:p>
            <w:pPr>
              <w:jc w:val="left"/>
              <w:spacing w:before="0" w:after="0"/>
            </w:pPr>
            <w:r>
              <w:rPr>
                <w:b w:val="0"/>
                <w:i w:val="0"/>
                <w:sz w:val="18"/>
              </w:rPr>
              <w:t>AIT applicable.</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16</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8160" w:type="dxa"/>
          </w:tcPr>
          <w:p>
            <w:pPr>
              <w:jc w:val="left"/>
              <w:spacing w:before="0" w:after="0"/>
            </w:pPr>
            <w:r>
              <w:rPr>
                <w:b w:val="0"/>
                <w:i w:val="0"/>
                <w:sz w:val="18"/>
              </w:rPr>
              <w:t>Field force (B2C Postpaid BDO) is eligible for monthly commission.</w:t>
            </w:r>
          </w:p>
        </w:tc>
      </w:tr>
    </w:tbl>
    <w:p/>
    <w:p>
      <w:pPr>
        <w:spacing w:before="160" w:after="80"/>
      </w:pPr>
      <w:r>
        <w:rPr>
          <w:b/>
          <w:color w:val="2E75B6"/>
          <w:sz w:val="22"/>
        </w:rPr>
        <w:t>1.5 General Conditions Table</w:t>
      </w:r>
    </w:p>
    <w:tbl>
      <w:tblPr>
        <w:tblW w:type="auto" w:w="0"/>
        <w:jc w:val="left"/>
        <w:tblLook w:firstColumn="1" w:firstRow="1" w:lastColumn="0" w:lastRow="0" w:noHBand="0" w:noVBand="1" w:val="04A0"/>
        <w:tblW w:w="8640" w:type="dxa"/>
      </w:tblPr>
      <w:tblGrid>
        <w:gridCol w:w="3010"/>
        <w:gridCol w:w="3010"/>
        <w:gridCol w:w="3010"/>
      </w:tblGrid>
      <w:tr>
        <w:tc>
          <w:tcPr>
            <w:tcW w:type="dxa" w:w="3010"/>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20" w:type="dxa"/>
              <w:right w:w="120" w:type="dxa"/>
            </w:tcMar>
            <w:tcW w:w="2000" w:type="dxa"/>
          </w:tcPr>
          <w:p>
            <w:pPr>
              <w:jc w:val="left"/>
              <w:spacing w:before="0" w:after="0"/>
            </w:pPr>
            <w:r>
              <w:rPr>
                <w:b/>
                <w:i w:val="0"/>
                <w:color w:val="FFFFFF"/>
                <w:sz w:val="18"/>
              </w:rPr>
              <w:t>Factor</w:t>
            </w:r>
          </w:p>
        </w:tc>
        <w:tc>
          <w:tcPr>
            <w:tcW w:type="dxa" w:w="3010"/>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20" w:type="dxa"/>
              <w:right w:w="120" w:type="dxa"/>
            </w:tcMar>
            <w:tcW w:w="2200" w:type="dxa"/>
          </w:tcPr>
          <w:p>
            <w:pPr>
              <w:jc w:val="left"/>
              <w:spacing w:before="0" w:after="0"/>
            </w:pPr>
            <w:r>
              <w:rPr>
                <w:b/>
                <w:i w:val="0"/>
                <w:color w:val="FFFFFF"/>
                <w:sz w:val="18"/>
              </w:rPr>
              <w:t>Consideration</w:t>
            </w:r>
          </w:p>
        </w:tc>
        <w:tc>
          <w:tcPr>
            <w:tcW w:type="dxa" w:w="3010"/>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20" w:type="dxa"/>
              <w:right w:w="120" w:type="dxa"/>
            </w:tcMar>
            <w:tcW w:w="4440" w:type="dxa"/>
          </w:tcPr>
          <w:p>
            <w:pPr>
              <w:jc w:val="left"/>
              <w:spacing w:before="0" w:after="0"/>
            </w:pPr>
            <w:r>
              <w:rPr>
                <w:b/>
                <w:i w:val="0"/>
                <w:color w:val="FFFFFF"/>
                <w:sz w:val="18"/>
              </w:rPr>
              <w:t>Condition Detail</w:t>
            </w:r>
          </w:p>
        </w:tc>
      </w:tr>
      <w:tr>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000" w:type="dxa"/>
          </w:tcPr>
          <w:p>
            <w:pPr>
              <w:jc w:val="left"/>
              <w:spacing w:before="0" w:after="0"/>
            </w:pPr>
            <w:r>
              <w:rPr>
                <w:b w:val="0"/>
                <w:i w:val="0"/>
                <w:sz w:val="18"/>
              </w:rPr>
              <w:t>Activation</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200" w:type="dxa"/>
          </w:tcPr>
          <w:p>
            <w:pPr>
              <w:jc w:val="left"/>
              <w:spacing w:before="0" w:after="0"/>
            </w:pPr>
            <w:r>
              <w:rPr>
                <w:b w:val="0"/>
                <w:i w:val="0"/>
                <w:sz w:val="18"/>
              </w:rPr>
              <w:t>FCD (First Call Date)</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440" w:type="dxa"/>
          </w:tcPr>
          <w:p>
            <w:pPr>
              <w:jc w:val="left"/>
              <w:spacing w:before="0" w:after="0"/>
            </w:pPr>
            <w:r>
              <w:rPr>
                <w:b w:val="0"/>
                <w:i w:val="0"/>
                <w:sz w:val="18"/>
              </w:rPr>
              <w:t>Retail2Postpaid / BL Select Postpaid (M2MADV) + (blkSelPostpaid) base package activation + option group bundle activation</w:t>
            </w:r>
          </w:p>
        </w:tc>
      </w:tr>
      <w:tr>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000" w:type="dxa"/>
          </w:tcPr>
          <w:p>
            <w:pPr>
              <w:jc w:val="left"/>
              <w:spacing w:before="0" w:after="0"/>
            </w:pPr>
            <w:r>
              <w:rPr>
                <w:b w:val="0"/>
                <w:i w:val="0"/>
                <w:sz w:val="18"/>
              </w:rPr>
              <w:t>SAF</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200" w:type="dxa"/>
          </w:tcPr>
          <w:p>
            <w:pPr>
              <w:jc w:val="left"/>
              <w:spacing w:before="0" w:after="0"/>
            </w:pPr>
            <w:r>
              <w:rPr>
                <w:b w:val="0"/>
                <w:i w:val="0"/>
                <w:sz w:val="18"/>
              </w:rPr>
              <w:t>ETSAF</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440" w:type="dxa"/>
          </w:tcPr>
          <w:p>
            <w:pPr>
              <w:jc w:val="left"/>
              <w:spacing w:before="0" w:after="0"/>
            </w:pPr>
            <w:r>
              <w:rPr>
                <w:b w:val="0"/>
                <w:i w:val="0"/>
                <w:sz w:val="18"/>
              </w:rPr>
              <w:t>98% ETSAF must be submitted by 7th of following month by all retailer codes under his DDCODE</w:t>
            </w:r>
          </w:p>
        </w:tc>
      </w:tr>
      <w:tr>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000" w:type="dxa"/>
          </w:tcPr>
          <w:p>
            <w:pPr>
              <w:jc w:val="left"/>
              <w:spacing w:before="0" w:after="0"/>
            </w:pPr>
            <w:r>
              <w:rPr>
                <w:b w:val="0"/>
                <w:i w:val="0"/>
                <w:sz w:val="18"/>
              </w:rPr>
              <w:t>Lifting/Issue</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200" w:type="dxa"/>
          </w:tcPr>
          <w:p>
            <w:pPr>
              <w:jc w:val="left"/>
              <w:spacing w:before="0" w:after="0"/>
            </w:pPr>
            <w:r>
              <w:rPr>
                <w:b w:val="0"/>
                <w:i w:val="0"/>
                <w:sz w:val="18"/>
              </w:rPr>
              <w:t>N/A</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440" w:type="dxa"/>
          </w:tcPr>
          <w:p>
            <w:pPr>
              <w:jc w:val="left"/>
              <w:spacing w:before="0" w:after="0"/>
            </w:pPr>
            <w:r>
              <w:rPr>
                <w:b w:val="0"/>
                <w:i w:val="0"/>
                <w:sz w:val="18"/>
              </w:rPr>
              <w:t>Needs to be activated within 180 days of lifting</w:t>
            </w:r>
          </w:p>
        </w:tc>
      </w:tr>
      <w:tr>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000" w:type="dxa"/>
          </w:tcPr>
          <w:p>
            <w:pPr>
              <w:jc w:val="left"/>
              <w:spacing w:before="0" w:after="0"/>
            </w:pPr>
            <w:r>
              <w:rPr>
                <w:b w:val="0"/>
                <w:i w:val="0"/>
                <w:sz w:val="18"/>
              </w:rPr>
              <w:t>Recharge</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200" w:type="dxa"/>
          </w:tcPr>
          <w:p>
            <w:pPr>
              <w:jc w:val="left"/>
              <w:spacing w:before="0" w:after="0"/>
            </w:pPr>
            <w:r>
              <w:rPr>
                <w:b w:val="0"/>
                <w:i w:val="0"/>
                <w:sz w:val="18"/>
              </w:rPr>
              <w:t>All Valid Recharges</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440" w:type="dxa"/>
          </w:tcPr>
          <w:p>
            <w:pPr>
              <w:jc w:val="left"/>
              <w:spacing w:before="0" w:after="0"/>
            </w:pPr>
            <w:r>
              <w:rPr>
                <w:b w:val="0"/>
                <w:i w:val="0"/>
                <w:sz w:val="18"/>
              </w:rPr>
              <w:t>Any recharge; one shot or multiple from any source counts as deposit</w:t>
            </w:r>
          </w:p>
        </w:tc>
      </w:tr>
      <w:tr>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000" w:type="dxa"/>
          </w:tcPr>
          <w:p>
            <w:pPr>
              <w:jc w:val="left"/>
              <w:spacing w:before="0" w:after="0"/>
            </w:pPr>
            <w:r>
              <w:rPr>
                <w:b w:val="0"/>
                <w:i w:val="0"/>
                <w:sz w:val="18"/>
              </w:rPr>
              <w:t>Disconnection</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200" w:type="dxa"/>
          </w:tcPr>
          <w:p>
            <w:pPr>
              <w:jc w:val="left"/>
              <w:spacing w:before="0" w:after="0"/>
            </w:pPr>
            <w:r>
              <w:rPr>
                <w:b w:val="0"/>
                <w:i w:val="0"/>
                <w:sz w:val="18"/>
              </w:rPr>
              <w:t>N/A</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440" w:type="dxa"/>
          </w:tcPr>
          <w:p>
            <w:pPr>
              <w:jc w:val="left"/>
              <w:spacing w:before="0" w:after="0"/>
            </w:pPr>
            <w:r>
              <w:rPr>
                <w:b w:val="0"/>
                <w:i w:val="0"/>
                <w:sz w:val="18"/>
              </w:rPr>
              <w:t>Latest data up to report generation date (T-6)</w:t>
            </w:r>
          </w:p>
        </w:tc>
      </w:tr>
      <w:tr>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000" w:type="dxa"/>
          </w:tcPr>
          <w:p>
            <w:pPr>
              <w:jc w:val="left"/>
              <w:spacing w:before="0" w:after="0"/>
            </w:pPr>
            <w:r>
              <w:rPr>
                <w:b w:val="0"/>
                <w:i w:val="0"/>
                <w:sz w:val="18"/>
              </w:rPr>
              <w:t>Product</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200" w:type="dxa"/>
          </w:tcPr>
          <w:p>
            <w:pPr>
              <w:jc w:val="left"/>
              <w:spacing w:before="0" w:after="0"/>
            </w:pPr>
            <w:r>
              <w:rPr>
                <w:b w:val="0"/>
                <w:i w:val="0"/>
                <w:sz w:val="18"/>
              </w:rPr>
              <w:t>Postpaid</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440" w:type="dxa"/>
          </w:tcPr>
          <w:p>
            <w:pPr>
              <w:jc w:val="left"/>
              <w:spacing w:before="0" w:after="0"/>
            </w:pPr>
            <w:r>
              <w:rPr>
                <w:b w:val="0"/>
                <w:i w:val="0"/>
                <w:sz w:val="18"/>
              </w:rPr>
              <w:t>B2C postpaid product details of base package and bundles as per Appendix A</w:t>
            </w:r>
          </w:p>
        </w:tc>
      </w:tr>
    </w:tbl>
    <w:p/>
    <w:p>
      <w:pPr>
        <w:spacing w:before="160" w:after="80"/>
      </w:pPr>
      <w:r>
        <w:rPr>
          <w:b/>
          <w:color w:val="2E75B6"/>
          <w:sz w:val="22"/>
        </w:rPr>
        <w:t>1.6 Report Detail Format</w:t>
      </w:r>
    </w:p>
    <w:tbl>
      <w:tblPr>
        <w:tblW w:type="auto" w:w="0"/>
        <w:jc w:val="left"/>
        <w:tblLook w:firstColumn="1" w:firstRow="1" w:lastColumn="0" w:lastRow="0" w:noHBand="0" w:noVBand="1" w:val="04A0"/>
        <w:tblW w:w="8640" w:type="dxa"/>
      </w:tblPr>
      <w:tblGrid>
        <w:gridCol w:w="1129"/>
        <w:gridCol w:w="1129"/>
        <w:gridCol w:w="1129"/>
        <w:gridCol w:w="1129"/>
        <w:gridCol w:w="1129"/>
        <w:gridCol w:w="1129"/>
        <w:gridCol w:w="1129"/>
        <w:gridCol w:w="1129"/>
      </w:tblGrid>
      <w:tr>
        <w:tc>
          <w:tcPr>
            <w:tcW w:type="dxa" w:w="1129"/>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1100" w:type="dxa"/>
          </w:tcPr>
          <w:p>
            <w:pPr>
              <w:jc w:val="center"/>
              <w:spacing w:before="0" w:after="0"/>
            </w:pPr>
            <w:r>
              <w:rPr>
                <w:b/>
                <w:i w:val="0"/>
                <w:color w:val="FFFFFF"/>
                <w:sz w:val="17"/>
              </w:rPr>
              <w:t>Retailer Code</w:t>
            </w:r>
          </w:p>
        </w:tc>
        <w:tc>
          <w:tcPr>
            <w:tcW w:type="dxa" w:w="1129"/>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900" w:type="dxa"/>
          </w:tcPr>
          <w:p>
            <w:pPr>
              <w:jc w:val="center"/>
              <w:spacing w:before="0" w:after="0"/>
            </w:pPr>
            <w:r>
              <w:rPr>
                <w:b/>
                <w:i w:val="0"/>
                <w:color w:val="FFFFFF"/>
                <w:sz w:val="17"/>
              </w:rPr>
              <w:t>Target</w:t>
            </w:r>
          </w:p>
        </w:tc>
        <w:tc>
          <w:tcPr>
            <w:tcW w:type="dxa" w:w="1129"/>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1200" w:type="dxa"/>
          </w:tcPr>
          <w:p>
            <w:pPr>
              <w:jc w:val="center"/>
              <w:spacing w:before="0" w:after="0"/>
            </w:pPr>
            <w:r>
              <w:rPr>
                <w:b/>
                <w:i w:val="0"/>
                <w:color w:val="FFFFFF"/>
                <w:sz w:val="17"/>
              </w:rPr>
              <w:t>GA Before Disconnection</w:t>
            </w:r>
          </w:p>
        </w:tc>
        <w:tc>
          <w:tcPr>
            <w:tcW w:type="dxa" w:w="1129"/>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900" w:type="dxa"/>
          </w:tcPr>
          <w:p>
            <w:pPr>
              <w:jc w:val="center"/>
              <w:spacing w:before="0" w:after="0"/>
            </w:pPr>
            <w:r>
              <w:rPr>
                <w:b/>
                <w:i w:val="0"/>
                <w:color w:val="FFFFFF"/>
                <w:sz w:val="17"/>
              </w:rPr>
              <w:t>Total GA</w:t>
            </w:r>
          </w:p>
        </w:tc>
        <w:tc>
          <w:tcPr>
            <w:tcW w:type="dxa" w:w="1129"/>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1200" w:type="dxa"/>
          </w:tcPr>
          <w:p>
            <w:pPr>
              <w:jc w:val="center"/>
              <w:spacing w:before="0" w:after="0"/>
            </w:pPr>
            <w:r>
              <w:rPr>
                <w:b/>
                <w:i w:val="0"/>
                <w:color w:val="FFFFFF"/>
                <w:sz w:val="17"/>
              </w:rPr>
              <w:t>Disconnection Count</w:t>
            </w:r>
          </w:p>
        </w:tc>
        <w:tc>
          <w:tcPr>
            <w:tcW w:type="dxa" w:w="1129"/>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1300" w:type="dxa"/>
          </w:tcPr>
          <w:p>
            <w:pPr>
              <w:jc w:val="center"/>
              <w:spacing w:before="0" w:after="0"/>
            </w:pPr>
            <w:r>
              <w:rPr>
                <w:b/>
                <w:i w:val="0"/>
                <w:color w:val="FFFFFF"/>
                <w:sz w:val="17"/>
              </w:rPr>
              <w:t>ETSAF Qualified Count</w:t>
            </w:r>
          </w:p>
        </w:tc>
        <w:tc>
          <w:tcPr>
            <w:tcW w:type="dxa" w:w="1129"/>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1040" w:type="dxa"/>
          </w:tcPr>
          <w:p>
            <w:pPr>
              <w:jc w:val="center"/>
              <w:spacing w:before="0" w:after="0"/>
            </w:pPr>
            <w:r>
              <w:rPr>
                <w:b/>
                <w:i w:val="0"/>
                <w:color w:val="FFFFFF"/>
                <w:sz w:val="17"/>
              </w:rPr>
              <w:t>Deposit Count</w:t>
            </w:r>
          </w:p>
        </w:tc>
        <w:tc>
          <w:tcPr>
            <w:tcW w:type="dxa" w:w="1129"/>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1000" w:type="dxa"/>
          </w:tcPr>
          <w:p>
            <w:pPr>
              <w:jc w:val="center"/>
              <w:spacing w:before="0" w:after="0"/>
            </w:pPr>
            <w:r>
              <w:rPr>
                <w:b/>
                <w:i w:val="0"/>
                <w:color w:val="FFFFFF"/>
                <w:sz w:val="17"/>
              </w:rPr>
              <w:t>Commission Amount</w:t>
            </w:r>
          </w:p>
        </w:tc>
      </w:tr>
      <w:tr>
        <w:tc>
          <w:tcPr>
            <w:tcW w:type="dxa" w:w="1129"/>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100" w:type="dxa"/>
          </w:tcPr>
          <w:p>
            <w:pPr>
              <w:jc w:val="left"/>
              <w:spacing w:before="0" w:after="0"/>
            </w:pPr>
            <w:r>
              <w:rPr>
                <w:b w:val="0"/>
                <w:i w:val="0"/>
                <w:sz w:val="17"/>
              </w:rPr>
              <w:t>[from system]</w:t>
            </w:r>
          </w:p>
        </w:tc>
        <w:tc>
          <w:tcPr>
            <w:tcW w:type="dxa" w:w="1129"/>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900" w:type="dxa"/>
          </w:tcPr>
          <w:p>
            <w:pPr>
              <w:jc w:val="left"/>
              <w:spacing w:before="0" w:after="0"/>
            </w:pPr>
            <w:r>
              <w:rPr>
                <w:b w:val="0"/>
                <w:i w:val="0"/>
                <w:sz w:val="17"/>
              </w:rPr>
              <w:t>[shared]</w:t>
            </w:r>
          </w:p>
        </w:tc>
        <w:tc>
          <w:tcPr>
            <w:tcW w:type="dxa" w:w="1129"/>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200" w:type="dxa"/>
          </w:tcPr>
          <w:p>
            <w:pPr>
              <w:jc w:val="left"/>
              <w:spacing w:before="0" w:after="0"/>
            </w:pPr>
            <w:r>
              <w:rPr>
                <w:b w:val="0"/>
                <w:i w:val="0"/>
                <w:sz w:val="17"/>
              </w:rPr>
              <w:t>[computed]</w:t>
            </w:r>
          </w:p>
        </w:tc>
        <w:tc>
          <w:tcPr>
            <w:tcW w:type="dxa" w:w="1129"/>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900" w:type="dxa"/>
          </w:tcPr>
          <w:p>
            <w:pPr>
              <w:jc w:val="left"/>
              <w:spacing w:before="0" w:after="0"/>
            </w:pPr>
            <w:r>
              <w:rPr>
                <w:b w:val="0"/>
                <w:i w:val="0"/>
                <w:sz w:val="17"/>
              </w:rPr>
              <w:t>[computed]</w:t>
            </w:r>
          </w:p>
        </w:tc>
        <w:tc>
          <w:tcPr>
            <w:tcW w:type="dxa" w:w="1129"/>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200" w:type="dxa"/>
          </w:tcPr>
          <w:p>
            <w:pPr>
              <w:jc w:val="left"/>
              <w:spacing w:before="0" w:after="0"/>
            </w:pPr>
            <w:r>
              <w:rPr>
                <w:b w:val="0"/>
                <w:i w:val="0"/>
                <w:sz w:val="17"/>
              </w:rPr>
              <w:t>[computed]</w:t>
            </w:r>
          </w:p>
        </w:tc>
        <w:tc>
          <w:tcPr>
            <w:tcW w:type="dxa" w:w="1129"/>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300" w:type="dxa"/>
          </w:tcPr>
          <w:p>
            <w:pPr>
              <w:jc w:val="left"/>
              <w:spacing w:before="0" w:after="0"/>
            </w:pPr>
            <w:r>
              <w:rPr>
                <w:b w:val="0"/>
                <w:i w:val="0"/>
                <w:sz w:val="17"/>
              </w:rPr>
              <w:t>[computed]</w:t>
            </w:r>
          </w:p>
        </w:tc>
        <w:tc>
          <w:tcPr>
            <w:tcW w:type="dxa" w:w="1129"/>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040" w:type="dxa"/>
          </w:tcPr>
          <w:p>
            <w:pPr>
              <w:jc w:val="left"/>
              <w:spacing w:before="0" w:after="0"/>
            </w:pPr>
            <w:r>
              <w:rPr>
                <w:b w:val="0"/>
                <w:i w:val="0"/>
                <w:sz w:val="17"/>
              </w:rPr>
              <w:t>[computed]</w:t>
            </w:r>
          </w:p>
        </w:tc>
        <w:tc>
          <w:tcPr>
            <w:tcW w:type="dxa" w:w="1129"/>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000" w:type="dxa"/>
          </w:tcPr>
          <w:p>
            <w:pPr>
              <w:jc w:val="left"/>
              <w:spacing w:before="0" w:after="0"/>
            </w:pPr>
            <w:r>
              <w:rPr>
                <w:b w:val="0"/>
                <w:i w:val="0"/>
                <w:sz w:val="17"/>
              </w:rPr>
              <w:t>[BDT 2000/4000]</w:t>
            </w:r>
          </w:p>
        </w:tc>
      </w:tr>
    </w:tbl>
    <w:p/>
    <w:p>
      <w:r>
        <w:br w:type="page"/>
      </w:r>
    </w:p>
    <w:p>
      <w:pPr>
        <w:spacing w:before="160" w:after="80"/>
      </w:pPr>
      <w:r>
        <w:rPr>
          <w:b/>
          <w:color w:val="1F4E79"/>
          <w:sz w:val="28"/>
          <w:u w:val="single"/>
        </w:rPr>
        <w:t>Section 2: Postpaid Slab-wise GA Achievement Bonus — BDO</w:t>
      </w:r>
    </w:p>
    <w:p>
      <w:pPr>
        <w:spacing w:before="0" w:after="60"/>
      </w:pPr>
      <w:r>
        <w:rPr>
          <w:b w:val="0"/>
          <w:i w:val="0"/>
          <w:sz w:val="19"/>
        </w:rPr>
        <w:t>BDO earns bonuses based on achieving two within-month date-specific GA count targets. Each slab covers a 10-day window (1st–10th and 11th–20th), requiring 20 GAs per slab. Can earn both slabs (BDT 2,000 total) or just one. Missing the first slab does not prevent earning the second. Overall monthly GA achievement of ≥93% is also required.</w:t>
      </w:r>
    </w:p>
    <w:p>
      <w:pPr>
        <w:spacing w:before="160" w:after="80"/>
      </w:pPr>
      <w:r>
        <w:rPr>
          <w:b/>
          <w:color w:val="2E75B6"/>
          <w:sz w:val="22"/>
        </w:rPr>
        <w:t>2.1 Campaign Overview</w:t>
      </w:r>
    </w:p>
    <w:tbl>
      <w:tblPr>
        <w:tblW w:type="auto" w:w="0"/>
        <w:jc w:val="left"/>
        <w:tblLook w:firstColumn="1" w:firstRow="1" w:lastColumn="0" w:lastRow="0" w:noHBand="0" w:noVBand="1" w:val="04A0"/>
        <w:tblW w:w="8640" w:type="dxa"/>
      </w:tblPr>
      <w:tblGrid>
        <w:gridCol w:w="4514"/>
        <w:gridCol w:w="4514"/>
      </w:tblGrid>
      <w:tr>
        <w:tc>
          <w:tcPr>
            <w:tcW w:type="dxa" w:w="4514"/>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20" w:type="dxa"/>
              <w:right w:w="120" w:type="dxa"/>
            </w:tcMar>
            <w:tcW w:w="2880" w:type="dxa"/>
          </w:tcPr>
          <w:p>
            <w:pPr>
              <w:jc w:val="left"/>
              <w:spacing w:before="0" w:after="0"/>
            </w:pPr>
            <w:r>
              <w:rPr>
                <w:b/>
                <w:i w:val="0"/>
                <w:color w:val="FFFFFF"/>
                <w:sz w:val="18"/>
              </w:rPr>
              <w:t>Parameter</w:t>
            </w:r>
          </w:p>
        </w:tc>
        <w:tc>
          <w:tcPr>
            <w:tcW w:type="dxa" w:w="4514"/>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20" w:type="dxa"/>
              <w:right w:w="120" w:type="dxa"/>
            </w:tcMar>
            <w:tcW w:w="5760" w:type="dxa"/>
          </w:tcPr>
          <w:p>
            <w:pPr>
              <w:jc w:val="left"/>
              <w:spacing w:before="0" w:after="0"/>
            </w:pPr>
            <w:r>
              <w:rPr>
                <w:b/>
                <w:i w:val="0"/>
                <w:color w:val="FFFFFF"/>
                <w:sz w:val="18"/>
              </w:rPr>
              <w:t>Detail</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Recipient</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B2C Postpaid BDO (individual retailer code)</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Commission Concept</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Within-month date-based slabs — two 10-day windows each requiring 20 GAs</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Max Commission</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BDT 2,000 (BDT 1,000 per slab × 2 slabs)</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Overall GA Threshold</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BDO must achieve at least 93% of monthly GA target to be eligible</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Periodicity</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Regular — Monthly (observed: Jan26)</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Report Slot</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Disbursement only</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AIT</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Applicable</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Maturity Date</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8th of following month</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Data Source</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ED, IT BI, DWH, TABS, DMS, POS</w:t>
            </w:r>
          </w:p>
        </w:tc>
      </w:tr>
    </w:tbl>
    <w:p>
      <w:pPr>
        <w:spacing w:before="0" w:after="60"/>
      </w:pPr>
    </w:p>
    <w:p>
      <w:pPr>
        <w:spacing w:before="160" w:after="80"/>
      </w:pPr>
      <w:r>
        <w:rPr>
          <w:b/>
          <w:color w:val="2E75B6"/>
          <w:sz w:val="22"/>
        </w:rPr>
        <w:t>2.2 Slab Structure</w:t>
      </w:r>
    </w:p>
    <w:tbl>
      <w:tblPr>
        <w:tblW w:type="auto" w:w="0"/>
        <w:jc w:val="left"/>
        <w:tblLook w:firstColumn="1" w:firstRow="1" w:lastColumn="0" w:lastRow="0" w:noHBand="0" w:noVBand="1" w:val="04A0"/>
        <w:tblW w:w="8640" w:type="dxa"/>
      </w:tblPr>
      <w:tblGrid>
        <w:gridCol w:w="1806"/>
        <w:gridCol w:w="1806"/>
        <w:gridCol w:w="1806"/>
        <w:gridCol w:w="1806"/>
        <w:gridCol w:w="1806"/>
      </w:tblGrid>
      <w:tr>
        <w:tc>
          <w:tcPr>
            <w:tcW w:type="dxa" w:w="1806"/>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1000" w:type="dxa"/>
          </w:tcPr>
          <w:p>
            <w:pPr>
              <w:jc w:val="center"/>
              <w:spacing w:before="0" w:after="0"/>
            </w:pPr>
            <w:r>
              <w:rPr>
                <w:b/>
                <w:i w:val="0"/>
                <w:color w:val="FFFFFF"/>
                <w:sz w:val="17"/>
              </w:rPr>
              <w:t>Slab</w:t>
            </w:r>
          </w:p>
        </w:tc>
        <w:tc>
          <w:tcPr>
            <w:tcW w:type="dxa" w:w="1806"/>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1800" w:type="dxa"/>
          </w:tcPr>
          <w:p>
            <w:pPr>
              <w:jc w:val="center"/>
              <w:spacing w:before="0" w:after="0"/>
            </w:pPr>
            <w:r>
              <w:rPr>
                <w:b/>
                <w:i w:val="0"/>
                <w:color w:val="FFFFFF"/>
                <w:sz w:val="17"/>
              </w:rPr>
              <w:t>Date Window</w:t>
            </w:r>
          </w:p>
        </w:tc>
        <w:tc>
          <w:tcPr>
            <w:tcW w:type="dxa" w:w="1806"/>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2200" w:type="dxa"/>
          </w:tcPr>
          <w:p>
            <w:pPr>
              <w:jc w:val="center"/>
              <w:spacing w:before="0" w:after="0"/>
            </w:pPr>
            <w:r>
              <w:rPr>
                <w:b/>
                <w:i w:val="0"/>
                <w:color w:val="FFFFFF"/>
                <w:sz w:val="17"/>
              </w:rPr>
              <w:t>GA Count Required</w:t>
            </w:r>
          </w:p>
        </w:tc>
        <w:tc>
          <w:tcPr>
            <w:tcW w:type="dxa" w:w="1806"/>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1200" w:type="dxa"/>
          </w:tcPr>
          <w:p>
            <w:pPr>
              <w:jc w:val="center"/>
              <w:spacing w:before="0" w:after="0"/>
            </w:pPr>
            <w:r>
              <w:rPr>
                <w:b/>
                <w:i w:val="0"/>
                <w:color w:val="FFFFFF"/>
                <w:sz w:val="17"/>
              </w:rPr>
              <w:t>Commission</w:t>
            </w:r>
          </w:p>
        </w:tc>
        <w:tc>
          <w:tcPr>
            <w:tcW w:type="dxa" w:w="1806"/>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2440" w:type="dxa"/>
          </w:tcPr>
          <w:p>
            <w:pPr>
              <w:jc w:val="center"/>
              <w:spacing w:before="0" w:after="0"/>
            </w:pPr>
            <w:r>
              <w:rPr>
                <w:b/>
                <w:i w:val="0"/>
                <w:color w:val="FFFFFF"/>
                <w:sz w:val="17"/>
              </w:rPr>
              <w:t>Independence Rule</w:t>
            </w:r>
          </w:p>
        </w:tc>
      </w:tr>
      <w:tr>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000" w:type="dxa"/>
          </w:tcPr>
          <w:p>
            <w:pPr>
              <w:jc w:val="left"/>
              <w:spacing w:before="0" w:after="0"/>
            </w:pPr>
            <w:r>
              <w:rPr>
                <w:b w:val="0"/>
                <w:i w:val="0"/>
                <w:sz w:val="17"/>
              </w:rPr>
              <w:t>Slab 1</w:t>
            </w:r>
          </w:p>
        </w:tc>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800" w:type="dxa"/>
          </w:tcPr>
          <w:p>
            <w:pPr>
              <w:jc w:val="left"/>
              <w:spacing w:before="0" w:after="0"/>
            </w:pPr>
            <w:r>
              <w:rPr>
                <w:b w:val="0"/>
                <w:i w:val="0"/>
                <w:sz w:val="17"/>
              </w:rPr>
              <w:t>1st – 10th of month</w:t>
            </w:r>
          </w:p>
        </w:tc>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200" w:type="dxa"/>
          </w:tcPr>
          <w:p>
            <w:pPr>
              <w:jc w:val="left"/>
              <w:spacing w:before="0" w:after="0"/>
            </w:pPr>
            <w:r>
              <w:rPr>
                <w:b w:val="0"/>
                <w:i w:val="0"/>
                <w:sz w:val="17"/>
              </w:rPr>
              <w:t>20 GAs within this window</w:t>
            </w:r>
          </w:p>
        </w:tc>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200" w:type="dxa"/>
          </w:tcPr>
          <w:p>
            <w:pPr>
              <w:jc w:val="left"/>
              <w:spacing w:before="0" w:after="0"/>
            </w:pPr>
            <w:r>
              <w:rPr>
                <w:b w:val="0"/>
                <w:i w:val="0"/>
                <w:sz w:val="17"/>
              </w:rPr>
              <w:t>BDT 1,000</w:t>
            </w:r>
          </w:p>
        </w:tc>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440" w:type="dxa"/>
          </w:tcPr>
          <w:p>
            <w:pPr>
              <w:jc w:val="left"/>
              <w:spacing w:before="0" w:after="0"/>
            </w:pPr>
            <w:r>
              <w:rPr>
                <w:b w:val="0"/>
                <w:i w:val="0"/>
                <w:sz w:val="17"/>
              </w:rPr>
              <w:t>Can earn without Slab 2</w:t>
            </w:r>
          </w:p>
        </w:tc>
      </w:tr>
      <w:tr>
        <w:tc>
          <w:tcPr>
            <w:tcW w:type="dxa" w:w="180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000" w:type="dxa"/>
          </w:tcPr>
          <w:p>
            <w:pPr>
              <w:jc w:val="left"/>
              <w:spacing w:before="0" w:after="0"/>
            </w:pPr>
            <w:r>
              <w:rPr>
                <w:b w:val="0"/>
                <w:i w:val="0"/>
                <w:sz w:val="17"/>
              </w:rPr>
              <w:t>Slab 2</w:t>
            </w:r>
          </w:p>
        </w:tc>
        <w:tc>
          <w:tcPr>
            <w:tcW w:type="dxa" w:w="180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800" w:type="dxa"/>
          </w:tcPr>
          <w:p>
            <w:pPr>
              <w:jc w:val="left"/>
              <w:spacing w:before="0" w:after="0"/>
            </w:pPr>
            <w:r>
              <w:rPr>
                <w:b w:val="0"/>
                <w:i w:val="0"/>
                <w:sz w:val="17"/>
              </w:rPr>
              <w:t>11th – 20th of month</w:t>
            </w:r>
          </w:p>
        </w:tc>
        <w:tc>
          <w:tcPr>
            <w:tcW w:type="dxa" w:w="180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200" w:type="dxa"/>
          </w:tcPr>
          <w:p>
            <w:pPr>
              <w:jc w:val="left"/>
              <w:spacing w:before="0" w:after="0"/>
            </w:pPr>
            <w:r>
              <w:rPr>
                <w:b w:val="0"/>
                <w:i w:val="0"/>
                <w:sz w:val="17"/>
              </w:rPr>
              <w:t>20 GAs within this window</w:t>
            </w:r>
          </w:p>
        </w:tc>
        <w:tc>
          <w:tcPr>
            <w:tcW w:type="dxa" w:w="180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200" w:type="dxa"/>
          </w:tcPr>
          <w:p>
            <w:pPr>
              <w:jc w:val="left"/>
              <w:spacing w:before="0" w:after="0"/>
            </w:pPr>
            <w:r>
              <w:rPr>
                <w:b w:val="0"/>
                <w:i w:val="0"/>
                <w:sz w:val="17"/>
              </w:rPr>
              <w:t>BDT 1,000</w:t>
            </w:r>
          </w:p>
        </w:tc>
        <w:tc>
          <w:tcPr>
            <w:tcW w:type="dxa" w:w="180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440" w:type="dxa"/>
          </w:tcPr>
          <w:p>
            <w:pPr>
              <w:jc w:val="left"/>
              <w:spacing w:before="0" w:after="0"/>
            </w:pPr>
            <w:r>
              <w:rPr>
                <w:b w:val="0"/>
                <w:i w:val="0"/>
                <w:sz w:val="17"/>
              </w:rPr>
              <w:t>Can earn WITHOUT achieving Slab 1</w:t>
            </w:r>
          </w:p>
        </w:tc>
      </w:tr>
      <w:tr>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000" w:type="dxa"/>
          </w:tcPr>
          <w:p>
            <w:pPr>
              <w:jc w:val="left"/>
              <w:spacing w:before="0" w:after="0"/>
            </w:pPr>
            <w:r>
              <w:rPr>
                <w:b w:val="0"/>
                <w:i w:val="0"/>
                <w:sz w:val="17"/>
              </w:rPr>
              <w:t>Both Slabs</w:t>
            </w:r>
          </w:p>
        </w:tc>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800" w:type="dxa"/>
          </w:tcPr>
          <w:p>
            <w:pPr>
              <w:jc w:val="left"/>
              <w:spacing w:before="0" w:after="0"/>
            </w:pPr>
            <w:r>
              <w:rPr>
                <w:b w:val="0"/>
                <w:i w:val="0"/>
                <w:sz w:val="17"/>
              </w:rPr>
              <w:t>Full month</w:t>
            </w:r>
          </w:p>
        </w:tc>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200" w:type="dxa"/>
          </w:tcPr>
          <w:p>
            <w:pPr>
              <w:jc w:val="left"/>
              <w:spacing w:before="0" w:after="0"/>
            </w:pPr>
            <w:r>
              <w:rPr>
                <w:b w:val="0"/>
                <w:i w:val="0"/>
                <w:sz w:val="17"/>
              </w:rPr>
              <w:t>20 GAs by 10th AND 20 more by 20th</w:t>
            </w:r>
          </w:p>
        </w:tc>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200" w:type="dxa"/>
          </w:tcPr>
          <w:p>
            <w:pPr>
              <w:jc w:val="left"/>
              <w:spacing w:before="0" w:after="0"/>
            </w:pPr>
            <w:r>
              <w:rPr>
                <w:b w:val="0"/>
                <w:i w:val="0"/>
                <w:sz w:val="17"/>
              </w:rPr>
              <w:t>BDT 2,000</w:t>
            </w:r>
          </w:p>
        </w:tc>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440" w:type="dxa"/>
          </w:tcPr>
          <w:p>
            <w:pPr>
              <w:jc w:val="left"/>
              <w:spacing w:before="0" w:after="0"/>
            </w:pPr>
            <w:r>
              <w:rPr>
                <w:b w:val="0"/>
                <w:i w:val="0"/>
                <w:sz w:val="17"/>
              </w:rPr>
              <w:t>Both earned if both windows met</w:t>
            </w:r>
          </w:p>
        </w:tc>
      </w:tr>
    </w:tbl>
    <w:p/>
    <w:tbl>
      <w:tblPr>
        <w:tblW w:type="auto" w:w="0"/>
        <w:jc w:val="left"/>
        <w:tblLook w:firstColumn="1" w:firstRow="1" w:lastColumn="0" w:lastRow="0" w:noHBand="0" w:noVBand="1" w:val="04A0"/>
        <w:tblW w:w="8640" w:type="dxa"/>
      </w:tblPr>
      <w:tblGrid>
        <w:gridCol w:w="9029"/>
      </w:tblGrid>
      <w:tr>
        <w:tc>
          <w:tcPr>
            <w:tcW w:type="dxa" w:w="9029"/>
            <w:shd w:val="clear" w:color="auto" w:fill="FFF2CC"/>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640" w:type="dxa"/>
          </w:tcPr>
          <w:p>
            <w:pPr>
              <w:jc w:val="left"/>
              <w:spacing w:before="0" w:after="0"/>
            </w:pPr>
            <w:r>
              <w:rPr>
                <w:b w:val="0"/>
                <w:i/>
                <w:color w:val="595959"/>
                <w:sz w:val="18"/>
              </w:rPr>
              <w:t>INDEPENDENCE RULE: If a BDO misses Slab 1 (does not achieve 20 GAs by 10th), they are still eligible for Slab 2 commission (BDT 1,000) if they achieve 20 GAs between 11th and 20th. However, the overall 93% monthly GA target must STILL be met.</w:t>
            </w:r>
          </w:p>
        </w:tc>
      </w:tr>
    </w:tbl>
    <w:p/>
    <w:p>
      <w:pPr>
        <w:spacing w:before="160" w:after="80"/>
      </w:pPr>
      <w:r>
        <w:rPr>
          <w:b/>
          <w:color w:val="2E75B6"/>
          <w:sz w:val="22"/>
        </w:rPr>
        <w:t>2.3 Eligibility Matrix</w:t>
      </w:r>
    </w:p>
    <w:tbl>
      <w:tblPr>
        <w:tblW w:type="auto" w:w="0"/>
        <w:jc w:val="left"/>
        <w:tblLook w:firstColumn="1" w:firstRow="1" w:lastColumn="0" w:lastRow="0" w:noHBand="0" w:noVBand="1" w:val="04A0"/>
        <w:tblW w:w="8640" w:type="dxa"/>
      </w:tblPr>
      <w:tblGrid>
        <w:gridCol w:w="2257"/>
        <w:gridCol w:w="2257"/>
        <w:gridCol w:w="2257"/>
        <w:gridCol w:w="2257"/>
      </w:tblGrid>
      <w:tr>
        <w:tc>
          <w:tcPr>
            <w:tcW w:type="dxa" w:w="2257"/>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1800" w:type="dxa"/>
          </w:tcPr>
          <w:p>
            <w:pPr>
              <w:jc w:val="center"/>
              <w:spacing w:before="0" w:after="0"/>
            </w:pPr>
            <w:r>
              <w:rPr>
                <w:b/>
                <w:i w:val="0"/>
                <w:color w:val="FFFFFF"/>
                <w:sz w:val="17"/>
              </w:rPr>
              <w:t>Overall GA ≥93%?</w:t>
            </w:r>
          </w:p>
        </w:tc>
        <w:tc>
          <w:tcPr>
            <w:tcW w:type="dxa" w:w="2257"/>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2200" w:type="dxa"/>
          </w:tcPr>
          <w:p>
            <w:pPr>
              <w:jc w:val="center"/>
              <w:spacing w:before="0" w:after="0"/>
            </w:pPr>
            <w:r>
              <w:rPr>
                <w:b/>
                <w:i w:val="0"/>
                <w:color w:val="FFFFFF"/>
                <w:sz w:val="17"/>
              </w:rPr>
              <w:t>Slab 1 Met (20 GAs by 10th)?</w:t>
            </w:r>
          </w:p>
        </w:tc>
        <w:tc>
          <w:tcPr>
            <w:tcW w:type="dxa" w:w="2257"/>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2200" w:type="dxa"/>
          </w:tcPr>
          <w:p>
            <w:pPr>
              <w:jc w:val="center"/>
              <w:spacing w:before="0" w:after="0"/>
            </w:pPr>
            <w:r>
              <w:rPr>
                <w:b/>
                <w:i w:val="0"/>
                <w:color w:val="FFFFFF"/>
                <w:sz w:val="17"/>
              </w:rPr>
              <w:t>Slab 2 Met (20 GAs by 20th)?</w:t>
            </w:r>
          </w:p>
        </w:tc>
        <w:tc>
          <w:tcPr>
            <w:tcW w:type="dxa" w:w="2257"/>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2440" w:type="dxa"/>
          </w:tcPr>
          <w:p>
            <w:pPr>
              <w:jc w:val="center"/>
              <w:spacing w:before="0" w:after="0"/>
            </w:pPr>
            <w:r>
              <w:rPr>
                <w:b/>
                <w:i w:val="0"/>
                <w:color w:val="FFFFFF"/>
                <w:sz w:val="17"/>
              </w:rPr>
              <w:t>Total Commission</w:t>
            </w:r>
          </w:p>
        </w:tc>
      </w:tr>
      <w:tr>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800" w:type="dxa"/>
          </w:tcPr>
          <w:p>
            <w:pPr>
              <w:jc w:val="left"/>
              <w:spacing w:before="0" w:after="0"/>
            </w:pPr>
            <w:r>
              <w:rPr>
                <w:b w:val="0"/>
                <w:i w:val="0"/>
                <w:sz w:val="17"/>
              </w:rPr>
              <w:t>Yes</w:t>
            </w:r>
          </w:p>
        </w:tc>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200" w:type="dxa"/>
          </w:tcPr>
          <w:p>
            <w:pPr>
              <w:jc w:val="left"/>
              <w:spacing w:before="0" w:after="0"/>
            </w:pPr>
            <w:r>
              <w:rPr>
                <w:b w:val="0"/>
                <w:i w:val="0"/>
                <w:sz w:val="17"/>
              </w:rPr>
              <w:t>Yes</w:t>
            </w:r>
          </w:p>
        </w:tc>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200" w:type="dxa"/>
          </w:tcPr>
          <w:p>
            <w:pPr>
              <w:jc w:val="left"/>
              <w:spacing w:before="0" w:after="0"/>
            </w:pPr>
            <w:r>
              <w:rPr>
                <w:b w:val="0"/>
                <w:i w:val="0"/>
                <w:sz w:val="17"/>
              </w:rPr>
              <w:t>Yes</w:t>
            </w:r>
          </w:p>
        </w:tc>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440" w:type="dxa"/>
          </w:tcPr>
          <w:p>
            <w:pPr>
              <w:jc w:val="left"/>
              <w:spacing w:before="0" w:after="0"/>
            </w:pPr>
            <w:r>
              <w:rPr>
                <w:b w:val="0"/>
                <w:i w:val="0"/>
                <w:sz w:val="17"/>
              </w:rPr>
              <w:t>BDT 2,000</w:t>
            </w:r>
          </w:p>
        </w:tc>
      </w:tr>
      <w:tr>
        <w:tc>
          <w:tcPr>
            <w:tcW w:type="dxa" w:w="2257"/>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800" w:type="dxa"/>
          </w:tcPr>
          <w:p>
            <w:pPr>
              <w:jc w:val="left"/>
              <w:spacing w:before="0" w:after="0"/>
            </w:pPr>
            <w:r>
              <w:rPr>
                <w:b w:val="0"/>
                <w:i w:val="0"/>
                <w:sz w:val="17"/>
              </w:rPr>
              <w:t>Yes</w:t>
            </w:r>
          </w:p>
        </w:tc>
        <w:tc>
          <w:tcPr>
            <w:tcW w:type="dxa" w:w="2257"/>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200" w:type="dxa"/>
          </w:tcPr>
          <w:p>
            <w:pPr>
              <w:jc w:val="left"/>
              <w:spacing w:before="0" w:after="0"/>
            </w:pPr>
            <w:r>
              <w:rPr>
                <w:b w:val="0"/>
                <w:i w:val="0"/>
                <w:sz w:val="17"/>
              </w:rPr>
              <w:t>Yes</w:t>
            </w:r>
          </w:p>
        </w:tc>
        <w:tc>
          <w:tcPr>
            <w:tcW w:type="dxa" w:w="2257"/>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200" w:type="dxa"/>
          </w:tcPr>
          <w:p>
            <w:pPr>
              <w:jc w:val="left"/>
              <w:spacing w:before="0" w:after="0"/>
            </w:pPr>
            <w:r>
              <w:rPr>
                <w:b w:val="0"/>
                <w:i w:val="0"/>
                <w:sz w:val="17"/>
              </w:rPr>
              <w:t>No</w:t>
            </w:r>
          </w:p>
        </w:tc>
        <w:tc>
          <w:tcPr>
            <w:tcW w:type="dxa" w:w="2257"/>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440" w:type="dxa"/>
          </w:tcPr>
          <w:p>
            <w:pPr>
              <w:jc w:val="left"/>
              <w:spacing w:before="0" w:after="0"/>
            </w:pPr>
            <w:r>
              <w:rPr>
                <w:b w:val="0"/>
                <w:i w:val="0"/>
                <w:sz w:val="17"/>
              </w:rPr>
              <w:t>BDT 1,000</w:t>
            </w:r>
          </w:p>
        </w:tc>
      </w:tr>
      <w:tr>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800" w:type="dxa"/>
          </w:tcPr>
          <w:p>
            <w:pPr>
              <w:jc w:val="left"/>
              <w:spacing w:before="0" w:after="0"/>
            </w:pPr>
            <w:r>
              <w:rPr>
                <w:b w:val="0"/>
                <w:i w:val="0"/>
                <w:sz w:val="17"/>
              </w:rPr>
              <w:t>Yes</w:t>
            </w:r>
          </w:p>
        </w:tc>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200" w:type="dxa"/>
          </w:tcPr>
          <w:p>
            <w:pPr>
              <w:jc w:val="left"/>
              <w:spacing w:before="0" w:after="0"/>
            </w:pPr>
            <w:r>
              <w:rPr>
                <w:b w:val="0"/>
                <w:i w:val="0"/>
                <w:sz w:val="17"/>
              </w:rPr>
              <w:t>No</w:t>
            </w:r>
          </w:p>
        </w:tc>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200" w:type="dxa"/>
          </w:tcPr>
          <w:p>
            <w:pPr>
              <w:jc w:val="left"/>
              <w:spacing w:before="0" w:after="0"/>
            </w:pPr>
            <w:r>
              <w:rPr>
                <w:b w:val="0"/>
                <w:i w:val="0"/>
                <w:sz w:val="17"/>
              </w:rPr>
              <w:t>Yes</w:t>
            </w:r>
          </w:p>
        </w:tc>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440" w:type="dxa"/>
          </w:tcPr>
          <w:p>
            <w:pPr>
              <w:jc w:val="left"/>
              <w:spacing w:before="0" w:after="0"/>
            </w:pPr>
            <w:r>
              <w:rPr>
                <w:b w:val="0"/>
                <w:i w:val="0"/>
                <w:sz w:val="17"/>
              </w:rPr>
              <w:t>BDT 1,000</w:t>
            </w:r>
          </w:p>
        </w:tc>
      </w:tr>
      <w:tr>
        <w:tc>
          <w:tcPr>
            <w:tcW w:type="dxa" w:w="2257"/>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800" w:type="dxa"/>
          </w:tcPr>
          <w:p>
            <w:pPr>
              <w:jc w:val="left"/>
              <w:spacing w:before="0" w:after="0"/>
            </w:pPr>
            <w:r>
              <w:rPr>
                <w:b w:val="0"/>
                <w:i w:val="0"/>
                <w:sz w:val="17"/>
              </w:rPr>
              <w:t>Yes</w:t>
            </w:r>
          </w:p>
        </w:tc>
        <w:tc>
          <w:tcPr>
            <w:tcW w:type="dxa" w:w="2257"/>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200" w:type="dxa"/>
          </w:tcPr>
          <w:p>
            <w:pPr>
              <w:jc w:val="left"/>
              <w:spacing w:before="0" w:after="0"/>
            </w:pPr>
            <w:r>
              <w:rPr>
                <w:b w:val="0"/>
                <w:i w:val="0"/>
                <w:sz w:val="17"/>
              </w:rPr>
              <w:t>No</w:t>
            </w:r>
          </w:p>
        </w:tc>
        <w:tc>
          <w:tcPr>
            <w:tcW w:type="dxa" w:w="2257"/>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200" w:type="dxa"/>
          </w:tcPr>
          <w:p>
            <w:pPr>
              <w:jc w:val="left"/>
              <w:spacing w:before="0" w:after="0"/>
            </w:pPr>
            <w:r>
              <w:rPr>
                <w:b w:val="0"/>
                <w:i w:val="0"/>
                <w:sz w:val="17"/>
              </w:rPr>
              <w:t>No</w:t>
            </w:r>
          </w:p>
        </w:tc>
        <w:tc>
          <w:tcPr>
            <w:tcW w:type="dxa" w:w="2257"/>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440" w:type="dxa"/>
          </w:tcPr>
          <w:p>
            <w:pPr>
              <w:jc w:val="left"/>
              <w:spacing w:before="0" w:after="0"/>
            </w:pPr>
            <w:r>
              <w:rPr>
                <w:b w:val="0"/>
                <w:i w:val="0"/>
                <w:sz w:val="17"/>
              </w:rPr>
              <w:t>BDT 0</w:t>
            </w:r>
          </w:p>
        </w:tc>
      </w:tr>
      <w:tr>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800" w:type="dxa"/>
          </w:tcPr>
          <w:p>
            <w:pPr>
              <w:jc w:val="left"/>
              <w:spacing w:before="0" w:after="0"/>
            </w:pPr>
            <w:r>
              <w:rPr>
                <w:b w:val="0"/>
                <w:i w:val="0"/>
                <w:sz w:val="17"/>
              </w:rPr>
              <w:t>No</w:t>
            </w:r>
          </w:p>
        </w:tc>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200" w:type="dxa"/>
          </w:tcPr>
          <w:p>
            <w:pPr>
              <w:jc w:val="left"/>
              <w:spacing w:before="0" w:after="0"/>
            </w:pPr>
            <w:r>
              <w:rPr>
                <w:b w:val="0"/>
                <w:i w:val="0"/>
                <w:sz w:val="17"/>
              </w:rPr>
              <w:t>Any</w:t>
            </w:r>
          </w:p>
        </w:tc>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200" w:type="dxa"/>
          </w:tcPr>
          <w:p>
            <w:pPr>
              <w:jc w:val="left"/>
              <w:spacing w:before="0" w:after="0"/>
            </w:pPr>
            <w:r>
              <w:rPr>
                <w:b w:val="0"/>
                <w:i w:val="0"/>
                <w:sz w:val="17"/>
              </w:rPr>
              <w:t>Any</w:t>
            </w:r>
          </w:p>
        </w:tc>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440" w:type="dxa"/>
          </w:tcPr>
          <w:p>
            <w:pPr>
              <w:jc w:val="left"/>
              <w:spacing w:before="0" w:after="0"/>
            </w:pPr>
            <w:r>
              <w:rPr>
                <w:b w:val="0"/>
                <w:i w:val="0"/>
                <w:sz w:val="17"/>
              </w:rPr>
              <w:t>BDT 0 (overall 93% not met)</w:t>
            </w:r>
          </w:p>
        </w:tc>
      </w:tr>
    </w:tbl>
    <w:p/>
    <w:p>
      <w:pPr>
        <w:spacing w:before="160" w:after="80"/>
      </w:pPr>
      <w:r>
        <w:rPr>
          <w:b/>
          <w:color w:val="2E75B6"/>
          <w:sz w:val="22"/>
        </w:rPr>
        <w:t>2.4 Specific Conditions</w:t>
      </w:r>
    </w:p>
    <w:p>
      <w:pPr>
        <w:spacing w:before="160" w:after="80"/>
      </w:pPr>
      <w:r>
        <w:rPr>
          <w:b/>
          <w:color w:val="1F4E79"/>
          <w:sz w:val="20"/>
        </w:rPr>
        <w:t>Specific Conditions</w:t>
      </w:r>
    </w:p>
    <w:tbl>
      <w:tblPr>
        <w:tblW w:type="auto" w:w="0"/>
        <w:jc w:val="left"/>
        <w:tblLook w:firstColumn="1" w:firstRow="1" w:lastColumn="0" w:lastRow="0" w:noHBand="0" w:noVBand="1" w:val="04A0"/>
        <w:tblW w:w="8640" w:type="dxa"/>
      </w:tblPr>
      <w:tblGrid>
        <w:gridCol w:w="4514"/>
        <w:gridCol w:w="4514"/>
      </w:tblGrid>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8160" w:type="dxa"/>
          </w:tcPr>
          <w:p>
            <w:pPr>
              <w:jc w:val="left"/>
              <w:spacing w:before="0" w:after="0"/>
            </w:pPr>
            <w:r>
              <w:rPr>
                <w:b w:val="0"/>
                <w:i w:val="0"/>
                <w:sz w:val="18"/>
              </w:rPr>
              <w:t>BDO must achieve at least 93% of their monthly GA target to be eligible for any slab commission.</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2</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8160" w:type="dxa"/>
          </w:tcPr>
          <w:p>
            <w:pPr>
              <w:jc w:val="left"/>
              <w:spacing w:before="0" w:after="0"/>
            </w:pPr>
            <w:r>
              <w:rPr>
                <w:b w:val="0"/>
                <w:i w:val="0"/>
                <w:sz w:val="18"/>
              </w:rPr>
              <w:t>Slab 1: BDO must complete 20 valid GAs within 1st–10th of the month to earn BDT 1,000.</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3</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8160" w:type="dxa"/>
          </w:tcPr>
          <w:p>
            <w:pPr>
              <w:jc w:val="left"/>
              <w:spacing w:before="0" w:after="0"/>
            </w:pPr>
            <w:r>
              <w:rPr>
                <w:b w:val="0"/>
                <w:i w:val="0"/>
                <w:sz w:val="18"/>
              </w:rPr>
              <w:t>Slab 2: BDO must complete 20 valid GAs within 11th–20th of the month to earn BDT 1,000.</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4</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8160" w:type="dxa"/>
          </w:tcPr>
          <w:p>
            <w:pPr>
              <w:jc w:val="left"/>
              <w:spacing w:before="0" w:after="0"/>
            </w:pPr>
            <w:r>
              <w:rPr>
                <w:b w:val="0"/>
                <w:i w:val="0"/>
                <w:sz w:val="18"/>
              </w:rPr>
              <w:t>Missing Slab 1 does NOT disqualify the BDO from Slab 2 — slabs are independently evaluated.</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5</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8160" w:type="dxa"/>
          </w:tcPr>
          <w:p>
            <w:pPr>
              <w:jc w:val="left"/>
              <w:spacing w:before="0" w:after="0"/>
            </w:pPr>
            <w:r>
              <w:rPr>
                <w:b w:val="0"/>
                <w:i w:val="0"/>
                <w:sz w:val="18"/>
              </w:rPr>
              <w:t>Achieving both slabs earns a total of BDT 2,000.</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6</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8160" w:type="dxa"/>
          </w:tcPr>
          <w:p>
            <w:pPr>
              <w:jc w:val="left"/>
              <w:spacing w:before="0" w:after="0"/>
            </w:pPr>
            <w:r>
              <w:rPr>
                <w:b w:val="0"/>
                <w:i w:val="0"/>
                <w:sz w:val="18"/>
              </w:rPr>
              <w:t>GA includes both New Activations and MNP.</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7</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8160" w:type="dxa"/>
          </w:tcPr>
          <w:p>
            <w:pPr>
              <w:jc w:val="left"/>
              <w:spacing w:before="0" w:after="0"/>
            </w:pPr>
            <w:r>
              <w:rPr>
                <w:b w:val="0"/>
                <w:i w:val="0"/>
                <w:sz w:val="18"/>
              </w:rPr>
              <w:t>Activation retailer type must be 'B2C_postpaid' in DMS.</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8</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8160" w:type="dxa"/>
          </w:tcPr>
          <w:p>
            <w:pPr>
              <w:jc w:val="left"/>
              <w:spacing w:before="0" w:after="0"/>
            </w:pPr>
            <w:r>
              <w:rPr>
                <w:b w:val="0"/>
                <w:i w:val="0"/>
                <w:sz w:val="18"/>
              </w:rPr>
              <w:t>Only eligible subscription IDs and option group bundles count (Appendix A).</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9</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8160" w:type="dxa"/>
          </w:tcPr>
          <w:p>
            <w:pPr>
              <w:jc w:val="left"/>
              <w:spacing w:before="0" w:after="0"/>
            </w:pPr>
            <w:r>
              <w:rPr>
                <w:b w:val="0"/>
                <w:i w:val="0"/>
                <w:sz w:val="18"/>
              </w:rPr>
              <w:t>Security deposit must be on same day as activation; one shot or multiple; BL Power App accepted.</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10</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8160" w:type="dxa"/>
          </w:tcPr>
          <w:p>
            <w:pPr>
              <w:jc w:val="left"/>
              <w:spacing w:before="0" w:after="0"/>
            </w:pPr>
            <w:r>
              <w:rPr>
                <w:b w:val="0"/>
                <w:i w:val="0"/>
                <w:sz w:val="18"/>
              </w:rPr>
              <w:t>For TK200 packs, deposit from DWH (POSTPAID_COMMISSION_DATA_MONTHLY_DWH).</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11</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8160" w:type="dxa"/>
          </w:tcPr>
          <w:p>
            <w:pPr>
              <w:jc w:val="left"/>
              <w:spacing w:before="0" w:after="0"/>
            </w:pPr>
            <w:r>
              <w:rPr>
                <w:b w:val="0"/>
                <w:i w:val="0"/>
                <w:sz w:val="18"/>
              </w:rPr>
              <w:t>98% ETSAF must be submitted by 7th of following month.</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12</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8160" w:type="dxa"/>
          </w:tcPr>
          <w:p>
            <w:pPr>
              <w:jc w:val="left"/>
              <w:spacing w:before="0" w:after="0"/>
            </w:pPr>
            <w:r>
              <w:rPr>
                <w:b w:val="0"/>
                <w:i w:val="0"/>
                <w:sz w:val="18"/>
              </w:rPr>
              <w:t>Disconnection data: T-6.</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13</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8160" w:type="dxa"/>
          </w:tcPr>
          <w:p>
            <w:pPr>
              <w:jc w:val="left"/>
              <w:spacing w:before="0" w:after="0"/>
            </w:pPr>
            <w:r>
              <w:rPr>
                <w:b w:val="0"/>
                <w:i w:val="0"/>
                <w:sz w:val="18"/>
              </w:rPr>
              <w:t>AIT applicable.</w:t>
            </w:r>
          </w:p>
        </w:tc>
      </w:tr>
    </w:tbl>
    <w:p/>
    <w:p>
      <w:pPr>
        <w:spacing w:before="160" w:after="80"/>
      </w:pPr>
      <w:r>
        <w:rPr>
          <w:b/>
          <w:color w:val="2E75B6"/>
          <w:sz w:val="22"/>
        </w:rPr>
        <w:t>2.5 Key Differentiator vs. Section 1</w:t>
      </w:r>
    </w:p>
    <w:tbl>
      <w:tblPr>
        <w:tblW w:type="auto" w:w="0"/>
        <w:jc w:val="left"/>
        <w:tblLook w:firstColumn="1" w:firstRow="1" w:lastColumn="0" w:lastRow="0" w:noHBand="0" w:noVBand="1" w:val="04A0"/>
        <w:tblW w:w="8640" w:type="dxa"/>
      </w:tblPr>
      <w:tblGrid>
        <w:gridCol w:w="3010"/>
        <w:gridCol w:w="3010"/>
        <w:gridCol w:w="3010"/>
      </w:tblGrid>
      <w:tr>
        <w:tc>
          <w:tcPr>
            <w:tcW w:type="dxa" w:w="3010"/>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2000" w:type="dxa"/>
          </w:tcPr>
          <w:p>
            <w:pPr>
              <w:jc w:val="center"/>
              <w:spacing w:before="0" w:after="0"/>
            </w:pPr>
            <w:r>
              <w:rPr>
                <w:b/>
                <w:i w:val="0"/>
                <w:color w:val="FFFFFF"/>
                <w:sz w:val="17"/>
              </w:rPr>
              <w:t>Attribute</w:t>
            </w:r>
          </w:p>
        </w:tc>
        <w:tc>
          <w:tcPr>
            <w:tcW w:type="dxa" w:w="3010"/>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3320" w:type="dxa"/>
          </w:tcPr>
          <w:p>
            <w:pPr>
              <w:jc w:val="center"/>
              <w:spacing w:before="0" w:after="0"/>
            </w:pPr>
            <w:r>
              <w:rPr>
                <w:b/>
                <w:i w:val="0"/>
                <w:color w:val="FFFFFF"/>
                <w:sz w:val="17"/>
              </w:rPr>
              <w:t>Section 1 (Daily Participation)</w:t>
            </w:r>
          </w:p>
        </w:tc>
        <w:tc>
          <w:tcPr>
            <w:tcW w:type="dxa" w:w="3010"/>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3320" w:type="dxa"/>
          </w:tcPr>
          <w:p>
            <w:pPr>
              <w:jc w:val="center"/>
              <w:spacing w:before="0" w:after="0"/>
            </w:pPr>
            <w:r>
              <w:rPr>
                <w:b/>
                <w:i w:val="0"/>
                <w:color w:val="FFFFFF"/>
                <w:sz w:val="17"/>
              </w:rPr>
              <w:t>Section 2 (Slab-wise)</w:t>
            </w:r>
          </w:p>
        </w:tc>
      </w:tr>
      <w:tr>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Commission Model</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320" w:type="dxa"/>
          </w:tcPr>
          <w:p>
            <w:pPr>
              <w:jc w:val="left"/>
              <w:spacing w:before="0" w:after="0"/>
            </w:pPr>
            <w:r>
              <w:rPr>
                <w:b w:val="0"/>
                <w:i w:val="0"/>
                <w:sz w:val="17"/>
              </w:rPr>
              <w:t>Fixed bonus based on total monthly participation days</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320" w:type="dxa"/>
          </w:tcPr>
          <w:p>
            <w:pPr>
              <w:jc w:val="left"/>
              <w:spacing w:before="0" w:after="0"/>
            </w:pPr>
            <w:r>
              <w:rPr>
                <w:b w:val="0"/>
                <w:i w:val="0"/>
                <w:sz w:val="17"/>
              </w:rPr>
              <w:t>Fixed bonus based on GA count within specific date windows</w:t>
            </w:r>
          </w:p>
        </w:tc>
      </w:tr>
      <w:tr>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Metric Tracked</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320" w:type="dxa"/>
          </w:tcPr>
          <w:p>
            <w:pPr>
              <w:jc w:val="left"/>
              <w:spacing w:before="0" w:after="0"/>
            </w:pPr>
            <w:r>
              <w:rPr>
                <w:b w:val="0"/>
                <w:i w:val="0"/>
                <w:sz w:val="17"/>
              </w:rPr>
              <w:t>Days active in month</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320" w:type="dxa"/>
          </w:tcPr>
          <w:p>
            <w:pPr>
              <w:jc w:val="left"/>
              <w:spacing w:before="0" w:after="0"/>
            </w:pPr>
            <w:r>
              <w:rPr>
                <w:b w:val="0"/>
                <w:i w:val="0"/>
                <w:sz w:val="17"/>
              </w:rPr>
              <w:t>GAs completed within each 10-day window</w:t>
            </w:r>
          </w:p>
        </w:tc>
      </w:tr>
      <w:tr>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Tiers</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320" w:type="dxa"/>
          </w:tcPr>
          <w:p>
            <w:pPr>
              <w:jc w:val="left"/>
              <w:spacing w:before="0" w:after="0"/>
            </w:pPr>
            <w:r>
              <w:rPr>
                <w:b w:val="0"/>
                <w:i w:val="0"/>
                <w:sz w:val="17"/>
              </w:rPr>
              <w:t>2 tiers: BDT 4,000 or BDT 2,000</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320" w:type="dxa"/>
          </w:tcPr>
          <w:p>
            <w:pPr>
              <w:jc w:val="left"/>
              <w:spacing w:before="0" w:after="0"/>
            </w:pPr>
            <w:r>
              <w:rPr>
                <w:b w:val="0"/>
                <w:i w:val="0"/>
                <w:sz w:val="17"/>
              </w:rPr>
              <w:t>2 independent slabs: BDT 1,000 each, max BDT 2,000</w:t>
            </w:r>
          </w:p>
        </w:tc>
      </w:tr>
      <w:tr>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Independence</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320" w:type="dxa"/>
          </w:tcPr>
          <w:p>
            <w:pPr>
              <w:jc w:val="left"/>
              <w:spacing w:before="0" w:after="0"/>
            </w:pPr>
            <w:r>
              <w:rPr>
                <w:b w:val="0"/>
                <w:i w:val="0"/>
                <w:sz w:val="17"/>
              </w:rPr>
              <w:t>Only one tier applies per month</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320" w:type="dxa"/>
          </w:tcPr>
          <w:p>
            <w:pPr>
              <w:jc w:val="left"/>
              <w:spacing w:before="0" w:after="0"/>
            </w:pPr>
            <w:r>
              <w:rPr>
                <w:b w:val="0"/>
                <w:i w:val="0"/>
                <w:sz w:val="17"/>
              </w:rPr>
              <w:t>Each slab is independent — can earn Slab 2 without Slab 1</w:t>
            </w:r>
          </w:p>
        </w:tc>
      </w:tr>
      <w:tr>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Max Earnings</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320" w:type="dxa"/>
          </w:tcPr>
          <w:p>
            <w:pPr>
              <w:jc w:val="left"/>
              <w:spacing w:before="0" w:after="0"/>
            </w:pPr>
            <w:r>
              <w:rPr>
                <w:b w:val="0"/>
                <w:i w:val="0"/>
                <w:sz w:val="17"/>
              </w:rPr>
              <w:t>BDT 4,000</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320" w:type="dxa"/>
          </w:tcPr>
          <w:p>
            <w:pPr>
              <w:jc w:val="left"/>
              <w:spacing w:before="0" w:after="0"/>
            </w:pPr>
            <w:r>
              <w:rPr>
                <w:b w:val="0"/>
                <w:i w:val="0"/>
                <w:sz w:val="17"/>
              </w:rPr>
              <w:t>BDT 2,000</w:t>
            </w:r>
          </w:p>
        </w:tc>
      </w:tr>
      <w:tr>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GA Threshold</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320" w:type="dxa"/>
          </w:tcPr>
          <w:p>
            <w:pPr>
              <w:jc w:val="left"/>
              <w:spacing w:before="0" w:after="0"/>
            </w:pPr>
            <w:r>
              <w:rPr>
                <w:b w:val="0"/>
                <w:i w:val="0"/>
                <w:sz w:val="17"/>
              </w:rPr>
              <w:t>≥ 93% overall</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320" w:type="dxa"/>
          </w:tcPr>
          <w:p>
            <w:pPr>
              <w:jc w:val="left"/>
              <w:spacing w:before="0" w:after="0"/>
            </w:pPr>
            <w:r>
              <w:rPr>
                <w:b w:val="0"/>
                <w:i w:val="0"/>
                <w:sz w:val="17"/>
              </w:rPr>
              <w:t>≥ 93% overall (mandatory gate)</w:t>
            </w:r>
          </w:p>
        </w:tc>
      </w:tr>
    </w:tbl>
    <w:p/>
    <w:p>
      <w:r>
        <w:br w:type="page"/>
      </w:r>
    </w:p>
    <w:p>
      <w:pPr>
        <w:spacing w:before="160" w:after="80"/>
      </w:pPr>
      <w:r>
        <w:rPr>
          <w:b/>
          <w:color w:val="1F4E79"/>
          <w:sz w:val="28"/>
          <w:u w:val="single"/>
        </w:rPr>
        <w:t>Section 3: BL Prepaid and Postpaid GA Campaign — Monobrand CCR</w:t>
      </w:r>
    </w:p>
    <w:p>
      <w:pPr>
        <w:spacing w:before="0" w:after="60"/>
      </w:pPr>
      <w:r>
        <w:rPr>
          <w:b w:val="0"/>
          <w:i w:val="0"/>
          <w:sz w:val="19"/>
        </w:rPr>
        <w:t>Monobrand Customer Care Representatives (CCR) earn per-GA incentive across three achievement slabs for both Prepaid and Postpaid activations. Unlike BDO commissions, this campaign has a 3-slab per-GA rate structure, a recharge completion rate condition, AIT is NOT applicable, and the maturity date is 45 days after activation.</w:t>
      </w:r>
    </w:p>
    <w:p>
      <w:pPr>
        <w:spacing w:before="160" w:after="80"/>
      </w:pPr>
      <w:r>
        <w:rPr>
          <w:b/>
          <w:color w:val="2E75B6"/>
          <w:sz w:val="22"/>
        </w:rPr>
        <w:t>3.1 Campaign Overview</w:t>
      </w:r>
    </w:p>
    <w:tbl>
      <w:tblPr>
        <w:tblW w:type="auto" w:w="0"/>
        <w:jc w:val="left"/>
        <w:tblLook w:firstColumn="1" w:firstRow="1" w:lastColumn="0" w:lastRow="0" w:noHBand="0" w:noVBand="1" w:val="04A0"/>
        <w:tblW w:w="8640" w:type="dxa"/>
      </w:tblPr>
      <w:tblGrid>
        <w:gridCol w:w="4514"/>
        <w:gridCol w:w="4514"/>
      </w:tblGrid>
      <w:tr>
        <w:tc>
          <w:tcPr>
            <w:tcW w:type="dxa" w:w="4514"/>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20" w:type="dxa"/>
              <w:right w:w="120" w:type="dxa"/>
            </w:tcMar>
            <w:tcW w:w="2880" w:type="dxa"/>
          </w:tcPr>
          <w:p>
            <w:pPr>
              <w:jc w:val="left"/>
              <w:spacing w:before="0" w:after="0"/>
            </w:pPr>
            <w:r>
              <w:rPr>
                <w:b/>
                <w:i w:val="0"/>
                <w:color w:val="FFFFFF"/>
                <w:sz w:val="18"/>
              </w:rPr>
              <w:t>Parameter</w:t>
            </w:r>
          </w:p>
        </w:tc>
        <w:tc>
          <w:tcPr>
            <w:tcW w:type="dxa" w:w="4514"/>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20" w:type="dxa"/>
              <w:right w:w="120" w:type="dxa"/>
            </w:tcMar>
            <w:tcW w:w="5760" w:type="dxa"/>
          </w:tcPr>
          <w:p>
            <w:pPr>
              <w:jc w:val="left"/>
              <w:spacing w:before="0" w:after="0"/>
            </w:pPr>
            <w:r>
              <w:rPr>
                <w:b/>
                <w:i w:val="0"/>
                <w:color w:val="FFFFFF"/>
                <w:sz w:val="18"/>
              </w:rPr>
              <w:t>Detail</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Recipient</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Monobrand CCR (Customer Care Representative)</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Product Coverage</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Both BL Prepaid AND BL Postpaid activations</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Commission Type</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Per-GA incentive — BDT amount per qualifying GA based on slab</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Slab Basis</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 achievement vs. individual CCR target AND recharge completion rate</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Periodicity</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Regular — Monthly (from Feb26 onwards)</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AIT</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NOT APPLICABLE (unlike all BDO commissions)</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Maturity Date</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45 days after activation date (unique — all BDO types use 8th of month)</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Max GA per Agent</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Incentive eligible up to 100 GA per agent per month</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Report Slot</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Disbursement</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Salescom to POS</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No</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Salescom to EV</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No</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Data Source</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ED, IT BI, DWH, TABS, DMS, POS</w:t>
            </w:r>
          </w:p>
        </w:tc>
      </w:tr>
    </w:tbl>
    <w:p>
      <w:pPr>
        <w:spacing w:before="0" w:after="60"/>
      </w:pPr>
    </w:p>
    <w:p>
      <w:pPr>
        <w:spacing w:before="160" w:after="80"/>
      </w:pPr>
      <w:r>
        <w:rPr>
          <w:b/>
          <w:color w:val="2E75B6"/>
          <w:sz w:val="22"/>
        </w:rPr>
        <w:t>3.2 Incentive Slabs — Prepaid</w:t>
      </w:r>
    </w:p>
    <w:tbl>
      <w:tblPr>
        <w:tblW w:type="auto" w:w="0"/>
        <w:jc w:val="left"/>
        <w:tblLook w:firstColumn="1" w:firstRow="1" w:lastColumn="0" w:lastRow="0" w:noHBand="0" w:noVBand="1" w:val="04A0"/>
        <w:tblW w:w="8640" w:type="dxa"/>
      </w:tblPr>
      <w:tblGrid>
        <w:gridCol w:w="2257"/>
        <w:gridCol w:w="2257"/>
        <w:gridCol w:w="2257"/>
        <w:gridCol w:w="2257"/>
      </w:tblGrid>
      <w:tr>
        <w:tc>
          <w:tcPr>
            <w:tcW w:type="dxa" w:w="2257"/>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900" w:type="dxa"/>
          </w:tcPr>
          <w:p>
            <w:pPr>
              <w:jc w:val="center"/>
              <w:spacing w:before="0" w:after="0"/>
            </w:pPr>
            <w:r>
              <w:rPr>
                <w:b/>
                <w:i w:val="0"/>
                <w:color w:val="FFFFFF"/>
                <w:sz w:val="17"/>
              </w:rPr>
              <w:t>Slab</w:t>
            </w:r>
          </w:p>
        </w:tc>
        <w:tc>
          <w:tcPr>
            <w:tcW w:type="dxa" w:w="2257"/>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2000" w:type="dxa"/>
          </w:tcPr>
          <w:p>
            <w:pPr>
              <w:jc w:val="center"/>
              <w:spacing w:before="0" w:after="0"/>
            </w:pPr>
            <w:r>
              <w:rPr>
                <w:b/>
                <w:i w:val="0"/>
                <w:color w:val="FFFFFF"/>
                <w:sz w:val="17"/>
              </w:rPr>
              <w:t>Achievement vs. Target</w:t>
            </w:r>
          </w:p>
        </w:tc>
        <w:tc>
          <w:tcPr>
            <w:tcW w:type="dxa" w:w="2257"/>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3500" w:type="dxa"/>
          </w:tcPr>
          <w:p>
            <w:pPr>
              <w:jc w:val="center"/>
              <w:spacing w:before="0" w:after="0"/>
            </w:pPr>
            <w:r>
              <w:rPr>
                <w:b/>
                <w:i w:val="0"/>
                <w:color w:val="FFFFFF"/>
                <w:sz w:val="17"/>
              </w:rPr>
              <w:t>1st Recharge Completion Rate</w:t>
            </w:r>
          </w:p>
        </w:tc>
        <w:tc>
          <w:tcPr>
            <w:tcW w:type="dxa" w:w="2257"/>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2240" w:type="dxa"/>
          </w:tcPr>
          <w:p>
            <w:pPr>
              <w:jc w:val="center"/>
              <w:spacing w:before="0" w:after="0"/>
            </w:pPr>
            <w:r>
              <w:rPr>
                <w:b/>
                <w:i w:val="0"/>
                <w:color w:val="FFFFFF"/>
                <w:sz w:val="17"/>
              </w:rPr>
              <w:t>Incentive per GA</w:t>
            </w:r>
          </w:p>
        </w:tc>
      </w:tr>
      <w:tr>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900" w:type="dxa"/>
          </w:tcPr>
          <w:p>
            <w:pPr>
              <w:jc w:val="left"/>
              <w:spacing w:before="0" w:after="0"/>
            </w:pPr>
            <w:r>
              <w:rPr>
                <w:b w:val="0"/>
                <w:i w:val="0"/>
                <w:sz w:val="17"/>
              </w:rPr>
              <w:t>Slab 1</w:t>
            </w:r>
          </w:p>
        </w:tc>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 93%</w:t>
            </w:r>
          </w:p>
        </w:tc>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500" w:type="dxa"/>
          </w:tcPr>
          <w:p>
            <w:pPr>
              <w:jc w:val="left"/>
              <w:spacing w:before="0" w:after="0"/>
            </w:pPr>
            <w:r>
              <w:rPr>
                <w:b w:val="0"/>
                <w:i w:val="0"/>
                <w:sz w:val="17"/>
              </w:rPr>
              <w:t>≥ 95% of GAs must have 1st recharge within 45 days</w:t>
            </w:r>
          </w:p>
        </w:tc>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240" w:type="dxa"/>
          </w:tcPr>
          <w:p>
            <w:pPr>
              <w:jc w:val="left"/>
              <w:spacing w:before="0" w:after="0"/>
            </w:pPr>
            <w:r>
              <w:rPr>
                <w:b w:val="0"/>
                <w:i w:val="0"/>
                <w:sz w:val="17"/>
              </w:rPr>
              <w:t>BDT 10 / GA</w:t>
            </w:r>
          </w:p>
        </w:tc>
      </w:tr>
      <w:tr>
        <w:tc>
          <w:tcPr>
            <w:tcW w:type="dxa" w:w="2257"/>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900" w:type="dxa"/>
          </w:tcPr>
          <w:p>
            <w:pPr>
              <w:jc w:val="left"/>
              <w:spacing w:before="0" w:after="0"/>
            </w:pPr>
            <w:r>
              <w:rPr>
                <w:b w:val="0"/>
                <w:i w:val="0"/>
                <w:sz w:val="17"/>
              </w:rPr>
              <w:t>Slab 2</w:t>
            </w:r>
          </w:p>
        </w:tc>
        <w:tc>
          <w:tcPr>
            <w:tcW w:type="dxa" w:w="2257"/>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&gt; 93% to &lt; 101%</w:t>
            </w:r>
          </w:p>
        </w:tc>
        <w:tc>
          <w:tcPr>
            <w:tcW w:type="dxa" w:w="2257"/>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500" w:type="dxa"/>
          </w:tcPr>
          <w:p>
            <w:pPr>
              <w:jc w:val="left"/>
              <w:spacing w:before="0" w:after="0"/>
            </w:pPr>
            <w:r>
              <w:rPr>
                <w:b w:val="0"/>
                <w:i w:val="0"/>
                <w:sz w:val="17"/>
              </w:rPr>
              <w:t>≥ 95% of GAs must have 1st recharge within 45 days</w:t>
            </w:r>
          </w:p>
        </w:tc>
        <w:tc>
          <w:tcPr>
            <w:tcW w:type="dxa" w:w="2257"/>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240" w:type="dxa"/>
          </w:tcPr>
          <w:p>
            <w:pPr>
              <w:jc w:val="left"/>
              <w:spacing w:before="0" w:after="0"/>
            </w:pPr>
            <w:r>
              <w:rPr>
                <w:b w:val="0"/>
                <w:i w:val="0"/>
                <w:sz w:val="17"/>
              </w:rPr>
              <w:t>BDT 30 / GA</w:t>
            </w:r>
          </w:p>
        </w:tc>
      </w:tr>
      <w:tr>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900" w:type="dxa"/>
          </w:tcPr>
          <w:p>
            <w:pPr>
              <w:jc w:val="left"/>
              <w:spacing w:before="0" w:after="0"/>
            </w:pPr>
            <w:r>
              <w:rPr>
                <w:b w:val="0"/>
                <w:i w:val="0"/>
                <w:sz w:val="17"/>
              </w:rPr>
              <w:t>Slab 3</w:t>
            </w:r>
          </w:p>
        </w:tc>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 101%</w:t>
            </w:r>
          </w:p>
        </w:tc>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500" w:type="dxa"/>
          </w:tcPr>
          <w:p>
            <w:pPr>
              <w:jc w:val="left"/>
              <w:spacing w:before="0" w:after="0"/>
            </w:pPr>
            <w:r>
              <w:rPr>
                <w:b w:val="0"/>
                <w:i w:val="0"/>
                <w:sz w:val="17"/>
              </w:rPr>
              <w:t>≥ 95% of GAs must have 1st recharge within 45 days</w:t>
            </w:r>
          </w:p>
        </w:tc>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240" w:type="dxa"/>
          </w:tcPr>
          <w:p>
            <w:pPr>
              <w:jc w:val="left"/>
              <w:spacing w:before="0" w:after="0"/>
            </w:pPr>
            <w:r>
              <w:rPr>
                <w:b w:val="0"/>
                <w:i w:val="0"/>
                <w:sz w:val="17"/>
              </w:rPr>
              <w:t>BDT 40 / GA</w:t>
            </w:r>
          </w:p>
        </w:tc>
      </w:tr>
    </w:tbl>
    <w:p/>
    <w:p>
      <w:pPr>
        <w:spacing w:before="160" w:after="80"/>
      </w:pPr>
      <w:r>
        <w:rPr>
          <w:b/>
          <w:color w:val="2E75B6"/>
          <w:sz w:val="22"/>
        </w:rPr>
        <w:t>3.3 Incentive Slabs — Postpaid</w:t>
      </w:r>
    </w:p>
    <w:tbl>
      <w:tblPr>
        <w:tblW w:type="auto" w:w="0"/>
        <w:jc w:val="left"/>
        <w:tblLook w:firstColumn="1" w:firstRow="1" w:lastColumn="0" w:lastRow="0" w:noHBand="0" w:noVBand="1" w:val="04A0"/>
        <w:tblW w:w="8640" w:type="dxa"/>
      </w:tblPr>
      <w:tblGrid>
        <w:gridCol w:w="2257"/>
        <w:gridCol w:w="2257"/>
        <w:gridCol w:w="2257"/>
        <w:gridCol w:w="2257"/>
      </w:tblGrid>
      <w:tr>
        <w:tc>
          <w:tcPr>
            <w:tcW w:type="dxa" w:w="2257"/>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900" w:type="dxa"/>
          </w:tcPr>
          <w:p>
            <w:pPr>
              <w:jc w:val="center"/>
              <w:spacing w:before="0" w:after="0"/>
            </w:pPr>
            <w:r>
              <w:rPr>
                <w:b/>
                <w:i w:val="0"/>
                <w:color w:val="FFFFFF"/>
                <w:sz w:val="17"/>
              </w:rPr>
              <w:t>Slab</w:t>
            </w:r>
          </w:p>
        </w:tc>
        <w:tc>
          <w:tcPr>
            <w:tcW w:type="dxa" w:w="2257"/>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2000" w:type="dxa"/>
          </w:tcPr>
          <w:p>
            <w:pPr>
              <w:jc w:val="center"/>
              <w:spacing w:before="0" w:after="0"/>
            </w:pPr>
            <w:r>
              <w:rPr>
                <w:b/>
                <w:i w:val="0"/>
                <w:color w:val="FFFFFF"/>
                <w:sz w:val="17"/>
              </w:rPr>
              <w:t>Achievement vs. Target</w:t>
            </w:r>
          </w:p>
        </w:tc>
        <w:tc>
          <w:tcPr>
            <w:tcW w:type="dxa" w:w="2257"/>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3500" w:type="dxa"/>
          </w:tcPr>
          <w:p>
            <w:pPr>
              <w:jc w:val="center"/>
              <w:spacing w:before="0" w:after="0"/>
            </w:pPr>
            <w:r>
              <w:rPr>
                <w:b/>
                <w:i w:val="0"/>
                <w:color w:val="FFFFFF"/>
                <w:sz w:val="17"/>
              </w:rPr>
              <w:t>2nd Recharge/Bundle Purchase Rate</w:t>
            </w:r>
          </w:p>
        </w:tc>
        <w:tc>
          <w:tcPr>
            <w:tcW w:type="dxa" w:w="2257"/>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2240" w:type="dxa"/>
          </w:tcPr>
          <w:p>
            <w:pPr>
              <w:jc w:val="center"/>
              <w:spacing w:before="0" w:after="0"/>
            </w:pPr>
            <w:r>
              <w:rPr>
                <w:b/>
                <w:i w:val="0"/>
                <w:color w:val="FFFFFF"/>
                <w:sz w:val="17"/>
              </w:rPr>
              <w:t>Incentive per GA</w:t>
            </w:r>
          </w:p>
        </w:tc>
      </w:tr>
      <w:tr>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900" w:type="dxa"/>
          </w:tcPr>
          <w:p>
            <w:pPr>
              <w:jc w:val="left"/>
              <w:spacing w:before="0" w:after="0"/>
            </w:pPr>
            <w:r>
              <w:rPr>
                <w:b w:val="0"/>
                <w:i w:val="0"/>
                <w:sz w:val="17"/>
              </w:rPr>
              <w:t>Slab 1</w:t>
            </w:r>
          </w:p>
        </w:tc>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 93%</w:t>
            </w:r>
          </w:p>
        </w:tc>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500" w:type="dxa"/>
          </w:tcPr>
          <w:p>
            <w:pPr>
              <w:jc w:val="left"/>
              <w:spacing w:before="0" w:after="0"/>
            </w:pPr>
            <w:r>
              <w:rPr>
                <w:b w:val="0"/>
                <w:i w:val="0"/>
                <w:sz w:val="17"/>
              </w:rPr>
              <w:t>≥ 95% of GAs must have 2nd recharge or 2nd bundle purchase within 45 days</w:t>
            </w:r>
          </w:p>
        </w:tc>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240" w:type="dxa"/>
          </w:tcPr>
          <w:p>
            <w:pPr>
              <w:jc w:val="left"/>
              <w:spacing w:before="0" w:after="0"/>
            </w:pPr>
            <w:r>
              <w:rPr>
                <w:b w:val="0"/>
                <w:i w:val="0"/>
                <w:sz w:val="17"/>
              </w:rPr>
              <w:t>BDT 10 / GA</w:t>
            </w:r>
          </w:p>
        </w:tc>
      </w:tr>
      <w:tr>
        <w:tc>
          <w:tcPr>
            <w:tcW w:type="dxa" w:w="2257"/>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900" w:type="dxa"/>
          </w:tcPr>
          <w:p>
            <w:pPr>
              <w:jc w:val="left"/>
              <w:spacing w:before="0" w:after="0"/>
            </w:pPr>
            <w:r>
              <w:rPr>
                <w:b w:val="0"/>
                <w:i w:val="0"/>
                <w:sz w:val="17"/>
              </w:rPr>
              <w:t>Slab 2</w:t>
            </w:r>
          </w:p>
        </w:tc>
        <w:tc>
          <w:tcPr>
            <w:tcW w:type="dxa" w:w="2257"/>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&gt; 93% to &lt; 101%</w:t>
            </w:r>
          </w:p>
        </w:tc>
        <w:tc>
          <w:tcPr>
            <w:tcW w:type="dxa" w:w="2257"/>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500" w:type="dxa"/>
          </w:tcPr>
          <w:p>
            <w:pPr>
              <w:jc w:val="left"/>
              <w:spacing w:before="0" w:after="0"/>
            </w:pPr>
            <w:r>
              <w:rPr>
                <w:b w:val="0"/>
                <w:i w:val="0"/>
                <w:sz w:val="17"/>
              </w:rPr>
              <w:t>≥ 95% of GAs must have 2nd recharge or 2nd bundle purchase within 45 days</w:t>
            </w:r>
          </w:p>
        </w:tc>
        <w:tc>
          <w:tcPr>
            <w:tcW w:type="dxa" w:w="2257"/>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240" w:type="dxa"/>
          </w:tcPr>
          <w:p>
            <w:pPr>
              <w:jc w:val="left"/>
              <w:spacing w:before="0" w:after="0"/>
            </w:pPr>
            <w:r>
              <w:rPr>
                <w:b w:val="0"/>
                <w:i w:val="0"/>
                <w:sz w:val="17"/>
              </w:rPr>
              <w:t>BDT 30 / GA</w:t>
            </w:r>
          </w:p>
        </w:tc>
      </w:tr>
      <w:tr>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900" w:type="dxa"/>
          </w:tcPr>
          <w:p>
            <w:pPr>
              <w:jc w:val="left"/>
              <w:spacing w:before="0" w:after="0"/>
            </w:pPr>
            <w:r>
              <w:rPr>
                <w:b w:val="0"/>
                <w:i w:val="0"/>
                <w:sz w:val="17"/>
              </w:rPr>
              <w:t>Slab 3</w:t>
            </w:r>
          </w:p>
        </w:tc>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 101%</w:t>
            </w:r>
          </w:p>
        </w:tc>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500" w:type="dxa"/>
          </w:tcPr>
          <w:p>
            <w:pPr>
              <w:jc w:val="left"/>
              <w:spacing w:before="0" w:after="0"/>
            </w:pPr>
            <w:r>
              <w:rPr>
                <w:b w:val="0"/>
                <w:i w:val="0"/>
                <w:sz w:val="17"/>
              </w:rPr>
              <w:t>≥ 95% of GAs must have 2nd recharge or 2nd bundle purchase within 45 days</w:t>
            </w:r>
          </w:p>
        </w:tc>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240" w:type="dxa"/>
          </w:tcPr>
          <w:p>
            <w:pPr>
              <w:jc w:val="left"/>
              <w:spacing w:before="0" w:after="0"/>
            </w:pPr>
            <w:r>
              <w:rPr>
                <w:b w:val="0"/>
                <w:i w:val="0"/>
                <w:sz w:val="17"/>
              </w:rPr>
              <w:t>BDT 40 / GA</w:t>
            </w:r>
          </w:p>
        </w:tc>
      </w:tr>
    </w:tbl>
    <w:p/>
    <w:tbl>
      <w:tblPr>
        <w:tblW w:type="auto" w:w="0"/>
        <w:jc w:val="left"/>
        <w:tblLook w:firstColumn="1" w:firstRow="1" w:lastColumn="0" w:lastRow="0" w:noHBand="0" w:noVBand="1" w:val="04A0"/>
        <w:tblW w:w="8640" w:type="dxa"/>
      </w:tblPr>
      <w:tblGrid>
        <w:gridCol w:w="9029"/>
      </w:tblGrid>
      <w:tr>
        <w:tc>
          <w:tcPr>
            <w:tcW w:type="dxa" w:w="9029"/>
            <w:shd w:val="clear" w:color="auto" w:fill="FFF2CC"/>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640" w:type="dxa"/>
          </w:tcPr>
          <w:p>
            <w:pPr>
              <w:jc w:val="left"/>
              <w:spacing w:before="0" w:after="0"/>
            </w:pPr>
            <w:r>
              <w:rPr>
                <w:b w:val="0"/>
                <w:i/>
                <w:color w:val="595959"/>
                <w:sz w:val="18"/>
              </w:rPr>
              <w:t>POSTPAID RECHARGE CONDITION: For Postpaid, 'first recharge' in Prepaid is replaced by 'second recharge or second bundle purchase' within 45 days of activation. This means the customer must make a second payment (renewal or additional bundle) to validate the GA. No additional Postpaid bundle commission is considered from Feb26.</w:t>
            </w:r>
          </w:p>
        </w:tc>
      </w:tr>
    </w:tbl>
    <w:p/>
    <w:p>
      <w:pPr>
        <w:spacing w:before="160" w:after="80"/>
      </w:pPr>
      <w:r>
        <w:rPr>
          <w:b/>
          <w:color w:val="2E75B6"/>
          <w:sz w:val="22"/>
        </w:rPr>
        <w:t>3.4 Specific Conditions</w:t>
      </w:r>
    </w:p>
    <w:p>
      <w:pPr>
        <w:spacing w:before="160" w:after="80"/>
      </w:pPr>
      <w:r>
        <w:rPr>
          <w:b/>
          <w:color w:val="1F4E79"/>
          <w:sz w:val="20"/>
        </w:rPr>
        <w:t>Specific Conditions</w:t>
      </w:r>
    </w:p>
    <w:tbl>
      <w:tblPr>
        <w:tblW w:type="auto" w:w="0"/>
        <w:jc w:val="left"/>
        <w:tblLook w:firstColumn="1" w:firstRow="1" w:lastColumn="0" w:lastRow="0" w:noHBand="0" w:noVBand="1" w:val="04A0"/>
        <w:tblW w:w="8640" w:type="dxa"/>
      </w:tblPr>
      <w:tblGrid>
        <w:gridCol w:w="4514"/>
        <w:gridCol w:w="4514"/>
      </w:tblGrid>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8160" w:type="dxa"/>
          </w:tcPr>
          <w:p>
            <w:pPr>
              <w:jc w:val="left"/>
              <w:spacing w:before="0" w:after="0"/>
            </w:pPr>
            <w:r>
              <w:rPr>
                <w:b w:val="0"/>
                <w:i w:val="0"/>
                <w:sz w:val="18"/>
              </w:rPr>
              <w:t>Both Prepaid and Postpaid activations are eligible for this campaign.</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2</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8160" w:type="dxa"/>
          </w:tcPr>
          <w:p>
            <w:pPr>
              <w:jc w:val="left"/>
              <w:spacing w:before="0" w:after="0"/>
            </w:pPr>
            <w:r>
              <w:rPr>
                <w:b w:val="0"/>
                <w:i w:val="0"/>
                <w:sz w:val="18"/>
              </w:rPr>
              <w:t>Only listed Monobrand CCRs are eligible — CCR list shared with commission team before calculation.</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3</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8160" w:type="dxa"/>
          </w:tcPr>
          <w:p>
            <w:pPr>
              <w:jc w:val="left"/>
              <w:spacing w:before="0" w:after="0"/>
            </w:pPr>
            <w:r>
              <w:rPr>
                <w:b w:val="0"/>
                <w:i w:val="0"/>
                <w:sz w:val="18"/>
              </w:rPr>
              <w:t>For each Monobrand, there is a set Target for CCRs. The target list (by Monobrand and by CCR) is shared before commission run.</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4</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8160" w:type="dxa"/>
          </w:tcPr>
          <w:p>
            <w:pPr>
              <w:jc w:val="left"/>
              <w:spacing w:before="0" w:after="0"/>
            </w:pPr>
            <w:r>
              <w:rPr>
                <w:b w:val="0"/>
                <w:i w:val="0"/>
                <w:sz w:val="18"/>
              </w:rPr>
              <w:t>The CUMULATIVE GA of all CCRs assigned to a Monobrand must be ≥ 90% of that Monobrand's monthly target for individual CCR incentives to apply.</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5</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8160" w:type="dxa"/>
          </w:tcPr>
          <w:p>
            <w:pPr>
              <w:jc w:val="left"/>
              <w:spacing w:before="0" w:after="0"/>
            </w:pPr>
            <w:r>
              <w:rPr>
                <w:b w:val="0"/>
                <w:i w:val="0"/>
                <w:sz w:val="18"/>
              </w:rPr>
              <w:t>Individual incentive is eligible up to 100 GA per agent per month — GAs beyond 100 are not incentivized.</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6</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8160" w:type="dxa"/>
          </w:tcPr>
          <w:p>
            <w:pPr>
              <w:jc w:val="left"/>
              <w:spacing w:before="0" w:after="0"/>
            </w:pPr>
            <w:r>
              <w:rPr>
                <w:b w:val="0"/>
                <w:i w:val="0"/>
                <w:sz w:val="18"/>
              </w:rPr>
              <w:t>For Prepaid: first recharge must be completed within 45 days of activation date.</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7</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8160" w:type="dxa"/>
          </w:tcPr>
          <w:p>
            <w:pPr>
              <w:jc w:val="left"/>
              <w:spacing w:before="0" w:after="0"/>
            </w:pPr>
            <w:r>
              <w:rPr>
                <w:b w:val="0"/>
                <w:i w:val="0"/>
                <w:sz w:val="18"/>
              </w:rPr>
              <w:t>For Postpaid: second recharge or second bundle purchase must be completed within 45 days of activation date.</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8</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8160" w:type="dxa"/>
          </w:tcPr>
          <w:p>
            <w:pPr>
              <w:jc w:val="left"/>
              <w:spacing w:before="0" w:after="0"/>
            </w:pPr>
            <w:r>
              <w:rPr>
                <w:b w:val="0"/>
                <w:i w:val="0"/>
                <w:sz w:val="18"/>
              </w:rPr>
              <w:t>At least 95% of the CCR's total GAs must have completed the recharge/bundle condition (95% completion rate threshold).</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9</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8160" w:type="dxa"/>
          </w:tcPr>
          <w:p>
            <w:pPr>
              <w:jc w:val="left"/>
              <w:spacing w:before="0" w:after="0"/>
            </w:pPr>
            <w:r>
              <w:rPr>
                <w:b w:val="0"/>
                <w:i w:val="0"/>
                <w:sz w:val="18"/>
              </w:rPr>
              <w:t>90% of Monobrand center target must be met for individual CCR achievement to qualify for slab incentive.</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10</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8160" w:type="dxa"/>
          </w:tcPr>
          <w:p>
            <w:pPr>
              <w:jc w:val="left"/>
              <w:spacing w:before="0" w:after="0"/>
            </w:pPr>
            <w:r>
              <w:rPr>
                <w:b w:val="0"/>
                <w:i w:val="0"/>
                <w:sz w:val="18"/>
              </w:rPr>
              <w:t>Only MNP and new activation are considered for incentive eligibility.</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11</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8160" w:type="dxa"/>
          </w:tcPr>
          <w:p>
            <w:pPr>
              <w:jc w:val="left"/>
              <w:spacing w:before="0" w:after="0"/>
            </w:pPr>
            <w:r>
              <w:rPr>
                <w:b w:val="0"/>
                <w:i w:val="0"/>
                <w:sz w:val="18"/>
              </w:rPr>
              <w:t>AIT is NOT applicable for this commission (this is applicable for Sales Team only).</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12</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8160" w:type="dxa"/>
          </w:tcPr>
          <w:p>
            <w:pPr>
              <w:jc w:val="left"/>
              <w:spacing w:before="0" w:after="0"/>
            </w:pPr>
            <w:r>
              <w:rPr>
                <w:b w:val="0"/>
                <w:i w:val="0"/>
                <w:sz w:val="18"/>
              </w:rPr>
              <w:t>No additional Postpaid bundle commission will be considered from Feb26 onwards.</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13</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8160" w:type="dxa"/>
          </w:tcPr>
          <w:p>
            <w:pPr>
              <w:jc w:val="left"/>
              <w:spacing w:before="0" w:after="0"/>
            </w:pPr>
            <w:r>
              <w:rPr>
                <w:b w:val="0"/>
                <w:i w:val="0"/>
                <w:sz w:val="18"/>
              </w:rPr>
              <w:t>TK300BORGAPOSTOG — source: POSTPAID_COMMISSION_DATA_MONTHLY_DWH (specific to this campaign).</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14</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8160" w:type="dxa"/>
          </w:tcPr>
          <w:p>
            <w:pPr>
              <w:jc w:val="left"/>
              <w:spacing w:before="0" w:after="0"/>
            </w:pPr>
            <w:r>
              <w:rPr>
                <w:b w:val="0"/>
                <w:i w:val="0"/>
                <w:sz w:val="18"/>
              </w:rPr>
              <w:t>Security deposit must be equal to or greater than bundle-wise minimum, deposited on same day of activation.</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15</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8160" w:type="dxa"/>
          </w:tcPr>
          <w:p>
            <w:pPr>
              <w:jc w:val="left"/>
              <w:spacing w:before="0" w:after="0"/>
            </w:pPr>
            <w:r>
              <w:rPr>
                <w:b w:val="0"/>
                <w:i w:val="0"/>
                <w:sz w:val="18"/>
              </w:rPr>
              <w:t>Multiple shot deposits allowed but must be on the same day of activation.</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16</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8160" w:type="dxa"/>
          </w:tcPr>
          <w:p>
            <w:pPr>
              <w:jc w:val="left"/>
              <w:spacing w:before="0" w:after="0"/>
            </w:pPr>
            <w:r>
              <w:rPr>
                <w:b w:val="0"/>
                <w:i w:val="0"/>
                <w:sz w:val="18"/>
              </w:rPr>
              <w:t>For TK200 (non-bundle) packs, deposit verified from DPOS checking activation date and required deposit.</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17</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8160" w:type="dxa"/>
          </w:tcPr>
          <w:p>
            <w:pPr>
              <w:jc w:val="left"/>
              <w:spacing w:before="0" w:after="0"/>
            </w:pPr>
            <w:r>
              <w:rPr>
                <w:b w:val="0"/>
                <w:i w:val="0"/>
                <w:sz w:val="18"/>
              </w:rPr>
              <w:t>Maturity date: 45 days after activation date.</w:t>
            </w:r>
          </w:p>
        </w:tc>
      </w:tr>
    </w:tbl>
    <w:p/>
    <w:p>
      <w:pPr>
        <w:spacing w:before="160" w:after="80"/>
      </w:pPr>
      <w:r>
        <w:rPr>
          <w:b/>
          <w:color w:val="2E75B6"/>
          <w:sz w:val="22"/>
        </w:rPr>
        <w:t>3.5 Monobrand CCR Postpaid Eligible Products</w:t>
      </w:r>
    </w:p>
    <w:tbl>
      <w:tblPr>
        <w:tblW w:type="auto" w:w="0"/>
        <w:jc w:val="left"/>
        <w:tblLook w:firstColumn="1" w:firstRow="1" w:lastColumn="0" w:lastRow="0" w:noHBand="0" w:noVBand="1" w:val="04A0"/>
        <w:tblW w:w="8640" w:type="dxa"/>
      </w:tblPr>
      <w:tblGrid>
        <w:gridCol w:w="1806"/>
        <w:gridCol w:w="1806"/>
        <w:gridCol w:w="1806"/>
        <w:gridCol w:w="1806"/>
        <w:gridCol w:w="1806"/>
      </w:tblGrid>
      <w:tr>
        <w:tc>
          <w:tcPr>
            <w:tcW w:type="dxa" w:w="1806"/>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1600" w:type="dxa"/>
          </w:tcPr>
          <w:p>
            <w:pPr>
              <w:jc w:val="center"/>
              <w:spacing w:before="0" w:after="0"/>
            </w:pPr>
            <w:r>
              <w:rPr>
                <w:b/>
                <w:i w:val="0"/>
                <w:color w:val="FFFFFF"/>
                <w:sz w:val="17"/>
              </w:rPr>
              <w:t>Type</w:t>
            </w:r>
          </w:p>
        </w:tc>
        <w:tc>
          <w:tcPr>
            <w:tcW w:type="dxa" w:w="1806"/>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2700" w:type="dxa"/>
          </w:tcPr>
          <w:p>
            <w:pPr>
              <w:jc w:val="center"/>
              <w:spacing w:before="0" w:after="0"/>
            </w:pPr>
            <w:r>
              <w:rPr>
                <w:b/>
                <w:i w:val="0"/>
                <w:color w:val="FFFFFF"/>
                <w:sz w:val="17"/>
              </w:rPr>
              <w:t>EQUIPID</w:t>
            </w:r>
          </w:p>
        </w:tc>
        <w:tc>
          <w:tcPr>
            <w:tcW w:type="dxa" w:w="1806"/>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800" w:type="dxa"/>
          </w:tcPr>
          <w:p>
            <w:pPr>
              <w:jc w:val="center"/>
              <w:spacing w:before="0" w:after="0"/>
            </w:pPr>
            <w:r>
              <w:rPr>
                <w:b/>
                <w:i w:val="0"/>
                <w:color w:val="FFFFFF"/>
                <w:sz w:val="17"/>
              </w:rPr>
              <w:t>Segment</w:t>
            </w:r>
          </w:p>
        </w:tc>
        <w:tc>
          <w:tcPr>
            <w:tcW w:type="dxa" w:w="1806"/>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1200" w:type="dxa"/>
          </w:tcPr>
          <w:p>
            <w:pPr>
              <w:jc w:val="center"/>
              <w:spacing w:before="0" w:after="0"/>
            </w:pPr>
            <w:r>
              <w:rPr>
                <w:b/>
                <w:i w:val="0"/>
                <w:color w:val="FFFFFF"/>
                <w:sz w:val="17"/>
              </w:rPr>
              <w:t>Service Type</w:t>
            </w:r>
          </w:p>
        </w:tc>
        <w:tc>
          <w:tcPr>
            <w:tcW w:type="dxa" w:w="1806"/>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2340" w:type="dxa"/>
          </w:tcPr>
          <w:p>
            <w:pPr>
              <w:jc w:val="center"/>
              <w:spacing w:before="0" w:after="0"/>
            </w:pPr>
            <w:r>
              <w:rPr>
                <w:b/>
                <w:i w:val="0"/>
                <w:color w:val="FFFFFF"/>
                <w:sz w:val="17"/>
              </w:rPr>
              <w:t>Min. Security Deposit (BDT)</w:t>
            </w:r>
          </w:p>
        </w:tc>
      </w:tr>
      <w:tr>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600" w:type="dxa"/>
          </w:tcPr>
          <w:p>
            <w:pPr>
              <w:jc w:val="left"/>
              <w:spacing w:before="0" w:after="0"/>
            </w:pPr>
            <w:r>
              <w:rPr>
                <w:b w:val="0"/>
                <w:i w:val="0"/>
                <w:sz w:val="17"/>
              </w:rPr>
              <w:t>Base Package (Activation)</w:t>
            </w:r>
          </w:p>
        </w:tc>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700" w:type="dxa"/>
          </w:tcPr>
          <w:p>
            <w:pPr>
              <w:jc w:val="left"/>
              <w:spacing w:before="0" w:after="0"/>
            </w:pPr>
            <w:r>
              <w:rPr>
                <w:b w:val="0"/>
                <w:i w:val="0"/>
                <w:sz w:val="17"/>
              </w:rPr>
              <w:t>Retail2Postpaid / Banglalink Select Postpaid (M2MADV) + (blkSelPostpaid)</w:t>
            </w:r>
          </w:p>
        </w:tc>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800" w:type="dxa"/>
          </w:tcPr>
          <w:p>
            <w:pPr>
              <w:jc w:val="left"/>
              <w:spacing w:before="0" w:after="0"/>
            </w:pPr>
            <w:r>
              <w:rPr>
                <w:b w:val="0"/>
                <w:i w:val="0"/>
                <w:sz w:val="17"/>
              </w:rPr>
              <w:t>B2C</w:t>
            </w:r>
          </w:p>
        </w:tc>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200" w:type="dxa"/>
          </w:tcPr>
          <w:p>
            <w:pPr>
              <w:jc w:val="left"/>
              <w:spacing w:before="0" w:after="0"/>
            </w:pPr>
            <w:r>
              <w:rPr>
                <w:b w:val="0"/>
                <w:i w:val="0"/>
                <w:sz w:val="17"/>
              </w:rPr>
              <w:t>Base package</w:t>
            </w:r>
          </w:p>
        </w:tc>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340" w:type="dxa"/>
          </w:tcPr>
          <w:p>
            <w:pPr>
              <w:jc w:val="left"/>
              <w:spacing w:before="0" w:after="0"/>
            </w:pPr>
            <w:r>
              <w:rPr>
                <w:b w:val="0"/>
                <w:i w:val="0"/>
                <w:sz w:val="17"/>
              </w:rPr>
              <w:t>—</w:t>
            </w:r>
          </w:p>
        </w:tc>
      </w:tr>
      <w:tr>
        <w:tc>
          <w:tcPr>
            <w:tcW w:type="dxa" w:w="180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600" w:type="dxa"/>
          </w:tcPr>
          <w:p>
            <w:pPr>
              <w:jc w:val="left"/>
              <w:spacing w:before="0" w:after="0"/>
            </w:pPr>
            <w:r>
              <w:rPr>
                <w:b w:val="0"/>
                <w:i w:val="0"/>
                <w:sz w:val="17"/>
              </w:rPr>
              <w:t>Non-renewal bundle</w:t>
            </w:r>
          </w:p>
        </w:tc>
        <w:tc>
          <w:tcPr>
            <w:tcW w:type="dxa" w:w="180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700" w:type="dxa"/>
          </w:tcPr>
          <w:p>
            <w:pPr>
              <w:jc w:val="left"/>
              <w:spacing w:before="0" w:after="0"/>
            </w:pPr>
            <w:r>
              <w:rPr>
                <w:b w:val="0"/>
                <w:i w:val="0"/>
                <w:sz w:val="17"/>
              </w:rPr>
              <w:t>TK214USSD30DPOSTOG</w:t>
            </w:r>
          </w:p>
        </w:tc>
        <w:tc>
          <w:tcPr>
            <w:tcW w:type="dxa" w:w="180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800" w:type="dxa"/>
          </w:tcPr>
          <w:p>
            <w:pPr>
              <w:jc w:val="left"/>
              <w:spacing w:before="0" w:after="0"/>
            </w:pPr>
            <w:r>
              <w:rPr>
                <w:b w:val="0"/>
                <w:i w:val="0"/>
                <w:sz w:val="17"/>
              </w:rPr>
              <w:t>B2C</w:t>
            </w:r>
          </w:p>
        </w:tc>
        <w:tc>
          <w:tcPr>
            <w:tcW w:type="dxa" w:w="180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200" w:type="dxa"/>
          </w:tcPr>
          <w:p>
            <w:pPr>
              <w:jc w:val="left"/>
              <w:spacing w:before="0" w:after="0"/>
            </w:pPr>
            <w:r>
              <w:rPr>
                <w:b w:val="0"/>
                <w:i w:val="0"/>
                <w:sz w:val="17"/>
              </w:rPr>
              <w:t>Bundle</w:t>
            </w:r>
          </w:p>
        </w:tc>
        <w:tc>
          <w:tcPr>
            <w:tcW w:type="dxa" w:w="180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340" w:type="dxa"/>
          </w:tcPr>
          <w:p>
            <w:pPr>
              <w:jc w:val="left"/>
              <w:spacing w:before="0" w:after="0"/>
            </w:pPr>
            <w:r>
              <w:rPr>
                <w:b w:val="0"/>
                <w:i w:val="0"/>
                <w:sz w:val="17"/>
              </w:rPr>
              <w:t>Not Applicable</w:t>
            </w:r>
          </w:p>
        </w:tc>
      </w:tr>
      <w:tr>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600" w:type="dxa"/>
          </w:tcPr>
          <w:p>
            <w:pPr>
              <w:jc w:val="left"/>
              <w:spacing w:before="0" w:after="0"/>
            </w:pPr>
            <w:r>
              <w:rPr>
                <w:b w:val="0"/>
                <w:i w:val="0"/>
                <w:sz w:val="17"/>
              </w:rPr>
              <w:t>Non-Bundle/Non-Renewal</w:t>
            </w:r>
          </w:p>
        </w:tc>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700" w:type="dxa"/>
          </w:tcPr>
          <w:p>
            <w:pPr>
              <w:jc w:val="left"/>
              <w:spacing w:before="0" w:after="0"/>
            </w:pPr>
            <w:r>
              <w:rPr>
                <w:b w:val="0"/>
                <w:i w:val="0"/>
                <w:sz w:val="17"/>
              </w:rPr>
              <w:t>TK200NB30DPOSTOG</w:t>
            </w:r>
          </w:p>
        </w:tc>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800" w:type="dxa"/>
          </w:tcPr>
          <w:p>
            <w:pPr>
              <w:jc w:val="left"/>
              <w:spacing w:before="0" w:after="0"/>
            </w:pPr>
            <w:r>
              <w:rPr>
                <w:b w:val="0"/>
                <w:i w:val="0"/>
                <w:sz w:val="17"/>
              </w:rPr>
              <w:t>B2C</w:t>
            </w:r>
          </w:p>
        </w:tc>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200" w:type="dxa"/>
          </w:tcPr>
          <w:p>
            <w:pPr>
              <w:jc w:val="left"/>
              <w:spacing w:before="0" w:after="0"/>
            </w:pPr>
            <w:r>
              <w:rPr>
                <w:b w:val="0"/>
                <w:i w:val="0"/>
                <w:sz w:val="17"/>
              </w:rPr>
              <w:t>NON-BUNDLE</w:t>
            </w:r>
          </w:p>
        </w:tc>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340" w:type="dxa"/>
          </w:tcPr>
          <w:p>
            <w:pPr>
              <w:jc w:val="left"/>
              <w:spacing w:before="0" w:after="0"/>
            </w:pPr>
            <w:r>
              <w:rPr>
                <w:b w:val="0"/>
                <w:i w:val="0"/>
                <w:sz w:val="17"/>
              </w:rPr>
              <w:t>170</w:t>
            </w:r>
          </w:p>
        </w:tc>
      </w:tr>
      <w:tr>
        <w:tc>
          <w:tcPr>
            <w:tcW w:type="dxa" w:w="180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600" w:type="dxa"/>
          </w:tcPr>
          <w:p>
            <w:pPr>
              <w:jc w:val="left"/>
              <w:spacing w:before="0" w:after="0"/>
            </w:pPr>
            <w:r>
              <w:rPr>
                <w:b w:val="0"/>
                <w:i w:val="0"/>
                <w:sz w:val="17"/>
              </w:rPr>
              <w:t>Non-renewal bundle</w:t>
            </w:r>
          </w:p>
        </w:tc>
        <w:tc>
          <w:tcPr>
            <w:tcW w:type="dxa" w:w="180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700" w:type="dxa"/>
          </w:tcPr>
          <w:p>
            <w:pPr>
              <w:jc w:val="left"/>
              <w:spacing w:before="0" w:after="0"/>
            </w:pPr>
            <w:r>
              <w:rPr>
                <w:b w:val="0"/>
                <w:i w:val="0"/>
                <w:sz w:val="17"/>
              </w:rPr>
              <w:t>TK794POSTGAUMIXBDNLOG</w:t>
            </w:r>
          </w:p>
        </w:tc>
        <w:tc>
          <w:tcPr>
            <w:tcW w:type="dxa" w:w="180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800" w:type="dxa"/>
          </w:tcPr>
          <w:p>
            <w:pPr>
              <w:jc w:val="left"/>
              <w:spacing w:before="0" w:after="0"/>
            </w:pPr>
            <w:r>
              <w:rPr>
                <w:b w:val="0"/>
                <w:i w:val="0"/>
                <w:sz w:val="17"/>
              </w:rPr>
              <w:t>B2C</w:t>
            </w:r>
          </w:p>
        </w:tc>
        <w:tc>
          <w:tcPr>
            <w:tcW w:type="dxa" w:w="180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200" w:type="dxa"/>
          </w:tcPr>
          <w:p>
            <w:pPr>
              <w:jc w:val="left"/>
              <w:spacing w:before="0" w:after="0"/>
            </w:pPr>
            <w:r>
              <w:rPr>
                <w:b w:val="0"/>
                <w:i w:val="0"/>
                <w:sz w:val="17"/>
              </w:rPr>
              <w:t>Bundle</w:t>
            </w:r>
          </w:p>
        </w:tc>
        <w:tc>
          <w:tcPr>
            <w:tcW w:type="dxa" w:w="180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340" w:type="dxa"/>
          </w:tcPr>
          <w:p>
            <w:pPr>
              <w:jc w:val="left"/>
              <w:spacing w:before="0" w:after="0"/>
            </w:pPr>
            <w:r>
              <w:rPr>
                <w:b w:val="0"/>
                <w:i w:val="0"/>
                <w:sz w:val="17"/>
              </w:rPr>
              <w:t>750</w:t>
            </w:r>
          </w:p>
        </w:tc>
      </w:tr>
      <w:tr>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600" w:type="dxa"/>
          </w:tcPr>
          <w:p>
            <w:pPr>
              <w:jc w:val="left"/>
              <w:spacing w:before="0" w:after="0"/>
            </w:pPr>
            <w:r>
              <w:rPr>
                <w:b w:val="0"/>
                <w:i w:val="0"/>
                <w:sz w:val="17"/>
              </w:rPr>
              <w:t>Non-renewal bundle</w:t>
            </w:r>
          </w:p>
        </w:tc>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700" w:type="dxa"/>
          </w:tcPr>
          <w:p>
            <w:pPr>
              <w:jc w:val="left"/>
              <w:spacing w:before="0" w:after="0"/>
            </w:pPr>
            <w:r>
              <w:rPr>
                <w:b w:val="0"/>
                <w:i w:val="0"/>
                <w:sz w:val="17"/>
              </w:rPr>
              <w:t>TK394POSTGAUMIXBDNLOG</w:t>
            </w:r>
          </w:p>
        </w:tc>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800" w:type="dxa"/>
          </w:tcPr>
          <w:p>
            <w:pPr>
              <w:jc w:val="left"/>
              <w:spacing w:before="0" w:after="0"/>
            </w:pPr>
            <w:r>
              <w:rPr>
                <w:b w:val="0"/>
                <w:i w:val="0"/>
                <w:sz w:val="17"/>
              </w:rPr>
              <w:t>B2C</w:t>
            </w:r>
          </w:p>
        </w:tc>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200" w:type="dxa"/>
          </w:tcPr>
          <w:p>
            <w:pPr>
              <w:jc w:val="left"/>
              <w:spacing w:before="0" w:after="0"/>
            </w:pPr>
            <w:r>
              <w:rPr>
                <w:b w:val="0"/>
                <w:i w:val="0"/>
                <w:sz w:val="17"/>
              </w:rPr>
              <w:t>Bundle</w:t>
            </w:r>
          </w:p>
        </w:tc>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340" w:type="dxa"/>
          </w:tcPr>
          <w:p>
            <w:pPr>
              <w:jc w:val="left"/>
              <w:spacing w:before="0" w:after="0"/>
            </w:pPr>
            <w:r>
              <w:rPr>
                <w:b w:val="0"/>
                <w:i w:val="0"/>
                <w:sz w:val="17"/>
              </w:rPr>
              <w:t>350</w:t>
            </w:r>
          </w:p>
        </w:tc>
      </w:tr>
      <w:tr>
        <w:tc>
          <w:tcPr>
            <w:tcW w:type="dxa" w:w="180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600" w:type="dxa"/>
          </w:tcPr>
          <w:p>
            <w:pPr>
              <w:jc w:val="left"/>
              <w:spacing w:before="0" w:after="0"/>
            </w:pPr>
            <w:r>
              <w:rPr>
                <w:b w:val="0"/>
                <w:i w:val="0"/>
                <w:sz w:val="17"/>
              </w:rPr>
              <w:t>Non-renewal bundle</w:t>
            </w:r>
          </w:p>
        </w:tc>
        <w:tc>
          <w:tcPr>
            <w:tcW w:type="dxa" w:w="180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700" w:type="dxa"/>
          </w:tcPr>
          <w:p>
            <w:pPr>
              <w:jc w:val="left"/>
              <w:spacing w:before="0" w:after="0"/>
            </w:pPr>
            <w:r>
              <w:rPr>
                <w:b w:val="0"/>
                <w:i w:val="0"/>
                <w:sz w:val="17"/>
              </w:rPr>
              <w:t>TK494POSTGAUSSDMIXOG</w:t>
            </w:r>
          </w:p>
        </w:tc>
        <w:tc>
          <w:tcPr>
            <w:tcW w:type="dxa" w:w="180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800" w:type="dxa"/>
          </w:tcPr>
          <w:p>
            <w:pPr>
              <w:jc w:val="left"/>
              <w:spacing w:before="0" w:after="0"/>
            </w:pPr>
            <w:r>
              <w:rPr>
                <w:b w:val="0"/>
                <w:i w:val="0"/>
                <w:sz w:val="17"/>
              </w:rPr>
              <w:t>B2C</w:t>
            </w:r>
          </w:p>
        </w:tc>
        <w:tc>
          <w:tcPr>
            <w:tcW w:type="dxa" w:w="180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200" w:type="dxa"/>
          </w:tcPr>
          <w:p>
            <w:pPr>
              <w:jc w:val="left"/>
              <w:spacing w:before="0" w:after="0"/>
            </w:pPr>
            <w:r>
              <w:rPr>
                <w:b w:val="0"/>
                <w:i w:val="0"/>
                <w:sz w:val="17"/>
              </w:rPr>
              <w:t>Bundle</w:t>
            </w:r>
          </w:p>
        </w:tc>
        <w:tc>
          <w:tcPr>
            <w:tcW w:type="dxa" w:w="180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340" w:type="dxa"/>
          </w:tcPr>
          <w:p>
            <w:pPr>
              <w:jc w:val="left"/>
              <w:spacing w:before="0" w:after="0"/>
            </w:pPr>
            <w:r>
              <w:rPr>
                <w:b w:val="0"/>
                <w:i w:val="0"/>
                <w:sz w:val="17"/>
              </w:rPr>
              <w:t>450</w:t>
            </w:r>
          </w:p>
        </w:tc>
      </w:tr>
      <w:tr>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600" w:type="dxa"/>
          </w:tcPr>
          <w:p>
            <w:pPr>
              <w:jc w:val="left"/>
              <w:spacing w:before="0" w:after="0"/>
            </w:pPr>
            <w:r>
              <w:rPr>
                <w:b w:val="0"/>
                <w:i w:val="0"/>
                <w:sz w:val="17"/>
              </w:rPr>
              <w:t>Non-renewal bundle</w:t>
            </w:r>
          </w:p>
        </w:tc>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700" w:type="dxa"/>
          </w:tcPr>
          <w:p>
            <w:pPr>
              <w:jc w:val="left"/>
              <w:spacing w:before="0" w:after="0"/>
            </w:pPr>
            <w:r>
              <w:rPr>
                <w:b w:val="0"/>
                <w:i w:val="0"/>
                <w:sz w:val="17"/>
              </w:rPr>
              <w:t>TK1143CGAMXBOGPOST</w:t>
            </w:r>
          </w:p>
        </w:tc>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800" w:type="dxa"/>
          </w:tcPr>
          <w:p>
            <w:pPr>
              <w:jc w:val="left"/>
              <w:spacing w:before="0" w:after="0"/>
            </w:pPr>
            <w:r>
              <w:rPr>
                <w:b w:val="0"/>
                <w:i w:val="0"/>
                <w:sz w:val="17"/>
              </w:rPr>
              <w:t>B2C</w:t>
            </w:r>
          </w:p>
        </w:tc>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200" w:type="dxa"/>
          </w:tcPr>
          <w:p>
            <w:pPr>
              <w:jc w:val="left"/>
              <w:spacing w:before="0" w:after="0"/>
            </w:pPr>
            <w:r>
              <w:rPr>
                <w:b w:val="0"/>
                <w:i w:val="0"/>
                <w:sz w:val="17"/>
              </w:rPr>
              <w:t>Bundle</w:t>
            </w:r>
          </w:p>
        </w:tc>
        <w:tc>
          <w:tcPr>
            <w:tcW w:type="dxa" w:w="1806"/>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340" w:type="dxa"/>
          </w:tcPr>
          <w:p>
            <w:pPr>
              <w:jc w:val="left"/>
              <w:spacing w:before="0" w:after="0"/>
            </w:pPr>
            <w:r>
              <w:rPr>
                <w:b w:val="0"/>
                <w:i w:val="0"/>
                <w:sz w:val="17"/>
              </w:rPr>
              <w:t>1,150</w:t>
            </w:r>
          </w:p>
        </w:tc>
      </w:tr>
      <w:tr>
        <w:tc>
          <w:tcPr>
            <w:tcW w:type="dxa" w:w="180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600" w:type="dxa"/>
          </w:tcPr>
          <w:p>
            <w:pPr>
              <w:jc w:val="left"/>
              <w:spacing w:before="0" w:after="0"/>
            </w:pPr>
            <w:r>
              <w:rPr>
                <w:b w:val="0"/>
                <w:i w:val="0"/>
                <w:sz w:val="17"/>
              </w:rPr>
              <w:t>Non-renewal bundle</w:t>
            </w:r>
          </w:p>
        </w:tc>
        <w:tc>
          <w:tcPr>
            <w:tcW w:type="dxa" w:w="180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700" w:type="dxa"/>
          </w:tcPr>
          <w:p>
            <w:pPr>
              <w:jc w:val="left"/>
              <w:spacing w:before="0" w:after="0"/>
            </w:pPr>
            <w:r>
              <w:rPr>
                <w:b w:val="0"/>
                <w:i w:val="0"/>
                <w:sz w:val="17"/>
              </w:rPr>
              <w:t>TK2343CGAMXBOGPOST</w:t>
            </w:r>
          </w:p>
        </w:tc>
        <w:tc>
          <w:tcPr>
            <w:tcW w:type="dxa" w:w="180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800" w:type="dxa"/>
          </w:tcPr>
          <w:p>
            <w:pPr>
              <w:jc w:val="left"/>
              <w:spacing w:before="0" w:after="0"/>
            </w:pPr>
            <w:r>
              <w:rPr>
                <w:b w:val="0"/>
                <w:i w:val="0"/>
                <w:sz w:val="17"/>
              </w:rPr>
              <w:t>B2C</w:t>
            </w:r>
          </w:p>
        </w:tc>
        <w:tc>
          <w:tcPr>
            <w:tcW w:type="dxa" w:w="180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200" w:type="dxa"/>
          </w:tcPr>
          <w:p>
            <w:pPr>
              <w:jc w:val="left"/>
              <w:spacing w:before="0" w:after="0"/>
            </w:pPr>
            <w:r>
              <w:rPr>
                <w:b w:val="0"/>
                <w:i w:val="0"/>
                <w:sz w:val="17"/>
              </w:rPr>
              <w:t>Bundle</w:t>
            </w:r>
          </w:p>
        </w:tc>
        <w:tc>
          <w:tcPr>
            <w:tcW w:type="dxa" w:w="180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340" w:type="dxa"/>
          </w:tcPr>
          <w:p>
            <w:pPr>
              <w:jc w:val="left"/>
              <w:spacing w:before="0" w:after="0"/>
            </w:pPr>
            <w:r>
              <w:rPr>
                <w:b w:val="0"/>
                <w:i w:val="0"/>
                <w:sz w:val="17"/>
              </w:rPr>
              <w:t>2,350</w:t>
            </w:r>
          </w:p>
        </w:tc>
      </w:tr>
    </w:tbl>
    <w:p/>
    <w:tbl>
      <w:tblPr>
        <w:tblW w:type="auto" w:w="0"/>
        <w:jc w:val="left"/>
        <w:tblLook w:firstColumn="1" w:firstRow="1" w:lastColumn="0" w:lastRow="0" w:noHBand="0" w:noVBand="1" w:val="04A0"/>
        <w:tblW w:w="8640" w:type="dxa"/>
      </w:tblPr>
      <w:tblGrid>
        <w:gridCol w:w="9029"/>
      </w:tblGrid>
      <w:tr>
        <w:tc>
          <w:tcPr>
            <w:tcW w:type="dxa" w:w="9029"/>
            <w:shd w:val="clear" w:color="auto" w:fill="E2EFDA"/>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640" w:type="dxa"/>
          </w:tcPr>
          <w:p>
            <w:pPr>
              <w:jc w:val="left"/>
              <w:spacing w:before="0" w:after="0"/>
            </w:pPr>
            <w:r>
              <w:rPr>
                <w:b w:val="0"/>
                <w:i/>
                <w:color w:val="595959"/>
                <w:sz w:val="18"/>
              </w:rPr>
              <w:t>NOTE: TK214USSD30DPOSTOG appears in the Monobrand CCR SRF (Feb26) with 'Not Applicable' for security deposit — this pack is present for Monobrand even though it was discontinued for BDO commissions from May25. The Monobrand campaign also lists TK300BORGAPOSTOG as a separate source in DWH.</w:t>
            </w:r>
          </w:p>
        </w:tc>
      </w:tr>
    </w:tbl>
    <w:p/>
    <w:p>
      <w:pPr>
        <w:spacing w:before="160" w:after="80"/>
      </w:pPr>
      <w:r>
        <w:rPr>
          <w:b/>
          <w:color w:val="2E75B6"/>
          <w:sz w:val="22"/>
        </w:rPr>
        <w:t>3.6 General Conditions Table</w:t>
      </w:r>
    </w:p>
    <w:tbl>
      <w:tblPr>
        <w:tblW w:type="auto" w:w="0"/>
        <w:jc w:val="left"/>
        <w:tblLook w:firstColumn="1" w:firstRow="1" w:lastColumn="0" w:lastRow="0" w:noHBand="0" w:noVBand="1" w:val="04A0"/>
        <w:tblW w:w="8640" w:type="dxa"/>
      </w:tblPr>
      <w:tblGrid>
        <w:gridCol w:w="3010"/>
        <w:gridCol w:w="3010"/>
        <w:gridCol w:w="3010"/>
      </w:tblGrid>
      <w:tr>
        <w:tc>
          <w:tcPr>
            <w:tcW w:type="dxa" w:w="3010"/>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20" w:type="dxa"/>
              <w:right w:w="120" w:type="dxa"/>
            </w:tcMar>
            <w:tcW w:w="2000" w:type="dxa"/>
          </w:tcPr>
          <w:p>
            <w:pPr>
              <w:jc w:val="left"/>
              <w:spacing w:before="0" w:after="0"/>
            </w:pPr>
            <w:r>
              <w:rPr>
                <w:b/>
                <w:i w:val="0"/>
                <w:color w:val="FFFFFF"/>
                <w:sz w:val="18"/>
              </w:rPr>
              <w:t>Factor</w:t>
            </w:r>
          </w:p>
        </w:tc>
        <w:tc>
          <w:tcPr>
            <w:tcW w:type="dxa" w:w="3010"/>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20" w:type="dxa"/>
              <w:right w:w="120" w:type="dxa"/>
            </w:tcMar>
            <w:tcW w:w="2200" w:type="dxa"/>
          </w:tcPr>
          <w:p>
            <w:pPr>
              <w:jc w:val="left"/>
              <w:spacing w:before="0" w:after="0"/>
            </w:pPr>
            <w:r>
              <w:rPr>
                <w:b/>
                <w:i w:val="0"/>
                <w:color w:val="FFFFFF"/>
                <w:sz w:val="18"/>
              </w:rPr>
              <w:t>Consideration</w:t>
            </w:r>
          </w:p>
        </w:tc>
        <w:tc>
          <w:tcPr>
            <w:tcW w:type="dxa" w:w="3010"/>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20" w:type="dxa"/>
              <w:right w:w="120" w:type="dxa"/>
            </w:tcMar>
            <w:tcW w:w="4440" w:type="dxa"/>
          </w:tcPr>
          <w:p>
            <w:pPr>
              <w:jc w:val="left"/>
              <w:spacing w:before="0" w:after="0"/>
            </w:pPr>
            <w:r>
              <w:rPr>
                <w:b/>
                <w:i w:val="0"/>
                <w:color w:val="FFFFFF"/>
                <w:sz w:val="18"/>
              </w:rPr>
              <w:t>Condition Detail</w:t>
            </w:r>
          </w:p>
        </w:tc>
      </w:tr>
      <w:tr>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000" w:type="dxa"/>
          </w:tcPr>
          <w:p>
            <w:pPr>
              <w:jc w:val="left"/>
              <w:spacing w:before="0" w:after="0"/>
            </w:pPr>
            <w:r>
              <w:rPr>
                <w:b w:val="0"/>
                <w:i w:val="0"/>
                <w:sz w:val="18"/>
              </w:rPr>
              <w:t>Activation</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200" w:type="dxa"/>
          </w:tcPr>
          <w:p>
            <w:pPr>
              <w:jc w:val="left"/>
              <w:spacing w:before="0" w:after="0"/>
            </w:pPr>
            <w:r>
              <w:rPr>
                <w:b w:val="0"/>
                <w:i w:val="0"/>
                <w:sz w:val="18"/>
              </w:rPr>
              <w:t>FCD (First Call Date)</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440" w:type="dxa"/>
          </w:tcPr>
          <w:p>
            <w:pPr>
              <w:jc w:val="left"/>
              <w:spacing w:before="0" w:after="0"/>
            </w:pPr>
            <w:r>
              <w:rPr>
                <w:b w:val="0"/>
                <w:i w:val="0"/>
                <w:sz w:val="18"/>
              </w:rPr>
              <w:t>Activation during the calendar month; Prepaid and Postpaid both eligible</w:t>
            </w:r>
          </w:p>
        </w:tc>
      </w:tr>
      <w:tr>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000" w:type="dxa"/>
          </w:tcPr>
          <w:p>
            <w:pPr>
              <w:jc w:val="left"/>
              <w:spacing w:before="0" w:after="0"/>
            </w:pPr>
            <w:r>
              <w:rPr>
                <w:b w:val="0"/>
                <w:i w:val="0"/>
                <w:sz w:val="18"/>
              </w:rPr>
              <w:t>SAF</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200" w:type="dxa"/>
          </w:tcPr>
          <w:p>
            <w:pPr>
              <w:jc w:val="left"/>
              <w:spacing w:before="0" w:after="0"/>
            </w:pPr>
            <w:r>
              <w:rPr>
                <w:b w:val="0"/>
                <w:i w:val="0"/>
                <w:sz w:val="18"/>
              </w:rPr>
              <w:t>Vetting Date</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440" w:type="dxa"/>
          </w:tcPr>
          <w:p>
            <w:pPr>
              <w:jc w:val="left"/>
              <w:spacing w:before="0" w:after="0"/>
            </w:pPr>
            <w:r>
              <w:rPr>
                <w:b w:val="0"/>
                <w:i w:val="0"/>
                <w:sz w:val="18"/>
              </w:rPr>
              <w:t>Standard vetting condition</w:t>
            </w:r>
          </w:p>
        </w:tc>
      </w:tr>
      <w:tr>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000" w:type="dxa"/>
          </w:tcPr>
          <w:p>
            <w:pPr>
              <w:jc w:val="left"/>
              <w:spacing w:before="0" w:after="0"/>
            </w:pPr>
            <w:r>
              <w:rPr>
                <w:b w:val="0"/>
                <w:i w:val="0"/>
                <w:sz w:val="18"/>
              </w:rPr>
              <w:t>Lifting/Issue</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200" w:type="dxa"/>
          </w:tcPr>
          <w:p>
            <w:pPr>
              <w:jc w:val="left"/>
              <w:spacing w:before="0" w:after="0"/>
            </w:pPr>
            <w:r>
              <w:rPr>
                <w:b w:val="0"/>
                <w:i w:val="0"/>
                <w:sz w:val="18"/>
              </w:rPr>
              <w:t>N/A</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440" w:type="dxa"/>
          </w:tcPr>
          <w:p>
            <w:pPr>
              <w:jc w:val="left"/>
              <w:spacing w:before="0" w:after="0"/>
            </w:pPr>
            <w:r>
              <w:rPr>
                <w:b w:val="0"/>
                <w:i w:val="0"/>
                <w:sz w:val="18"/>
              </w:rPr>
              <w:t>N/A</w:t>
            </w:r>
          </w:p>
        </w:tc>
      </w:tr>
      <w:tr>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000" w:type="dxa"/>
          </w:tcPr>
          <w:p>
            <w:pPr>
              <w:jc w:val="left"/>
              <w:spacing w:before="0" w:after="0"/>
            </w:pPr>
            <w:r>
              <w:rPr>
                <w:b w:val="0"/>
                <w:i w:val="0"/>
                <w:sz w:val="18"/>
              </w:rPr>
              <w:t>Recharge</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200" w:type="dxa"/>
          </w:tcPr>
          <w:p>
            <w:pPr>
              <w:jc w:val="left"/>
              <w:spacing w:before="0" w:after="0"/>
            </w:pPr>
            <w:r>
              <w:rPr>
                <w:b w:val="0"/>
                <w:i w:val="0"/>
                <w:sz w:val="18"/>
              </w:rPr>
              <w:t>All Valid Recharges</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440" w:type="dxa"/>
          </w:tcPr>
          <w:p>
            <w:pPr>
              <w:jc w:val="left"/>
              <w:spacing w:before="0" w:after="0"/>
            </w:pPr>
            <w:r>
              <w:rPr>
                <w:b w:val="0"/>
                <w:i w:val="0"/>
                <w:sz w:val="18"/>
              </w:rPr>
              <w:t>1st recharge (Prepaid) or 2nd recharge/bundle (Postpaid) within 45 days</w:t>
            </w:r>
          </w:p>
        </w:tc>
      </w:tr>
      <w:tr>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000" w:type="dxa"/>
          </w:tcPr>
          <w:p>
            <w:pPr>
              <w:jc w:val="left"/>
              <w:spacing w:before="0" w:after="0"/>
            </w:pPr>
            <w:r>
              <w:rPr>
                <w:b w:val="0"/>
                <w:i w:val="0"/>
                <w:sz w:val="18"/>
              </w:rPr>
              <w:t>Product</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200" w:type="dxa"/>
          </w:tcPr>
          <w:p>
            <w:pPr>
              <w:jc w:val="left"/>
              <w:spacing w:before="0" w:after="0"/>
            </w:pPr>
            <w:r>
              <w:rPr>
                <w:b w:val="0"/>
                <w:i w:val="0"/>
                <w:sz w:val="18"/>
              </w:rPr>
              <w:t>BL Prepaid, Postpaid</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440" w:type="dxa"/>
          </w:tcPr>
          <w:p>
            <w:pPr>
              <w:jc w:val="left"/>
              <w:spacing w:before="0" w:after="0"/>
            </w:pPr>
            <w:r>
              <w:rPr>
                <w:b w:val="0"/>
                <w:i w:val="0"/>
                <w:sz w:val="18"/>
              </w:rPr>
              <w:t>Both product types eligible; see product table above</w:t>
            </w:r>
          </w:p>
        </w:tc>
      </w:tr>
    </w:tbl>
    <w:p/>
    <w:p>
      <w:pPr>
        <w:spacing w:before="160" w:after="80"/>
      </w:pPr>
      <w:r>
        <w:rPr>
          <w:b/>
          <w:color w:val="2E75B6"/>
          <w:sz w:val="22"/>
        </w:rPr>
        <w:t>3.7 Key Differences: Monobrand CCR vs. BDO Commission Types</w:t>
      </w:r>
    </w:p>
    <w:tbl>
      <w:tblPr>
        <w:tblW w:type="auto" w:w="0"/>
        <w:jc w:val="left"/>
        <w:tblLook w:firstColumn="1" w:firstRow="1" w:lastColumn="0" w:lastRow="0" w:noHBand="0" w:noVBand="1" w:val="04A0"/>
        <w:tblW w:w="8640" w:type="dxa"/>
      </w:tblPr>
      <w:tblGrid>
        <w:gridCol w:w="3010"/>
        <w:gridCol w:w="3010"/>
        <w:gridCol w:w="3010"/>
      </w:tblGrid>
      <w:tr>
        <w:tc>
          <w:tcPr>
            <w:tcW w:type="dxa" w:w="3010"/>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2000" w:type="dxa"/>
          </w:tcPr>
          <w:p>
            <w:pPr>
              <w:jc w:val="center"/>
              <w:spacing w:before="0" w:after="0"/>
            </w:pPr>
            <w:r>
              <w:rPr>
                <w:b/>
                <w:i w:val="0"/>
                <w:color w:val="FFFFFF"/>
                <w:sz w:val="17"/>
              </w:rPr>
              <w:t>Attribute</w:t>
            </w:r>
          </w:p>
        </w:tc>
        <w:tc>
          <w:tcPr>
            <w:tcW w:type="dxa" w:w="3010"/>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3320" w:type="dxa"/>
          </w:tcPr>
          <w:p>
            <w:pPr>
              <w:jc w:val="center"/>
              <w:spacing w:before="0" w:after="0"/>
            </w:pPr>
            <w:r>
              <w:rPr>
                <w:b/>
                <w:i w:val="0"/>
                <w:color w:val="FFFFFF"/>
                <w:sz w:val="17"/>
              </w:rPr>
              <w:t>BDO Commissions (Sections 1 &amp; 2)</w:t>
            </w:r>
          </w:p>
        </w:tc>
        <w:tc>
          <w:tcPr>
            <w:tcW w:type="dxa" w:w="3010"/>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3320" w:type="dxa"/>
          </w:tcPr>
          <w:p>
            <w:pPr>
              <w:jc w:val="center"/>
              <w:spacing w:before="0" w:after="0"/>
            </w:pPr>
            <w:r>
              <w:rPr>
                <w:b/>
                <w:i w:val="0"/>
                <w:color w:val="FFFFFF"/>
                <w:sz w:val="17"/>
              </w:rPr>
              <w:t>Monobrand CCR (Section 3)</w:t>
            </w:r>
          </w:p>
        </w:tc>
      </w:tr>
      <w:tr>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Recipient</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320" w:type="dxa"/>
          </w:tcPr>
          <w:p>
            <w:pPr>
              <w:jc w:val="left"/>
              <w:spacing w:before="0" w:after="0"/>
            </w:pPr>
            <w:r>
              <w:rPr>
                <w:b w:val="0"/>
                <w:i w:val="0"/>
                <w:sz w:val="17"/>
              </w:rPr>
              <w:t>B2C Postpaid BDO</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320" w:type="dxa"/>
          </w:tcPr>
          <w:p>
            <w:pPr>
              <w:jc w:val="left"/>
              <w:spacing w:before="0" w:after="0"/>
            </w:pPr>
            <w:r>
              <w:rPr>
                <w:b w:val="0"/>
                <w:i w:val="0"/>
                <w:sz w:val="17"/>
              </w:rPr>
              <w:t>Monobrand CCR</w:t>
            </w:r>
          </w:p>
        </w:tc>
      </w:tr>
      <w:tr>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Product Coverage</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320" w:type="dxa"/>
          </w:tcPr>
          <w:p>
            <w:pPr>
              <w:jc w:val="left"/>
              <w:spacing w:before="0" w:after="0"/>
            </w:pPr>
            <w:r>
              <w:rPr>
                <w:b w:val="0"/>
                <w:i w:val="0"/>
                <w:sz w:val="17"/>
              </w:rPr>
              <w:t>Postpaid only</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320" w:type="dxa"/>
          </w:tcPr>
          <w:p>
            <w:pPr>
              <w:jc w:val="left"/>
              <w:spacing w:before="0" w:after="0"/>
            </w:pPr>
            <w:r>
              <w:rPr>
                <w:b w:val="0"/>
                <w:i w:val="0"/>
                <w:sz w:val="17"/>
              </w:rPr>
              <w:t>Prepaid AND Postpaid</w:t>
            </w:r>
          </w:p>
        </w:tc>
      </w:tr>
      <w:tr>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Commission Rate</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320" w:type="dxa"/>
          </w:tcPr>
          <w:p>
            <w:pPr>
              <w:jc w:val="left"/>
              <w:spacing w:before="0" w:after="0"/>
            </w:pPr>
            <w:r>
              <w:rPr>
                <w:b w:val="0"/>
                <w:i w:val="0"/>
                <w:sz w:val="17"/>
              </w:rPr>
              <w:t>Fixed flat (BDT 2k/4k or 1k per slab)</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320" w:type="dxa"/>
          </w:tcPr>
          <w:p>
            <w:pPr>
              <w:jc w:val="left"/>
              <w:spacing w:before="0" w:after="0"/>
            </w:pPr>
            <w:r>
              <w:rPr>
                <w:b w:val="0"/>
                <w:i w:val="0"/>
                <w:sz w:val="17"/>
              </w:rPr>
              <w:t>Per-GA rate: BDT 10/30/40 per GA</w:t>
            </w:r>
          </w:p>
        </w:tc>
      </w:tr>
      <w:tr>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GA Cap per Agent</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320" w:type="dxa"/>
          </w:tcPr>
          <w:p>
            <w:pPr>
              <w:jc w:val="left"/>
              <w:spacing w:before="0" w:after="0"/>
            </w:pPr>
            <w:r>
              <w:rPr>
                <w:b w:val="0"/>
                <w:i w:val="0"/>
                <w:sz w:val="17"/>
              </w:rPr>
              <w:t>No cap</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320" w:type="dxa"/>
          </w:tcPr>
          <w:p>
            <w:pPr>
              <w:jc w:val="left"/>
              <w:spacing w:before="0" w:after="0"/>
            </w:pPr>
            <w:r>
              <w:rPr>
                <w:b w:val="0"/>
                <w:i w:val="0"/>
                <w:sz w:val="17"/>
              </w:rPr>
              <w:t>Capped at 100 GAs per agent per month</w:t>
            </w:r>
          </w:p>
        </w:tc>
      </w:tr>
      <w:tr>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Recharge Condition</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320" w:type="dxa"/>
          </w:tcPr>
          <w:p>
            <w:pPr>
              <w:jc w:val="left"/>
              <w:spacing w:before="0" w:after="0"/>
            </w:pPr>
            <w:r>
              <w:rPr>
                <w:b w:val="0"/>
                <w:i w:val="0"/>
                <w:sz w:val="17"/>
              </w:rPr>
              <w:t>None (deposit only)</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320" w:type="dxa"/>
          </w:tcPr>
          <w:p>
            <w:pPr>
              <w:jc w:val="left"/>
              <w:spacing w:before="0" w:after="0"/>
            </w:pPr>
            <w:r>
              <w:rPr>
                <w:b w:val="0"/>
                <w:i w:val="0"/>
                <w:sz w:val="17"/>
              </w:rPr>
              <w:t>1st recharge (Prepaid) or 2nd recharge/bundle (Postpaid) within 45 days, ≥95% rate</w:t>
            </w:r>
          </w:p>
        </w:tc>
      </w:tr>
      <w:tr>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Center Target</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320" w:type="dxa"/>
          </w:tcPr>
          <w:p>
            <w:pPr>
              <w:jc w:val="left"/>
              <w:spacing w:before="0" w:after="0"/>
            </w:pPr>
            <w:r>
              <w:rPr>
                <w:b w:val="0"/>
                <w:i w:val="0"/>
                <w:sz w:val="17"/>
              </w:rPr>
              <w:t>Not applicable</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320" w:type="dxa"/>
          </w:tcPr>
          <w:p>
            <w:pPr>
              <w:jc w:val="left"/>
              <w:spacing w:before="0" w:after="0"/>
            </w:pPr>
            <w:r>
              <w:rPr>
                <w:b w:val="0"/>
                <w:i w:val="0"/>
                <w:sz w:val="17"/>
              </w:rPr>
              <w:t>Cumulative CCR GAs ≥ 90% of Monobrand monthly target required</w:t>
            </w:r>
          </w:p>
        </w:tc>
      </w:tr>
      <w:tr>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AIT</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320" w:type="dxa"/>
          </w:tcPr>
          <w:p>
            <w:pPr>
              <w:jc w:val="left"/>
              <w:spacing w:before="0" w:after="0"/>
            </w:pPr>
            <w:r>
              <w:rPr>
                <w:b w:val="0"/>
                <w:i w:val="0"/>
                <w:sz w:val="17"/>
              </w:rPr>
              <w:t>Applicable</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320" w:type="dxa"/>
          </w:tcPr>
          <w:p>
            <w:pPr>
              <w:jc w:val="left"/>
              <w:spacing w:before="0" w:after="0"/>
            </w:pPr>
            <w:r>
              <w:rPr>
                <w:b w:val="0"/>
                <w:i w:val="0"/>
                <w:sz w:val="17"/>
              </w:rPr>
              <w:t>NOT Applicable</w:t>
            </w:r>
          </w:p>
        </w:tc>
      </w:tr>
      <w:tr>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Maturity Date</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320" w:type="dxa"/>
          </w:tcPr>
          <w:p>
            <w:pPr>
              <w:jc w:val="left"/>
              <w:spacing w:before="0" w:after="0"/>
            </w:pPr>
            <w:r>
              <w:rPr>
                <w:b w:val="0"/>
                <w:i w:val="0"/>
                <w:sz w:val="17"/>
              </w:rPr>
              <w:t>8th of following month</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320" w:type="dxa"/>
          </w:tcPr>
          <w:p>
            <w:pPr>
              <w:jc w:val="left"/>
              <w:spacing w:before="0" w:after="0"/>
            </w:pPr>
            <w:r>
              <w:rPr>
                <w:b w:val="0"/>
                <w:i w:val="0"/>
                <w:sz w:val="17"/>
              </w:rPr>
              <w:t>45 days after activation date</w:t>
            </w:r>
          </w:p>
        </w:tc>
      </w:tr>
      <w:tr>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CCR List</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320" w:type="dxa"/>
          </w:tcPr>
          <w:p>
            <w:pPr>
              <w:jc w:val="left"/>
              <w:spacing w:before="0" w:after="0"/>
            </w:pPr>
            <w:r>
              <w:rPr>
                <w:b w:val="0"/>
                <w:i w:val="0"/>
                <w:sz w:val="17"/>
              </w:rPr>
              <w:t>All BDOs with B2C_postpaid type</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320" w:type="dxa"/>
          </w:tcPr>
          <w:p>
            <w:pPr>
              <w:jc w:val="left"/>
              <w:spacing w:before="0" w:after="0"/>
            </w:pPr>
            <w:r>
              <w:rPr>
                <w:b w:val="0"/>
                <w:i w:val="0"/>
                <w:sz w:val="17"/>
              </w:rPr>
              <w:t>Only listed Monobrand CCRs (shared before run)</w:t>
            </w:r>
          </w:p>
        </w:tc>
      </w:tr>
    </w:tbl>
    <w:p/>
    <w:p>
      <w:r>
        <w:br w:type="page"/>
      </w:r>
    </w:p>
    <w:p>
      <w:pPr>
        <w:spacing w:before="160" w:after="80"/>
      </w:pPr>
      <w:r>
        <w:rPr>
          <w:b/>
          <w:color w:val="1F4E79"/>
          <w:sz w:val="28"/>
          <w:u w:val="single"/>
        </w:rPr>
        <w:t>Appendix A: Eligible Postpaid Product IDs (BDO Campaigns)</w:t>
      </w:r>
    </w:p>
    <w:p>
      <w:pPr>
        <w:spacing w:before="0" w:after="60"/>
      </w:pPr>
      <w:r>
        <w:rPr>
          <w:b w:val="0"/>
          <w:i w:val="0"/>
          <w:sz w:val="19"/>
        </w:rPr>
        <w:t>All BDO commission types (Sections 1 and 2) use these product IDs. Security deposits must be confirmed on the same day as activation.</w:t>
      </w:r>
    </w:p>
    <w:tbl>
      <w:tblPr>
        <w:tblW w:type="auto" w:w="0"/>
        <w:jc w:val="left"/>
        <w:tblLook w:firstColumn="1" w:firstRow="1" w:lastColumn="0" w:lastRow="0" w:noHBand="0" w:noVBand="1" w:val="04A0"/>
        <w:tblW w:w="8640" w:type="dxa"/>
      </w:tblPr>
      <w:tblGrid>
        <w:gridCol w:w="2257"/>
        <w:gridCol w:w="2257"/>
        <w:gridCol w:w="2257"/>
        <w:gridCol w:w="2257"/>
      </w:tblGrid>
      <w:tr>
        <w:tc>
          <w:tcPr>
            <w:tcW w:type="dxa" w:w="2257"/>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1600" w:type="dxa"/>
          </w:tcPr>
          <w:p>
            <w:pPr>
              <w:jc w:val="center"/>
              <w:spacing w:before="0" w:after="0"/>
            </w:pPr>
            <w:r>
              <w:rPr>
                <w:b/>
                <w:i w:val="0"/>
                <w:color w:val="FFFFFF"/>
                <w:sz w:val="17"/>
              </w:rPr>
              <w:t>Type</w:t>
            </w:r>
          </w:p>
        </w:tc>
        <w:tc>
          <w:tcPr>
            <w:tcW w:type="dxa" w:w="2257"/>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3000" w:type="dxa"/>
          </w:tcPr>
          <w:p>
            <w:pPr>
              <w:jc w:val="center"/>
              <w:spacing w:before="0" w:after="0"/>
            </w:pPr>
            <w:r>
              <w:rPr>
                <w:b/>
                <w:i w:val="0"/>
                <w:color w:val="FFFFFF"/>
                <w:sz w:val="17"/>
              </w:rPr>
              <w:t>EQUIPID</w:t>
            </w:r>
          </w:p>
        </w:tc>
        <w:tc>
          <w:tcPr>
            <w:tcW w:type="dxa" w:w="2257"/>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900" w:type="dxa"/>
          </w:tcPr>
          <w:p>
            <w:pPr>
              <w:jc w:val="center"/>
              <w:spacing w:before="0" w:after="0"/>
            </w:pPr>
            <w:r>
              <w:rPr>
                <w:b/>
                <w:i w:val="0"/>
                <w:color w:val="FFFFFF"/>
                <w:sz w:val="17"/>
              </w:rPr>
              <w:t>Segment</w:t>
            </w:r>
          </w:p>
        </w:tc>
        <w:tc>
          <w:tcPr>
            <w:tcW w:type="dxa" w:w="2257"/>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3140" w:type="dxa"/>
          </w:tcPr>
          <w:p>
            <w:pPr>
              <w:jc w:val="center"/>
              <w:spacing w:before="0" w:after="0"/>
            </w:pPr>
            <w:r>
              <w:rPr>
                <w:b/>
                <w:i w:val="0"/>
                <w:color w:val="FFFFFF"/>
                <w:sz w:val="17"/>
              </w:rPr>
              <w:t>Service Type</w:t>
            </w:r>
          </w:p>
        </w:tc>
      </w:tr>
      <w:tr>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600" w:type="dxa"/>
          </w:tcPr>
          <w:p>
            <w:pPr>
              <w:jc w:val="left"/>
              <w:spacing w:before="0" w:after="0"/>
            </w:pPr>
            <w:r>
              <w:rPr>
                <w:b w:val="0"/>
                <w:i w:val="0"/>
                <w:sz w:val="17"/>
              </w:rPr>
              <w:t>Base Package (Activation)</w:t>
            </w:r>
          </w:p>
        </w:tc>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000" w:type="dxa"/>
          </w:tcPr>
          <w:p>
            <w:pPr>
              <w:jc w:val="left"/>
              <w:spacing w:before="0" w:after="0"/>
            </w:pPr>
            <w:r>
              <w:rPr>
                <w:b w:val="0"/>
                <w:i w:val="0"/>
                <w:sz w:val="17"/>
              </w:rPr>
              <w:t>Retail2Postpaid / Banglalink Select Postpaid (M2MADV) + (blkSelPostpaid)</w:t>
            </w:r>
          </w:p>
        </w:tc>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900" w:type="dxa"/>
          </w:tcPr>
          <w:p>
            <w:pPr>
              <w:jc w:val="left"/>
              <w:spacing w:before="0" w:after="0"/>
            </w:pPr>
            <w:r>
              <w:rPr>
                <w:b w:val="0"/>
                <w:i w:val="0"/>
                <w:sz w:val="17"/>
              </w:rPr>
              <w:t>B2C</w:t>
            </w:r>
          </w:p>
        </w:tc>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140" w:type="dxa"/>
          </w:tcPr>
          <w:p>
            <w:pPr>
              <w:jc w:val="left"/>
              <w:spacing w:before="0" w:after="0"/>
            </w:pPr>
            <w:r>
              <w:rPr>
                <w:b w:val="0"/>
                <w:i w:val="0"/>
                <w:sz w:val="17"/>
              </w:rPr>
              <w:t>Base package</w:t>
            </w:r>
          </w:p>
        </w:tc>
      </w:tr>
      <w:tr>
        <w:tc>
          <w:tcPr>
            <w:tcW w:type="dxa" w:w="2257"/>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600" w:type="dxa"/>
          </w:tcPr>
          <w:p>
            <w:pPr>
              <w:jc w:val="left"/>
              <w:spacing w:before="0" w:after="0"/>
            </w:pPr>
            <w:r>
              <w:rPr>
                <w:b w:val="0"/>
                <w:i w:val="0"/>
                <w:sz w:val="17"/>
              </w:rPr>
              <w:t>Non-Bundle/Non-Renewal</w:t>
            </w:r>
          </w:p>
        </w:tc>
        <w:tc>
          <w:tcPr>
            <w:tcW w:type="dxa" w:w="2257"/>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000" w:type="dxa"/>
          </w:tcPr>
          <w:p>
            <w:pPr>
              <w:jc w:val="left"/>
              <w:spacing w:before="0" w:after="0"/>
            </w:pPr>
            <w:r>
              <w:rPr>
                <w:b w:val="0"/>
                <w:i w:val="0"/>
                <w:sz w:val="17"/>
              </w:rPr>
              <w:t>TK200NB30DPOSTOG</w:t>
            </w:r>
          </w:p>
        </w:tc>
        <w:tc>
          <w:tcPr>
            <w:tcW w:type="dxa" w:w="2257"/>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900" w:type="dxa"/>
          </w:tcPr>
          <w:p>
            <w:pPr>
              <w:jc w:val="left"/>
              <w:spacing w:before="0" w:after="0"/>
            </w:pPr>
            <w:r>
              <w:rPr>
                <w:b w:val="0"/>
                <w:i w:val="0"/>
                <w:sz w:val="17"/>
              </w:rPr>
              <w:t>B2C</w:t>
            </w:r>
          </w:p>
        </w:tc>
        <w:tc>
          <w:tcPr>
            <w:tcW w:type="dxa" w:w="2257"/>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140" w:type="dxa"/>
          </w:tcPr>
          <w:p>
            <w:pPr>
              <w:jc w:val="left"/>
              <w:spacing w:before="0" w:after="0"/>
            </w:pPr>
            <w:r>
              <w:rPr>
                <w:b w:val="0"/>
                <w:i w:val="0"/>
                <w:sz w:val="17"/>
              </w:rPr>
              <w:t>NON-BUNDLE</w:t>
            </w:r>
          </w:p>
        </w:tc>
      </w:tr>
      <w:tr>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600" w:type="dxa"/>
          </w:tcPr>
          <w:p>
            <w:pPr>
              <w:jc w:val="left"/>
              <w:spacing w:before="0" w:after="0"/>
            </w:pPr>
            <w:r>
              <w:rPr>
                <w:b w:val="0"/>
                <w:i w:val="0"/>
                <w:sz w:val="17"/>
              </w:rPr>
              <w:t>Non-renewal bundle</w:t>
            </w:r>
          </w:p>
        </w:tc>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000" w:type="dxa"/>
          </w:tcPr>
          <w:p>
            <w:pPr>
              <w:jc w:val="left"/>
              <w:spacing w:before="0" w:after="0"/>
            </w:pPr>
            <w:r>
              <w:rPr>
                <w:b w:val="0"/>
                <w:i w:val="0"/>
                <w:sz w:val="17"/>
              </w:rPr>
              <w:t>TK394POSTGAUMIXBDNLOG</w:t>
            </w:r>
          </w:p>
        </w:tc>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900" w:type="dxa"/>
          </w:tcPr>
          <w:p>
            <w:pPr>
              <w:jc w:val="left"/>
              <w:spacing w:before="0" w:after="0"/>
            </w:pPr>
            <w:r>
              <w:rPr>
                <w:b w:val="0"/>
                <w:i w:val="0"/>
                <w:sz w:val="17"/>
              </w:rPr>
              <w:t>B2C</w:t>
            </w:r>
          </w:p>
        </w:tc>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140" w:type="dxa"/>
          </w:tcPr>
          <w:p>
            <w:pPr>
              <w:jc w:val="left"/>
              <w:spacing w:before="0" w:after="0"/>
            </w:pPr>
            <w:r>
              <w:rPr>
                <w:b w:val="0"/>
                <w:i w:val="0"/>
                <w:sz w:val="17"/>
              </w:rPr>
              <w:t>Bundle</w:t>
            </w:r>
          </w:p>
        </w:tc>
      </w:tr>
      <w:tr>
        <w:tc>
          <w:tcPr>
            <w:tcW w:type="dxa" w:w="2257"/>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600" w:type="dxa"/>
          </w:tcPr>
          <w:p>
            <w:pPr>
              <w:jc w:val="left"/>
              <w:spacing w:before="0" w:after="0"/>
            </w:pPr>
            <w:r>
              <w:rPr>
                <w:b w:val="0"/>
                <w:i w:val="0"/>
                <w:sz w:val="17"/>
              </w:rPr>
              <w:t>Non-renewal bundle</w:t>
            </w:r>
          </w:p>
        </w:tc>
        <w:tc>
          <w:tcPr>
            <w:tcW w:type="dxa" w:w="2257"/>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000" w:type="dxa"/>
          </w:tcPr>
          <w:p>
            <w:pPr>
              <w:jc w:val="left"/>
              <w:spacing w:before="0" w:after="0"/>
            </w:pPr>
            <w:r>
              <w:rPr>
                <w:b w:val="0"/>
                <w:i w:val="0"/>
                <w:sz w:val="17"/>
              </w:rPr>
              <w:t>TK494POSTGAUSSDMIXOG</w:t>
            </w:r>
          </w:p>
        </w:tc>
        <w:tc>
          <w:tcPr>
            <w:tcW w:type="dxa" w:w="2257"/>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900" w:type="dxa"/>
          </w:tcPr>
          <w:p>
            <w:pPr>
              <w:jc w:val="left"/>
              <w:spacing w:before="0" w:after="0"/>
            </w:pPr>
            <w:r>
              <w:rPr>
                <w:b w:val="0"/>
                <w:i w:val="0"/>
                <w:sz w:val="17"/>
              </w:rPr>
              <w:t>B2C</w:t>
            </w:r>
          </w:p>
        </w:tc>
        <w:tc>
          <w:tcPr>
            <w:tcW w:type="dxa" w:w="2257"/>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140" w:type="dxa"/>
          </w:tcPr>
          <w:p>
            <w:pPr>
              <w:jc w:val="left"/>
              <w:spacing w:before="0" w:after="0"/>
            </w:pPr>
            <w:r>
              <w:rPr>
                <w:b w:val="0"/>
                <w:i w:val="0"/>
                <w:sz w:val="17"/>
              </w:rPr>
              <w:t>Bundle</w:t>
            </w:r>
          </w:p>
        </w:tc>
      </w:tr>
      <w:tr>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600" w:type="dxa"/>
          </w:tcPr>
          <w:p>
            <w:pPr>
              <w:jc w:val="left"/>
              <w:spacing w:before="0" w:after="0"/>
            </w:pPr>
            <w:r>
              <w:rPr>
                <w:b w:val="0"/>
                <w:i w:val="0"/>
                <w:sz w:val="17"/>
              </w:rPr>
              <w:t>Non-renewal bundle</w:t>
            </w:r>
          </w:p>
        </w:tc>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000" w:type="dxa"/>
          </w:tcPr>
          <w:p>
            <w:pPr>
              <w:jc w:val="left"/>
              <w:spacing w:before="0" w:after="0"/>
            </w:pPr>
            <w:r>
              <w:rPr>
                <w:b w:val="0"/>
                <w:i w:val="0"/>
                <w:sz w:val="17"/>
              </w:rPr>
              <w:t>TK794POSTGAUMIXBDNLOG</w:t>
            </w:r>
          </w:p>
        </w:tc>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900" w:type="dxa"/>
          </w:tcPr>
          <w:p>
            <w:pPr>
              <w:jc w:val="left"/>
              <w:spacing w:before="0" w:after="0"/>
            </w:pPr>
            <w:r>
              <w:rPr>
                <w:b w:val="0"/>
                <w:i w:val="0"/>
                <w:sz w:val="17"/>
              </w:rPr>
              <w:t>B2C</w:t>
            </w:r>
          </w:p>
        </w:tc>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140" w:type="dxa"/>
          </w:tcPr>
          <w:p>
            <w:pPr>
              <w:jc w:val="left"/>
              <w:spacing w:before="0" w:after="0"/>
            </w:pPr>
            <w:r>
              <w:rPr>
                <w:b w:val="0"/>
                <w:i w:val="0"/>
                <w:sz w:val="17"/>
              </w:rPr>
              <w:t>Bundle</w:t>
            </w:r>
          </w:p>
        </w:tc>
      </w:tr>
      <w:tr>
        <w:tc>
          <w:tcPr>
            <w:tcW w:type="dxa" w:w="2257"/>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600" w:type="dxa"/>
          </w:tcPr>
          <w:p>
            <w:pPr>
              <w:jc w:val="left"/>
              <w:spacing w:before="0" w:after="0"/>
            </w:pPr>
            <w:r>
              <w:rPr>
                <w:b w:val="0"/>
                <w:i w:val="0"/>
                <w:sz w:val="17"/>
              </w:rPr>
              <w:t>Non-renewal bundle</w:t>
            </w:r>
          </w:p>
        </w:tc>
        <w:tc>
          <w:tcPr>
            <w:tcW w:type="dxa" w:w="2257"/>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000" w:type="dxa"/>
          </w:tcPr>
          <w:p>
            <w:pPr>
              <w:jc w:val="left"/>
              <w:spacing w:before="0" w:after="0"/>
            </w:pPr>
            <w:r>
              <w:rPr>
                <w:b w:val="0"/>
                <w:i w:val="0"/>
                <w:sz w:val="17"/>
              </w:rPr>
              <w:t>TK1143CGAMXBOGPOST</w:t>
            </w:r>
          </w:p>
        </w:tc>
        <w:tc>
          <w:tcPr>
            <w:tcW w:type="dxa" w:w="2257"/>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900" w:type="dxa"/>
          </w:tcPr>
          <w:p>
            <w:pPr>
              <w:jc w:val="left"/>
              <w:spacing w:before="0" w:after="0"/>
            </w:pPr>
            <w:r>
              <w:rPr>
                <w:b w:val="0"/>
                <w:i w:val="0"/>
                <w:sz w:val="17"/>
              </w:rPr>
              <w:t>B2C</w:t>
            </w:r>
          </w:p>
        </w:tc>
        <w:tc>
          <w:tcPr>
            <w:tcW w:type="dxa" w:w="2257"/>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140" w:type="dxa"/>
          </w:tcPr>
          <w:p>
            <w:pPr>
              <w:jc w:val="left"/>
              <w:spacing w:before="0" w:after="0"/>
            </w:pPr>
            <w:r>
              <w:rPr>
                <w:b w:val="0"/>
                <w:i w:val="0"/>
                <w:sz w:val="17"/>
              </w:rPr>
              <w:t>Bundle</w:t>
            </w:r>
          </w:p>
        </w:tc>
      </w:tr>
      <w:tr>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600" w:type="dxa"/>
          </w:tcPr>
          <w:p>
            <w:pPr>
              <w:jc w:val="left"/>
              <w:spacing w:before="0" w:after="0"/>
            </w:pPr>
            <w:r>
              <w:rPr>
                <w:b w:val="0"/>
                <w:i w:val="0"/>
                <w:sz w:val="17"/>
              </w:rPr>
              <w:t>Non-renewal bundle</w:t>
            </w:r>
          </w:p>
        </w:tc>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000" w:type="dxa"/>
          </w:tcPr>
          <w:p>
            <w:pPr>
              <w:jc w:val="left"/>
              <w:spacing w:before="0" w:after="0"/>
            </w:pPr>
            <w:r>
              <w:rPr>
                <w:b w:val="0"/>
                <w:i w:val="0"/>
                <w:sz w:val="17"/>
              </w:rPr>
              <w:t>TK2343CGAMXBOGPOST</w:t>
            </w:r>
          </w:p>
        </w:tc>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900" w:type="dxa"/>
          </w:tcPr>
          <w:p>
            <w:pPr>
              <w:jc w:val="left"/>
              <w:spacing w:before="0" w:after="0"/>
            </w:pPr>
            <w:r>
              <w:rPr>
                <w:b w:val="0"/>
                <w:i w:val="0"/>
                <w:sz w:val="17"/>
              </w:rPr>
              <w:t>B2C</w:t>
            </w:r>
          </w:p>
        </w:tc>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140" w:type="dxa"/>
          </w:tcPr>
          <w:p>
            <w:pPr>
              <w:jc w:val="left"/>
              <w:spacing w:before="0" w:after="0"/>
            </w:pPr>
            <w:r>
              <w:rPr>
                <w:b w:val="0"/>
                <w:i w:val="0"/>
                <w:sz w:val="17"/>
              </w:rPr>
              <w:t>Bundle</w:t>
            </w:r>
          </w:p>
        </w:tc>
      </w:tr>
    </w:tbl>
    <w:p/>
    <w:p/>
    <w:p>
      <w:pPr>
        <w:spacing w:before="160" w:after="80"/>
      </w:pPr>
      <w:r>
        <w:rPr>
          <w:b/>
          <w:color w:val="1F4E79"/>
          <w:sz w:val="28"/>
          <w:u w:val="single"/>
        </w:rPr>
        <w:t>Appendix B: Security Deposit Amounts (All Postpaid GA Campaigns)</w:t>
      </w:r>
    </w:p>
    <w:p>
      <w:pPr>
        <w:spacing w:before="0" w:after="60"/>
      </w:pPr>
      <w:r>
        <w:rPr>
          <w:b w:val="0"/>
          <w:i w:val="0"/>
          <w:sz w:val="19"/>
        </w:rPr>
        <w:t>Applicable for all campaign types in this folder. Deposits must be made on the same day as activation. One shot or multiple installments are allowed but must accumulate to the required minimum.</w:t>
      </w:r>
    </w:p>
    <w:tbl>
      <w:tblPr>
        <w:tblW w:type="auto" w:w="0"/>
        <w:jc w:val="left"/>
        <w:tblLook w:firstColumn="1" w:firstRow="1" w:lastColumn="0" w:lastRow="0" w:noHBand="0" w:noVBand="1" w:val="04A0"/>
        <w:tblW w:w="8640" w:type="dxa"/>
      </w:tblPr>
      <w:tblGrid>
        <w:gridCol w:w="3010"/>
        <w:gridCol w:w="3010"/>
        <w:gridCol w:w="3010"/>
      </w:tblGrid>
      <w:tr>
        <w:tc>
          <w:tcPr>
            <w:tcW w:type="dxa" w:w="3010"/>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2400" w:type="dxa"/>
          </w:tcPr>
          <w:p>
            <w:pPr>
              <w:jc w:val="center"/>
              <w:spacing w:before="0" w:after="0"/>
            </w:pPr>
            <w:r>
              <w:rPr>
                <w:b/>
                <w:i w:val="0"/>
                <w:color w:val="FFFFFF"/>
                <w:sz w:val="17"/>
              </w:rPr>
              <w:t>Bundle Value (incl. Tax)</w:t>
            </w:r>
          </w:p>
        </w:tc>
        <w:tc>
          <w:tcPr>
            <w:tcW w:type="dxa" w:w="3010"/>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2700" w:type="dxa"/>
          </w:tcPr>
          <w:p>
            <w:pPr>
              <w:jc w:val="center"/>
              <w:spacing w:before="0" w:after="0"/>
            </w:pPr>
            <w:r>
              <w:rPr>
                <w:b/>
                <w:i w:val="0"/>
                <w:color w:val="FFFFFF"/>
                <w:sz w:val="17"/>
              </w:rPr>
              <w:t>Minimum Security Deposit (BDT)</w:t>
            </w:r>
          </w:p>
        </w:tc>
        <w:tc>
          <w:tcPr>
            <w:tcW w:type="dxa" w:w="3010"/>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3540" w:type="dxa"/>
          </w:tcPr>
          <w:p>
            <w:pPr>
              <w:jc w:val="center"/>
              <w:spacing w:before="0" w:after="0"/>
            </w:pPr>
            <w:r>
              <w:rPr>
                <w:b/>
                <w:i w:val="0"/>
                <w:color w:val="FFFFFF"/>
                <w:sz w:val="17"/>
              </w:rPr>
              <w:t>Condition</w:t>
            </w:r>
          </w:p>
        </w:tc>
      </w:tr>
      <w:tr>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400" w:type="dxa"/>
          </w:tcPr>
          <w:p>
            <w:pPr>
              <w:jc w:val="left"/>
              <w:spacing w:before="0" w:after="0"/>
            </w:pPr>
            <w:r>
              <w:rPr>
                <w:b w:val="0"/>
                <w:i w:val="0"/>
                <w:sz w:val="17"/>
              </w:rPr>
              <w:t>TK 200 (Non-bundle)</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700" w:type="dxa"/>
          </w:tcPr>
          <w:p>
            <w:pPr>
              <w:jc w:val="left"/>
              <w:spacing w:before="0" w:after="0"/>
            </w:pPr>
            <w:r>
              <w:rPr>
                <w:b w:val="0"/>
                <w:i w:val="0"/>
                <w:sz w:val="17"/>
              </w:rPr>
              <w:t>170</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540" w:type="dxa"/>
          </w:tcPr>
          <w:p>
            <w:pPr>
              <w:jc w:val="left"/>
              <w:spacing w:before="0" w:after="0"/>
            </w:pPr>
            <w:r>
              <w:rPr>
                <w:b w:val="0"/>
                <w:i w:val="0"/>
                <w:sz w:val="17"/>
              </w:rPr>
              <w:t>MNP / New Activation + Bundle + Security Deposit</w:t>
            </w:r>
          </w:p>
        </w:tc>
      </w:tr>
      <w:tr>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400" w:type="dxa"/>
          </w:tcPr>
          <w:p>
            <w:pPr>
              <w:jc w:val="left"/>
              <w:spacing w:before="0" w:after="0"/>
            </w:pPr>
            <w:r>
              <w:rPr>
                <w:b w:val="0"/>
                <w:i w:val="0"/>
                <w:sz w:val="17"/>
              </w:rPr>
              <w:t>TK 394</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700" w:type="dxa"/>
          </w:tcPr>
          <w:p>
            <w:pPr>
              <w:jc w:val="left"/>
              <w:spacing w:before="0" w:after="0"/>
            </w:pPr>
            <w:r>
              <w:rPr>
                <w:b w:val="0"/>
                <w:i w:val="0"/>
                <w:sz w:val="17"/>
              </w:rPr>
              <w:t>350</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540" w:type="dxa"/>
          </w:tcPr>
          <w:p>
            <w:pPr>
              <w:jc w:val="left"/>
              <w:spacing w:before="0" w:after="0"/>
            </w:pPr>
            <w:r>
              <w:rPr>
                <w:b w:val="0"/>
                <w:i w:val="0"/>
                <w:sz w:val="17"/>
              </w:rPr>
              <w:t>MNP / New Activation + Bundle + Security Deposit</w:t>
            </w:r>
          </w:p>
        </w:tc>
      </w:tr>
      <w:tr>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400" w:type="dxa"/>
          </w:tcPr>
          <w:p>
            <w:pPr>
              <w:jc w:val="left"/>
              <w:spacing w:before="0" w:after="0"/>
            </w:pPr>
            <w:r>
              <w:rPr>
                <w:b w:val="0"/>
                <w:i w:val="0"/>
                <w:sz w:val="17"/>
              </w:rPr>
              <w:t>TK 494</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700" w:type="dxa"/>
          </w:tcPr>
          <w:p>
            <w:pPr>
              <w:jc w:val="left"/>
              <w:spacing w:before="0" w:after="0"/>
            </w:pPr>
            <w:r>
              <w:rPr>
                <w:b w:val="0"/>
                <w:i w:val="0"/>
                <w:sz w:val="17"/>
              </w:rPr>
              <w:t>450</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540" w:type="dxa"/>
          </w:tcPr>
          <w:p>
            <w:pPr>
              <w:jc w:val="left"/>
              <w:spacing w:before="0" w:after="0"/>
            </w:pPr>
            <w:r>
              <w:rPr>
                <w:b w:val="0"/>
                <w:i w:val="0"/>
                <w:sz w:val="17"/>
              </w:rPr>
              <w:t>MNP / New Activation + Bundle + Security Deposit</w:t>
            </w:r>
          </w:p>
        </w:tc>
      </w:tr>
      <w:tr>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400" w:type="dxa"/>
          </w:tcPr>
          <w:p>
            <w:pPr>
              <w:jc w:val="left"/>
              <w:spacing w:before="0" w:after="0"/>
            </w:pPr>
            <w:r>
              <w:rPr>
                <w:b w:val="0"/>
                <w:i w:val="0"/>
                <w:sz w:val="17"/>
              </w:rPr>
              <w:t>TK 794</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700" w:type="dxa"/>
          </w:tcPr>
          <w:p>
            <w:pPr>
              <w:jc w:val="left"/>
              <w:spacing w:before="0" w:after="0"/>
            </w:pPr>
            <w:r>
              <w:rPr>
                <w:b w:val="0"/>
                <w:i w:val="0"/>
                <w:sz w:val="17"/>
              </w:rPr>
              <w:t>750</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540" w:type="dxa"/>
          </w:tcPr>
          <w:p>
            <w:pPr>
              <w:jc w:val="left"/>
              <w:spacing w:before="0" w:after="0"/>
            </w:pPr>
            <w:r>
              <w:rPr>
                <w:b w:val="0"/>
                <w:i w:val="0"/>
                <w:sz w:val="17"/>
              </w:rPr>
              <w:t>MNP / New Activation + Bundle + Security Deposit</w:t>
            </w:r>
          </w:p>
        </w:tc>
      </w:tr>
      <w:tr>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400" w:type="dxa"/>
          </w:tcPr>
          <w:p>
            <w:pPr>
              <w:jc w:val="left"/>
              <w:spacing w:before="0" w:after="0"/>
            </w:pPr>
            <w:r>
              <w:rPr>
                <w:b w:val="0"/>
                <w:i w:val="0"/>
                <w:sz w:val="17"/>
              </w:rPr>
              <w:t>TK 1143</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700" w:type="dxa"/>
          </w:tcPr>
          <w:p>
            <w:pPr>
              <w:jc w:val="left"/>
              <w:spacing w:before="0" w:after="0"/>
            </w:pPr>
            <w:r>
              <w:rPr>
                <w:b w:val="0"/>
                <w:i w:val="0"/>
                <w:sz w:val="17"/>
              </w:rPr>
              <w:t>1,150</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540" w:type="dxa"/>
          </w:tcPr>
          <w:p>
            <w:pPr>
              <w:jc w:val="left"/>
              <w:spacing w:before="0" w:after="0"/>
            </w:pPr>
            <w:r>
              <w:rPr>
                <w:b w:val="0"/>
                <w:i w:val="0"/>
                <w:sz w:val="17"/>
              </w:rPr>
              <w:t>MNP / New Activation + Bundle + Security Deposit</w:t>
            </w:r>
          </w:p>
        </w:tc>
      </w:tr>
      <w:tr>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400" w:type="dxa"/>
          </w:tcPr>
          <w:p>
            <w:pPr>
              <w:jc w:val="left"/>
              <w:spacing w:before="0" w:after="0"/>
            </w:pPr>
            <w:r>
              <w:rPr>
                <w:b w:val="0"/>
                <w:i w:val="0"/>
                <w:sz w:val="17"/>
              </w:rPr>
              <w:t>TK 2343</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700" w:type="dxa"/>
          </w:tcPr>
          <w:p>
            <w:pPr>
              <w:jc w:val="left"/>
              <w:spacing w:before="0" w:after="0"/>
            </w:pPr>
            <w:r>
              <w:rPr>
                <w:b w:val="0"/>
                <w:i w:val="0"/>
                <w:sz w:val="17"/>
              </w:rPr>
              <w:t>2,350</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540" w:type="dxa"/>
          </w:tcPr>
          <w:p>
            <w:pPr>
              <w:jc w:val="left"/>
              <w:spacing w:before="0" w:after="0"/>
            </w:pPr>
            <w:r>
              <w:rPr>
                <w:b w:val="0"/>
                <w:i w:val="0"/>
                <w:sz w:val="17"/>
              </w:rPr>
              <w:t>MNP / New Activation + Bundle + Security Deposit</w:t>
            </w:r>
          </w:p>
        </w:tc>
      </w:tr>
      <w:tr>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400" w:type="dxa"/>
          </w:tcPr>
          <w:p>
            <w:pPr>
              <w:jc w:val="left"/>
              <w:spacing w:before="0" w:after="0"/>
            </w:pPr>
            <w:r>
              <w:rPr>
                <w:b w:val="0"/>
                <w:i w:val="0"/>
                <w:sz w:val="17"/>
              </w:rPr>
              <w:t>TK 214 (Monobrand only)</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700" w:type="dxa"/>
          </w:tcPr>
          <w:p>
            <w:pPr>
              <w:jc w:val="left"/>
              <w:spacing w:before="0" w:after="0"/>
            </w:pPr>
            <w:r>
              <w:rPr>
                <w:b w:val="0"/>
                <w:i w:val="0"/>
                <w:sz w:val="17"/>
              </w:rPr>
              <w:t>Not Applicable</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540" w:type="dxa"/>
          </w:tcPr>
          <w:p>
            <w:pPr>
              <w:jc w:val="left"/>
              <w:spacing w:before="0" w:after="0"/>
            </w:pPr>
            <w:r>
              <w:rPr>
                <w:b w:val="0"/>
                <w:i w:val="0"/>
                <w:sz w:val="17"/>
              </w:rPr>
              <w:t>Monobrand CCR campaign only — no deposit required for this pack</w:t>
            </w:r>
          </w:p>
        </w:tc>
      </w:tr>
    </w:tbl>
    <w:p/>
    <w:tbl>
      <w:tblPr>
        <w:tblW w:type="auto" w:w="0"/>
        <w:jc w:val="left"/>
        <w:tblLook w:firstColumn="1" w:firstRow="1" w:lastColumn="0" w:lastRow="0" w:noHBand="0" w:noVBand="1" w:val="04A0"/>
        <w:tblW w:w="8640" w:type="dxa"/>
      </w:tblPr>
      <w:tblGrid>
        <w:gridCol w:w="9029"/>
      </w:tblGrid>
      <w:tr>
        <w:tc>
          <w:tcPr>
            <w:tcW w:type="dxa" w:w="9029"/>
            <w:shd w:val="clear" w:color="auto" w:fill="FFF2CC"/>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640" w:type="dxa"/>
          </w:tcPr>
          <w:p>
            <w:pPr>
              <w:jc w:val="left"/>
              <w:spacing w:before="0" w:after="0"/>
            </w:pPr>
            <w:r>
              <w:rPr>
                <w:b w:val="0"/>
                <w:i/>
                <w:color w:val="595959"/>
                <w:sz w:val="18"/>
              </w:rPr>
              <w:t>For TK200 packs, extract actual deposit amounts from DWH. DWH table: POSTPAID_COMMISSION_DATA_MONTHLY_DWH. BL Power App deposit also accepted for all packs — DWH source file: bl_power_recharge_dwh_yyyymmdd.csv at /ccn1/downstream/export/daily/salescom.</w:t>
            </w:r>
          </w:p>
        </w:tc>
      </w:tr>
    </w:tbl>
    <w:p/>
    <w:p/>
    <w:p>
      <w:pPr>
        <w:spacing w:before="160" w:after="80"/>
      </w:pPr>
      <w:r>
        <w:rPr>
          <w:b/>
          <w:color w:val="1F4E79"/>
          <w:sz w:val="28"/>
          <w:u w:val="single"/>
        </w:rPr>
        <w:t>Appendix C: Campaign Comparison Summary</w:t>
      </w:r>
    </w:p>
    <w:tbl>
      <w:tblPr>
        <w:tblW w:type="auto" w:w="0"/>
        <w:jc w:val="left"/>
        <w:tblLook w:firstColumn="1" w:firstRow="1" w:lastColumn="0" w:lastRow="0" w:noHBand="0" w:noVBand="1" w:val="04A0"/>
        <w:tblW w:w="8640" w:type="dxa"/>
      </w:tblPr>
      <w:tblGrid>
        <w:gridCol w:w="2257"/>
        <w:gridCol w:w="2257"/>
        <w:gridCol w:w="2257"/>
        <w:gridCol w:w="2257"/>
      </w:tblGrid>
      <w:tr>
        <w:tc>
          <w:tcPr>
            <w:tcW w:type="dxa" w:w="2257"/>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2000" w:type="dxa"/>
          </w:tcPr>
          <w:p>
            <w:pPr>
              <w:jc w:val="center"/>
              <w:spacing w:before="0" w:after="0"/>
            </w:pPr>
            <w:r>
              <w:rPr>
                <w:b/>
                <w:i w:val="0"/>
                <w:color w:val="FFFFFF"/>
                <w:sz w:val="17"/>
              </w:rPr>
              <w:t>Attribute</w:t>
            </w:r>
          </w:p>
        </w:tc>
        <w:tc>
          <w:tcPr>
            <w:tcW w:type="dxa" w:w="2257"/>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2213" w:type="dxa"/>
          </w:tcPr>
          <w:p>
            <w:pPr>
              <w:jc w:val="center"/>
              <w:spacing w:before="0" w:after="0"/>
            </w:pPr>
            <w:r>
              <w:rPr>
                <w:b/>
                <w:i w:val="0"/>
                <w:color w:val="FFFFFF"/>
                <w:sz w:val="17"/>
              </w:rPr>
              <w:t>Section 1</w:t>
              <w:br/>
              <w:t>Daily Participation</w:t>
            </w:r>
          </w:p>
        </w:tc>
        <w:tc>
          <w:tcPr>
            <w:tcW w:type="dxa" w:w="2257"/>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2213" w:type="dxa"/>
          </w:tcPr>
          <w:p>
            <w:pPr>
              <w:jc w:val="center"/>
              <w:spacing w:before="0" w:after="0"/>
            </w:pPr>
            <w:r>
              <w:rPr>
                <w:b/>
                <w:i w:val="0"/>
                <w:color w:val="FFFFFF"/>
                <w:sz w:val="17"/>
              </w:rPr>
              <w:t>Section 2</w:t>
              <w:br/>
              <w:t>Slab-wise</w:t>
            </w:r>
          </w:p>
        </w:tc>
        <w:tc>
          <w:tcPr>
            <w:tcW w:type="dxa" w:w="2257"/>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2214" w:type="dxa"/>
          </w:tcPr>
          <w:p>
            <w:pPr>
              <w:jc w:val="center"/>
              <w:spacing w:before="0" w:after="0"/>
            </w:pPr>
            <w:r>
              <w:rPr>
                <w:b/>
                <w:i w:val="0"/>
                <w:color w:val="FFFFFF"/>
                <w:sz w:val="17"/>
              </w:rPr>
              <w:t>Section 3</w:t>
              <w:br/>
              <w:t>Monobrand CCR</w:t>
            </w:r>
          </w:p>
        </w:tc>
      </w:tr>
      <w:tr>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Recipient</w:t>
            </w:r>
          </w:p>
        </w:tc>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213" w:type="dxa"/>
          </w:tcPr>
          <w:p>
            <w:pPr>
              <w:jc w:val="left"/>
              <w:spacing w:before="0" w:after="0"/>
            </w:pPr>
            <w:r>
              <w:rPr>
                <w:b w:val="0"/>
                <w:i w:val="0"/>
                <w:sz w:val="17"/>
              </w:rPr>
              <w:t>B2C Postpaid BDO</w:t>
            </w:r>
          </w:p>
        </w:tc>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213" w:type="dxa"/>
          </w:tcPr>
          <w:p>
            <w:pPr>
              <w:jc w:val="left"/>
              <w:spacing w:before="0" w:after="0"/>
            </w:pPr>
            <w:r>
              <w:rPr>
                <w:b w:val="0"/>
                <w:i w:val="0"/>
                <w:sz w:val="17"/>
              </w:rPr>
              <w:t>B2C Postpaid BDO</w:t>
            </w:r>
          </w:p>
        </w:tc>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214" w:type="dxa"/>
          </w:tcPr>
          <w:p>
            <w:pPr>
              <w:jc w:val="left"/>
              <w:spacing w:before="0" w:after="0"/>
            </w:pPr>
            <w:r>
              <w:rPr>
                <w:b w:val="0"/>
                <w:i w:val="0"/>
                <w:sz w:val="17"/>
              </w:rPr>
              <w:t>Monobrand CCR</w:t>
            </w:r>
          </w:p>
        </w:tc>
      </w:tr>
      <w:tr>
        <w:tc>
          <w:tcPr>
            <w:tcW w:type="dxa" w:w="2257"/>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Product</w:t>
            </w:r>
          </w:p>
        </w:tc>
        <w:tc>
          <w:tcPr>
            <w:tcW w:type="dxa" w:w="2257"/>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213" w:type="dxa"/>
          </w:tcPr>
          <w:p>
            <w:pPr>
              <w:jc w:val="left"/>
              <w:spacing w:before="0" w:after="0"/>
            </w:pPr>
            <w:r>
              <w:rPr>
                <w:b w:val="0"/>
                <w:i w:val="0"/>
                <w:sz w:val="17"/>
              </w:rPr>
              <w:t>Postpaid only</w:t>
            </w:r>
          </w:p>
        </w:tc>
        <w:tc>
          <w:tcPr>
            <w:tcW w:type="dxa" w:w="2257"/>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213" w:type="dxa"/>
          </w:tcPr>
          <w:p>
            <w:pPr>
              <w:jc w:val="left"/>
              <w:spacing w:before="0" w:after="0"/>
            </w:pPr>
            <w:r>
              <w:rPr>
                <w:b w:val="0"/>
                <w:i w:val="0"/>
                <w:sz w:val="17"/>
              </w:rPr>
              <w:t>Postpaid only</w:t>
            </w:r>
          </w:p>
        </w:tc>
        <w:tc>
          <w:tcPr>
            <w:tcW w:type="dxa" w:w="2257"/>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214" w:type="dxa"/>
          </w:tcPr>
          <w:p>
            <w:pPr>
              <w:jc w:val="left"/>
              <w:spacing w:before="0" w:after="0"/>
            </w:pPr>
            <w:r>
              <w:rPr>
                <w:b w:val="0"/>
                <w:i w:val="0"/>
                <w:sz w:val="17"/>
              </w:rPr>
              <w:t>Prepaid + Postpaid</w:t>
            </w:r>
          </w:p>
        </w:tc>
      </w:tr>
      <w:tr>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Max Commission</w:t>
            </w:r>
          </w:p>
        </w:tc>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213" w:type="dxa"/>
          </w:tcPr>
          <w:p>
            <w:pPr>
              <w:jc w:val="left"/>
              <w:spacing w:before="0" w:after="0"/>
            </w:pPr>
            <w:r>
              <w:rPr>
                <w:b w:val="0"/>
                <w:i w:val="0"/>
                <w:sz w:val="17"/>
              </w:rPr>
              <w:t>BDT 4,000</w:t>
            </w:r>
          </w:p>
        </w:tc>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213" w:type="dxa"/>
          </w:tcPr>
          <w:p>
            <w:pPr>
              <w:jc w:val="left"/>
              <w:spacing w:before="0" w:after="0"/>
            </w:pPr>
            <w:r>
              <w:rPr>
                <w:b w:val="0"/>
                <w:i w:val="0"/>
                <w:sz w:val="17"/>
              </w:rPr>
              <w:t>BDT 2,000</w:t>
            </w:r>
          </w:p>
        </w:tc>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214" w:type="dxa"/>
          </w:tcPr>
          <w:p>
            <w:pPr>
              <w:jc w:val="left"/>
              <w:spacing w:before="0" w:after="0"/>
            </w:pPr>
            <w:r>
              <w:rPr>
                <w:b w:val="0"/>
                <w:i w:val="0"/>
                <w:sz w:val="17"/>
              </w:rPr>
              <w:t>BDT 40/GA (up to 100 GAs)</w:t>
            </w:r>
          </w:p>
        </w:tc>
      </w:tr>
      <w:tr>
        <w:tc>
          <w:tcPr>
            <w:tcW w:type="dxa" w:w="2257"/>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GA Threshold</w:t>
            </w:r>
          </w:p>
        </w:tc>
        <w:tc>
          <w:tcPr>
            <w:tcW w:type="dxa" w:w="2257"/>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213" w:type="dxa"/>
          </w:tcPr>
          <w:p>
            <w:pPr>
              <w:jc w:val="left"/>
              <w:spacing w:before="0" w:after="0"/>
            </w:pPr>
            <w:r>
              <w:rPr>
                <w:b w:val="0"/>
                <w:i w:val="0"/>
                <w:sz w:val="17"/>
              </w:rPr>
              <w:t>≥ 93% of target</w:t>
            </w:r>
          </w:p>
        </w:tc>
        <w:tc>
          <w:tcPr>
            <w:tcW w:type="dxa" w:w="2257"/>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213" w:type="dxa"/>
          </w:tcPr>
          <w:p>
            <w:pPr>
              <w:jc w:val="left"/>
              <w:spacing w:before="0" w:after="0"/>
            </w:pPr>
            <w:r>
              <w:rPr>
                <w:b w:val="0"/>
                <w:i w:val="0"/>
                <w:sz w:val="17"/>
              </w:rPr>
              <w:t>≥ 93% of target (gate)</w:t>
            </w:r>
          </w:p>
        </w:tc>
        <w:tc>
          <w:tcPr>
            <w:tcW w:type="dxa" w:w="2257"/>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214" w:type="dxa"/>
          </w:tcPr>
          <w:p>
            <w:pPr>
              <w:jc w:val="left"/>
              <w:spacing w:before="0" w:after="0"/>
            </w:pPr>
            <w:r>
              <w:rPr>
                <w:b w:val="0"/>
                <w:i w:val="0"/>
                <w:sz w:val="17"/>
              </w:rPr>
              <w:t>≥ 93% (for Slab 1)</w:t>
            </w:r>
          </w:p>
        </w:tc>
      </w:tr>
      <w:tr>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Additional KPI</w:t>
            </w:r>
          </w:p>
        </w:tc>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213" w:type="dxa"/>
          </w:tcPr>
          <w:p>
            <w:pPr>
              <w:jc w:val="left"/>
              <w:spacing w:before="0" w:after="0"/>
            </w:pPr>
            <w:r>
              <w:rPr>
                <w:b w:val="0"/>
                <w:i w:val="0"/>
                <w:sz w:val="17"/>
              </w:rPr>
              <w:t>Participation days ≥ N</w:t>
            </w:r>
          </w:p>
        </w:tc>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213" w:type="dxa"/>
          </w:tcPr>
          <w:p>
            <w:pPr>
              <w:jc w:val="left"/>
              <w:spacing w:before="0" w:after="0"/>
            </w:pPr>
            <w:r>
              <w:rPr>
                <w:b w:val="0"/>
                <w:i w:val="0"/>
                <w:sz w:val="17"/>
              </w:rPr>
              <w:t>20 GAs per 10-day window</w:t>
            </w:r>
          </w:p>
        </w:tc>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214" w:type="dxa"/>
          </w:tcPr>
          <w:p>
            <w:pPr>
              <w:jc w:val="left"/>
              <w:spacing w:before="0" w:after="0"/>
            </w:pPr>
            <w:r>
              <w:rPr>
                <w:b w:val="0"/>
                <w:i w:val="0"/>
                <w:sz w:val="17"/>
              </w:rPr>
              <w:t>≥ 95% recharge completion</w:t>
            </w:r>
          </w:p>
        </w:tc>
      </w:tr>
      <w:tr>
        <w:tc>
          <w:tcPr>
            <w:tcW w:type="dxa" w:w="2257"/>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AIT</w:t>
            </w:r>
          </w:p>
        </w:tc>
        <w:tc>
          <w:tcPr>
            <w:tcW w:type="dxa" w:w="2257"/>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213" w:type="dxa"/>
          </w:tcPr>
          <w:p>
            <w:pPr>
              <w:jc w:val="left"/>
              <w:spacing w:before="0" w:after="0"/>
            </w:pPr>
            <w:r>
              <w:rPr>
                <w:b w:val="0"/>
                <w:i w:val="0"/>
                <w:sz w:val="17"/>
              </w:rPr>
              <w:t>Applicable</w:t>
            </w:r>
          </w:p>
        </w:tc>
        <w:tc>
          <w:tcPr>
            <w:tcW w:type="dxa" w:w="2257"/>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213" w:type="dxa"/>
          </w:tcPr>
          <w:p>
            <w:pPr>
              <w:jc w:val="left"/>
              <w:spacing w:before="0" w:after="0"/>
            </w:pPr>
            <w:r>
              <w:rPr>
                <w:b w:val="0"/>
                <w:i w:val="0"/>
                <w:sz w:val="17"/>
              </w:rPr>
              <w:t>Applicable</w:t>
            </w:r>
          </w:p>
        </w:tc>
        <w:tc>
          <w:tcPr>
            <w:tcW w:type="dxa" w:w="2257"/>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214" w:type="dxa"/>
          </w:tcPr>
          <w:p>
            <w:pPr>
              <w:jc w:val="left"/>
              <w:spacing w:before="0" w:after="0"/>
            </w:pPr>
            <w:r>
              <w:rPr>
                <w:b w:val="0"/>
                <w:i w:val="0"/>
                <w:sz w:val="17"/>
              </w:rPr>
              <w:t>NOT Applicable</w:t>
            </w:r>
          </w:p>
        </w:tc>
      </w:tr>
      <w:tr>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Maturity Date</w:t>
            </w:r>
          </w:p>
        </w:tc>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213" w:type="dxa"/>
          </w:tcPr>
          <w:p>
            <w:pPr>
              <w:jc w:val="left"/>
              <w:spacing w:before="0" w:after="0"/>
            </w:pPr>
            <w:r>
              <w:rPr>
                <w:b w:val="0"/>
                <w:i w:val="0"/>
                <w:sz w:val="17"/>
              </w:rPr>
              <w:t>8th of next month</w:t>
            </w:r>
          </w:p>
        </w:tc>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213" w:type="dxa"/>
          </w:tcPr>
          <w:p>
            <w:pPr>
              <w:jc w:val="left"/>
              <w:spacing w:before="0" w:after="0"/>
            </w:pPr>
            <w:r>
              <w:rPr>
                <w:b w:val="0"/>
                <w:i w:val="0"/>
                <w:sz w:val="17"/>
              </w:rPr>
              <w:t>8th of next month</w:t>
            </w:r>
          </w:p>
        </w:tc>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214" w:type="dxa"/>
          </w:tcPr>
          <w:p>
            <w:pPr>
              <w:jc w:val="left"/>
              <w:spacing w:before="0" w:after="0"/>
            </w:pPr>
            <w:r>
              <w:rPr>
                <w:b w:val="0"/>
                <w:i w:val="0"/>
                <w:sz w:val="17"/>
              </w:rPr>
              <w:t>45 days after activation</w:t>
            </w:r>
          </w:p>
        </w:tc>
      </w:tr>
      <w:tr>
        <w:tc>
          <w:tcPr>
            <w:tcW w:type="dxa" w:w="2257"/>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CCR List Required</w:t>
            </w:r>
          </w:p>
        </w:tc>
        <w:tc>
          <w:tcPr>
            <w:tcW w:type="dxa" w:w="2257"/>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213" w:type="dxa"/>
          </w:tcPr>
          <w:p>
            <w:pPr>
              <w:jc w:val="left"/>
              <w:spacing w:before="0" w:after="0"/>
            </w:pPr>
            <w:r>
              <w:rPr>
                <w:b w:val="0"/>
                <w:i w:val="0"/>
                <w:sz w:val="17"/>
              </w:rPr>
              <w:t>No</w:t>
            </w:r>
          </w:p>
        </w:tc>
        <w:tc>
          <w:tcPr>
            <w:tcW w:type="dxa" w:w="2257"/>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213" w:type="dxa"/>
          </w:tcPr>
          <w:p>
            <w:pPr>
              <w:jc w:val="left"/>
              <w:spacing w:before="0" w:after="0"/>
            </w:pPr>
            <w:r>
              <w:rPr>
                <w:b w:val="0"/>
                <w:i w:val="0"/>
                <w:sz w:val="17"/>
              </w:rPr>
              <w:t>No</w:t>
            </w:r>
          </w:p>
        </w:tc>
        <w:tc>
          <w:tcPr>
            <w:tcW w:type="dxa" w:w="2257"/>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214" w:type="dxa"/>
          </w:tcPr>
          <w:p>
            <w:pPr>
              <w:jc w:val="left"/>
              <w:spacing w:before="0" w:after="0"/>
            </w:pPr>
            <w:r>
              <w:rPr>
                <w:b w:val="0"/>
                <w:i w:val="0"/>
                <w:sz w:val="17"/>
              </w:rPr>
              <w:t>Yes — listed CCRs only</w:t>
            </w:r>
          </w:p>
        </w:tc>
      </w:tr>
      <w:tr>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Slab Independence</w:t>
            </w:r>
          </w:p>
        </w:tc>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213" w:type="dxa"/>
          </w:tcPr>
          <w:p>
            <w:pPr>
              <w:jc w:val="left"/>
              <w:spacing w:before="0" w:after="0"/>
            </w:pPr>
            <w:r>
              <w:rPr>
                <w:b w:val="0"/>
                <w:i w:val="0"/>
                <w:sz w:val="17"/>
              </w:rPr>
              <w:t>N/A</w:t>
            </w:r>
          </w:p>
        </w:tc>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213" w:type="dxa"/>
          </w:tcPr>
          <w:p>
            <w:pPr>
              <w:jc w:val="left"/>
              <w:spacing w:before="0" w:after="0"/>
            </w:pPr>
            <w:r>
              <w:rPr>
                <w:b w:val="0"/>
                <w:i w:val="0"/>
                <w:sz w:val="17"/>
              </w:rPr>
              <w:t>Yes — Slab 2 without Slab 1</w:t>
            </w:r>
          </w:p>
        </w:tc>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214" w:type="dxa"/>
          </w:tcPr>
          <w:p>
            <w:pPr>
              <w:jc w:val="left"/>
              <w:spacing w:before="0" w:after="0"/>
            </w:pPr>
            <w:r>
              <w:rPr>
                <w:b w:val="0"/>
                <w:i w:val="0"/>
                <w:sz w:val="17"/>
              </w:rPr>
              <w:t>N/A</w:t>
            </w:r>
          </w:p>
        </w:tc>
      </w:tr>
    </w:tbl>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