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Calibri" w:hAnsi="Calibri"/>
          <w:b/>
          <w:i w:val="0"/>
          <w:color w:val="1F4E79"/>
          <w:sz w:val="44"/>
        </w:rPr>
        <w:t>RYZE Campaign</w:t>
      </w:r>
    </w:p>
    <w:p>
      <w:pPr>
        <w:spacing w:before="80" w:after="80"/>
        <w:jc w:val="center"/>
      </w:pPr>
      <w:r>
        <w:rPr>
          <w:rFonts w:ascii="Calibri" w:hAnsi="Calibri"/>
          <w:b/>
          <w:i w:val="0"/>
          <w:color w:val="2E75B6"/>
          <w:sz w:val="36"/>
        </w:rPr>
        <w:t>Unique KPI Conditions</w:t>
      </w:r>
    </w:p>
    <w:p>
      <w:pPr>
        <w:jc w:val="center"/>
        <w:pBdr>
          <w:bottom w:val="single" w:sz="12" w:space="1" w:color="2E75B6"/>
        </w:pBdr>
        <w:spacing w:before="0" w:after="0"/>
      </w:pPr>
    </w:p>
    <w:p>
      <w:pPr>
        <w:spacing w:before="200"/>
        <w:jc w:val="center"/>
      </w:pPr>
      <w:r>
        <w:rPr>
          <w:rFonts w:ascii="Calibri" w:hAnsi="Calibri"/>
          <w:b w:val="0"/>
          <w:i/>
          <w:color w:val="595959"/>
          <w:sz w:val="21"/>
        </w:rPr>
        <w:t>Banglalink – RYZE Digital Prepaid | 28 SRFs | Apr 2025 – Apr 2026+</w:t>
      </w:r>
    </w:p>
    <w:p/>
    <w:tbl>
      <w:tblPr>
        <w:tblLook w:firstColumn="1" w:firstRow="1" w:lastColumn="0" w:lastRow="0" w:noHBand="0" w:noVBand="1" w:val="04A0"/>
        <w:tblW w:w="8800" w:type="dxa"/>
      </w:tblPr>
      <w:tblGrid>
        <w:gridCol w:w="4513"/>
        <w:gridCol w:w="4513"/>
      </w:tblGrid>
      <w:tr>
        <w:tc>
          <w:tcPr>
            <w:shd w:val="clear" w:color="auto" w:fill="1F4E79"/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Attribute</w:t>
            </w:r>
          </w:p>
        </w:tc>
        <w:tc>
          <w:tcPr>
            <w:shd w:val="clear" w:color="auto" w:fill="1F4E79"/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</w:t>
            </w:r>
          </w:p>
        </w:tc>
      </w:tr>
      <w:tr>
        <w:tc>
          <w:tcPr>
            <w:shd w:val="clear" w:color="auto" w:fill="D6E4F0"/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Coverage Period</w:t>
            </w:r>
          </w:p>
        </w:tc>
        <w:tc>
          <w:tcPr>
            <w:shd w:val="clear" w:color="auto" w:fill="D6E4F0"/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April 2025 – April 2026 (ongoing)</w:t>
            </w:r>
          </w:p>
        </w:tc>
      </w:tr>
      <w:tr>
        <w:tc>
          <w:tcPr>
            <w:shd w:val="clear" w:color="auto" w:fill="D6E4F0"/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Total SRFs Covered</w:t>
            </w:r>
          </w:p>
        </w:tc>
        <w:tc>
          <w:tcPr>
            <w:shd w:val="clear" w:color="auto" w:fill="D6E4F0"/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28 Service Request Forms</w:t>
            </w:r>
          </w:p>
        </w:tc>
      </w:tr>
      <w:tr>
        <w:tc>
          <w:tcPr>
            <w:shd w:val="clear" w:color="auto" w:fill="D6E4F0"/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Channels Covered</w:t>
            </w:r>
          </w:p>
        </w:tc>
        <w:tc>
          <w:tcPr>
            <w:shd w:val="clear" w:color="auto" w:fill="D6E4F0"/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Device BP, BSP CCR, Monobrand CCR, Distributors, Retailers, CC, DSO, Supervisor</w:t>
            </w:r>
          </w:p>
        </w:tc>
      </w:tr>
      <w:tr>
        <w:tc>
          <w:tcPr>
            <w:shd w:val="clear" w:color="auto" w:fill="D6E4F0"/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Product</w:t>
            </w:r>
          </w:p>
        </w:tc>
        <w:tc>
          <w:tcPr>
            <w:shd w:val="clear" w:color="auto" w:fill="D6E4F0"/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RYZE Prepaid (Service Class 141)</w:t>
            </w:r>
          </w:p>
        </w:tc>
      </w:tr>
      <w:tr>
        <w:tc>
          <w:tcPr>
            <w:shd w:val="clear" w:color="auto" w:fill="D6E4F0"/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Document Purpose</w:t>
            </w:r>
          </w:p>
        </w:tc>
        <w:tc>
          <w:tcPr>
            <w:shd w:val="clear" w:color="auto" w:fill="D6E4F0"/>
            <w:tcW w:w="6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Catalogue all unique KPI conditions across all RYZE SRFs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120" w:after="240"/>
        <w:jc w:val="center"/>
      </w:pPr>
      <w:r>
        <w:rPr>
          <w:rFonts w:ascii="Calibri" w:hAnsi="Calibri"/>
          <w:b/>
          <w:i w:val="0"/>
          <w:color w:val="1F4E79"/>
          <w:sz w:val="28"/>
        </w:rPr>
        <w:t>TABLE OF CONTENTS</w:t>
      </w:r>
    </w:p>
    <w:p>
      <w:pPr>
        <w:spacing w:before="40" w:after="40"/>
      </w:pPr>
      <w:hyperlink w:anchor="sec1">
        <w:r>
          <w:rPr>
            <w:rStyle w:val="Hyperlink"/>
            <w:sz w:val="20"/>
            <w:szCs w:val="20"/>
          </w:rPr>
          <w:t>Section 1:  Overview &amp; Campaign Taxonomy</w:t>
        </w:r>
      </w:hyperlink>
    </w:p>
    <w:p>
      <w:pPr>
        <w:spacing w:before="40" w:after="40"/>
      </w:pPr>
      <w:hyperlink w:anchor="sec2">
        <w:r>
          <w:rPr>
            <w:rStyle w:val="Hyperlink"/>
            <w:sz w:val="20"/>
            <w:szCs w:val="20"/>
          </w:rPr>
          <w:t>Section 2:  Core Definitions &amp; Eligibility Rules</w:t>
        </w:r>
      </w:hyperlink>
    </w:p>
    <w:p>
      <w:pPr>
        <w:spacing w:before="40" w:after="40"/>
      </w:pPr>
      <w:hyperlink w:anchor="sec3">
        <w:r>
          <w:rPr>
            <w:rStyle w:val="Hyperlink"/>
            <w:sz w:val="20"/>
            <w:szCs w:val="20"/>
          </w:rPr>
          <w:t>Section 3:  Device BP GA Campaigns (Apr25–Jun25)</w:t>
        </w:r>
      </w:hyperlink>
    </w:p>
    <w:p>
      <w:pPr>
        <w:spacing w:before="40" w:after="40"/>
      </w:pPr>
      <w:hyperlink w:anchor="sec4">
        <w:r>
          <w:rPr>
            <w:rStyle w:val="Hyperlink"/>
            <w:sz w:val="20"/>
            <w:szCs w:val="20"/>
          </w:rPr>
          <w:t>Section 4:  BSP CCR GA Campaign (May25)</w:t>
        </w:r>
      </w:hyperlink>
    </w:p>
    <w:p>
      <w:pPr>
        <w:spacing w:before="40" w:after="40"/>
      </w:pPr>
      <w:hyperlink w:anchor="sec5">
        <w:r>
          <w:rPr>
            <w:rStyle w:val="Hyperlink"/>
            <w:sz w:val="20"/>
            <w:szCs w:val="20"/>
          </w:rPr>
          <w:t>Section 5:  Monobrand CCR GA Campaigns (May25–Jun25)</w:t>
        </w:r>
      </w:hyperlink>
    </w:p>
    <w:p>
      <w:pPr>
        <w:spacing w:before="40" w:after="40"/>
      </w:pPr>
      <w:hyperlink w:anchor="sec6">
        <w:r>
          <w:rPr>
            <w:rStyle w:val="Hyperlink"/>
            <w:sz w:val="20"/>
            <w:szCs w:val="20"/>
          </w:rPr>
          <w:t>Section 6:  Jun25 Upfront + Conditional Commission</w:t>
        </w:r>
      </w:hyperlink>
    </w:p>
    <w:p>
      <w:pPr>
        <w:spacing w:before="40" w:after="40"/>
      </w:pPr>
      <w:hyperlink w:anchor="sec7">
        <w:r>
          <w:rPr>
            <w:rStyle w:val="Hyperlink"/>
            <w:sz w:val="20"/>
            <w:szCs w:val="20"/>
          </w:rPr>
          <w:t>Section 7:  Distributor Per-GA Flat Commission</w:t>
        </w:r>
      </w:hyperlink>
    </w:p>
    <w:p>
      <w:pPr>
        <w:spacing w:before="40" w:after="40"/>
      </w:pPr>
      <w:hyperlink w:anchor="sec8">
        <w:r>
          <w:rPr>
            <w:rStyle w:val="Hyperlink"/>
            <w:sz w:val="20"/>
            <w:szCs w:val="20"/>
          </w:rPr>
          <w:t>Section 8:  Distributor ROI Support (Sep25–Oct25)</w:t>
        </w:r>
      </w:hyperlink>
    </w:p>
    <w:p>
      <w:pPr>
        <w:spacing w:before="40" w:after="40"/>
      </w:pPr>
      <w:hyperlink w:anchor="sec9">
        <w:r>
          <w:rPr>
            <w:rStyle w:val="Hyperlink"/>
            <w:sz w:val="20"/>
            <w:szCs w:val="20"/>
          </w:rPr>
          <w:t>Section 9:  Distributor Slab-Based GA Campaigns</w:t>
        </w:r>
      </w:hyperlink>
    </w:p>
    <w:p>
      <w:pPr>
        <w:spacing w:before="40" w:after="40"/>
      </w:pPr>
      <w:hyperlink w:anchor="sec10">
        <w:r>
          <w:rPr>
            <w:rStyle w:val="Hyperlink"/>
            <w:sz w:val="20"/>
            <w:szCs w:val="20"/>
          </w:rPr>
          <w:t>Section 10:  Distributor Follow-Up Recharge (Oct25)</w:t>
        </w:r>
      </w:hyperlink>
    </w:p>
    <w:p>
      <w:pPr>
        <w:spacing w:before="40" w:after="40"/>
      </w:pPr>
      <w:hyperlink w:anchor="sec11">
        <w:r>
          <w:rPr>
            <w:rStyle w:val="Hyperlink"/>
            <w:sz w:val="20"/>
            <w:szCs w:val="20"/>
          </w:rPr>
          <w:t>Section 11:  Distributor Follow-Up Bundle Recharge (Jan26)</w:t>
        </w:r>
      </w:hyperlink>
    </w:p>
    <w:p>
      <w:pPr>
        <w:spacing w:before="40" w:after="40"/>
      </w:pPr>
      <w:hyperlink w:anchor="sec12">
        <w:r>
          <w:rPr>
            <w:rStyle w:val="Hyperlink"/>
            <w:sz w:val="20"/>
            <w:szCs w:val="20"/>
          </w:rPr>
          <w:t>Section 12:  Distributor Preponement Commission</w:t>
        </w:r>
      </w:hyperlink>
    </w:p>
    <w:p>
      <w:pPr>
        <w:spacing w:before="40" w:after="40"/>
      </w:pPr>
      <w:hyperlink w:anchor="sec13">
        <w:r>
          <w:rPr>
            <w:rStyle w:val="Hyperlink"/>
            <w:sz w:val="20"/>
            <w:szCs w:val="20"/>
          </w:rPr>
          <w:t>Section 13:  Distributor Powerplay Campaign (Apr26)</w:t>
        </w:r>
      </w:hyperlink>
    </w:p>
    <w:p>
      <w:pPr>
        <w:spacing w:before="40" w:after="40"/>
      </w:pPr>
      <w:hyperlink w:anchor="sec14">
        <w:r>
          <w:rPr>
            <w:rStyle w:val="Hyperlink"/>
            <w:sz w:val="20"/>
            <w:szCs w:val="20"/>
          </w:rPr>
          <w:t>Section 14:  Retailer GA Commission (Jan26+)</w:t>
        </w:r>
      </w:hyperlink>
    </w:p>
    <w:p>
      <w:pPr>
        <w:spacing w:before="40" w:after="40"/>
      </w:pPr>
      <w:hyperlink w:anchor="sec15">
        <w:r>
          <w:rPr>
            <w:rStyle w:val="Hyperlink"/>
            <w:sz w:val="20"/>
            <w:szCs w:val="20"/>
          </w:rPr>
          <w:t>Section 15:  CC Variable Commission (Jan26–Mar26)</w:t>
        </w:r>
      </w:hyperlink>
    </w:p>
    <w:p>
      <w:pPr>
        <w:spacing w:before="40" w:after="40"/>
      </w:pPr>
      <w:hyperlink w:anchor="sec16">
        <w:r>
          <w:rPr>
            <w:rStyle w:val="Hyperlink"/>
            <w:sz w:val="20"/>
            <w:szCs w:val="20"/>
          </w:rPr>
          <w:t>Section 16:  CC Pohela Boishak Campaign (14 Apr 2026)</w:t>
        </w:r>
      </w:hyperlink>
    </w:p>
    <w:p>
      <w:pPr>
        <w:spacing w:before="40" w:after="40"/>
      </w:pPr>
      <w:hyperlink w:anchor="sec17">
        <w:r>
          <w:rPr>
            <w:rStyle w:val="Hyperlink"/>
            <w:sz w:val="20"/>
            <w:szCs w:val="20"/>
          </w:rPr>
          <w:t>Section 17:  DSO Variable Commission (Jan26)</w:t>
        </w:r>
      </w:hyperlink>
    </w:p>
    <w:p>
      <w:pPr>
        <w:spacing w:before="40" w:after="40"/>
      </w:pPr>
      <w:hyperlink w:anchor="sec18">
        <w:r>
          <w:rPr>
            <w:rStyle w:val="Hyperlink"/>
            <w:sz w:val="20"/>
            <w:szCs w:val="20"/>
          </w:rPr>
          <w:t>Section 18:  DSO Pohela Boishak Campaign (14 Apr 2026)</w:t>
        </w:r>
      </w:hyperlink>
    </w:p>
    <w:p>
      <w:pPr>
        <w:spacing w:before="40" w:after="40"/>
      </w:pPr>
      <w:hyperlink w:anchor="sec19">
        <w:r>
          <w:rPr>
            <w:rStyle w:val="Hyperlink"/>
            <w:sz w:val="20"/>
            <w:szCs w:val="20"/>
          </w:rPr>
          <w:t>Section 19:  Supervisor Variable Commission (Jan26)</w:t>
        </w:r>
      </w:hyperlink>
    </w:p>
    <w:p>
      <w:pPr>
        <w:spacing w:before="40" w:after="40"/>
      </w:pPr>
      <w:hyperlink w:anchor="sec20">
        <w:r>
          <w:rPr>
            <w:rStyle w:val="Hyperlink"/>
            <w:sz w:val="20"/>
            <w:szCs w:val="20"/>
          </w:rPr>
          <w:t>Section 20:  Universal General Conditions</w:t>
        </w:r>
      </w:hyperlink>
    </w:p>
    <w:p>
      <w:pPr>
        <w:spacing w:before="40" w:after="40"/>
        <w:ind w:left="0"/>
      </w:pPr>
      <w:hyperlink w:anchor="appA">
        <w:r>
          <w:rPr>
            <w:rStyle w:val="Hyperlink"/>
            <w:sz w:val="20"/>
            <w:szCs w:val="20"/>
          </w:rPr>
          <w:t>Section A:  Appendix A – Campaign Quick Reference Matrix</w:t>
        </w:r>
      </w:hyperlink>
    </w:p>
    <w:p>
      <w:pPr>
        <w:spacing w:before="0" w:after="0"/>
      </w:pPr>
      <w:r>
        <w:br w:type="page"/>
      </w:r>
    </w:p>
    <w:p>
      <w:bookmarkStart w:id="1" w:name="sec1"/>
      <w:pPr>
        <w:spacing w:before="240" w:after="80"/>
        <w:shd w:val="clear" w:color="auto" w:fill="1F4E79"/>
        <w:ind w:left="113" w:right="113"/>
        <w:ind w:left="120"/>
      </w:pPr>
      <w:r>
        <w:rPr>
          <w:rFonts w:ascii="Calibri" w:hAnsi="Calibri"/>
          <w:b/>
          <w:i w:val="0"/>
          <w:color w:val="FFFFFF"/>
          <w:sz w:val="28"/>
        </w:rPr>
        <w:t>Section 1: Overview &amp; Campaign Taxonomy</w:t>
      </w:r>
      <w:bookmarkEnd w:id="1"/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RYZE is Banglalink's digital-first prepaid product assigned to Service Class 141. It is completely distinct from all other prepaid products; therefore RYZE GAs are excluded from all standard prepaid commission calculations and tracked separately under the RYZE team.</w:t>
      </w:r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This document catalogues all unique KPI conditions extracted from 28 RYZE SRFs spanning April 2025 through April 2026 and beyond.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1.1 Channels &amp; Campaign Summary</w:t>
      </w:r>
    </w:p>
    <w:tbl>
      <w:tblPr>
        <w:tblLook w:firstColumn="1" w:firstRow="1" w:lastColumn="0" w:lastRow="0" w:noHBand="0" w:noVBand="1" w:val="04A0"/>
        <w:tblW w:w="9200" w:type="dxa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shd w:val="clear" w:color="auto" w:fill="1F4E79"/>
            <w:tcW w:w="1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shd w:val="clear" w:color="auto" w:fill="1F4E79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Channel</w:t>
            </w:r>
          </w:p>
        </w:tc>
        <w:tc>
          <w:tcPr>
            <w:shd w:val="clear" w:color="auto" w:fill="1F4E79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Campaign Type</w:t>
            </w:r>
          </w:p>
        </w:tc>
        <w:tc>
          <w:tcPr>
            <w:shd w:val="clear" w:color="auto" w:fill="1F4E79"/>
            <w:tcW w:w="1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Period</w:t>
            </w:r>
          </w:p>
        </w:tc>
        <w:tc>
          <w:tcPr>
            <w:shd w:val="clear" w:color="auto" w:fill="1F4E79"/>
            <w:tcW w:w="1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SRF Count</w:t>
            </w:r>
          </w:p>
        </w:tc>
      </w:tr>
      <w:tr>
        <w:tc>
          <w:tcPr>
            <w:shd w:val="clear" w:color="auto" w:fill="FFFFFF"/>
            <w:tcW w:w="1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shd w:val="clear" w:color="auto" w:fill="FFFFFF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Device BP (Business Partner)</w:t>
            </w:r>
          </w:p>
        </w:tc>
        <w:tc>
          <w:tcPr>
            <w:shd w:val="clear" w:color="auto" w:fill="FFFFFF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Per-GA slab + upfront/conditional</w:t>
            </w:r>
          </w:p>
        </w:tc>
        <w:tc>
          <w:tcPr>
            <w:shd w:val="clear" w:color="auto" w:fill="FFFFFF"/>
            <w:tcW w:w="1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Apr25–Jun25</w:t>
            </w:r>
          </w:p>
        </w:tc>
        <w:tc>
          <w:tcPr>
            <w:shd w:val="clear" w:color="auto" w:fill="FFFFFF"/>
            <w:tcW w:w="1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shd w:val="clear" w:color="auto" w:fill="F2F2F2"/>
            <w:tcW w:w="1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shd w:val="clear" w:color="auto" w:fill="F2F2F2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BSP CCR</w:t>
            </w:r>
          </w:p>
        </w:tc>
        <w:tc>
          <w:tcPr>
            <w:shd w:val="clear" w:color="auto" w:fill="F2F2F2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Per-GA slab + daily participation bonus</w:t>
            </w:r>
          </w:p>
        </w:tc>
        <w:tc>
          <w:tcPr>
            <w:shd w:val="clear" w:color="auto" w:fill="F2F2F2"/>
            <w:tcW w:w="1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May25</w:t>
            </w:r>
          </w:p>
        </w:tc>
        <w:tc>
          <w:tcPr>
            <w:shd w:val="clear" w:color="auto" w:fill="F2F2F2"/>
            <w:tcW w:w="1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shd w:val="clear" w:color="auto" w:fill="FFFFFF"/>
            <w:tcW w:w="1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shd w:val="clear" w:color="auto" w:fill="FFFFFF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Monobrand CCR</w:t>
            </w:r>
          </w:p>
        </w:tc>
        <w:tc>
          <w:tcPr>
            <w:shd w:val="clear" w:color="auto" w:fill="FFFFFF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Per-GA slab + center gate + upfront/conditional</w:t>
            </w:r>
          </w:p>
        </w:tc>
        <w:tc>
          <w:tcPr>
            <w:shd w:val="clear" w:color="auto" w:fill="FFFFFF"/>
            <w:tcW w:w="1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May25–Jun25</w:t>
            </w:r>
          </w:p>
        </w:tc>
        <w:tc>
          <w:tcPr>
            <w:shd w:val="clear" w:color="auto" w:fill="FFFFFF"/>
            <w:tcW w:w="1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shd w:val="clear" w:color="auto" w:fill="F2F2F2"/>
            <w:tcW w:w="1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shd w:val="clear" w:color="auto" w:fill="F2F2F2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Distributor</w:t>
            </w:r>
          </w:p>
        </w:tc>
        <w:tc>
          <w:tcPr>
            <w:shd w:val="clear" w:color="auto" w:fill="F2F2F2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Flat per-GA, ROI Support, Slab-based, Follow-up Recharge, Preponement, Powerplay</w:t>
            </w:r>
          </w:p>
        </w:tc>
        <w:tc>
          <w:tcPr>
            <w:shd w:val="clear" w:color="auto" w:fill="F2F2F2"/>
            <w:tcW w:w="1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Sep25–Apr26+</w:t>
            </w:r>
          </w:p>
        </w:tc>
        <w:tc>
          <w:tcPr>
            <w:shd w:val="clear" w:color="auto" w:fill="F2F2F2"/>
            <w:tcW w:w="1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14</w:t>
            </w:r>
          </w:p>
        </w:tc>
      </w:tr>
      <w:tr>
        <w:tc>
          <w:tcPr>
            <w:shd w:val="clear" w:color="auto" w:fill="FFFFFF"/>
            <w:tcW w:w="1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shd w:val="clear" w:color="auto" w:fill="FFFFFF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Retailer</w:t>
            </w:r>
          </w:p>
        </w:tc>
        <w:tc>
          <w:tcPr>
            <w:shd w:val="clear" w:color="auto" w:fill="FFFFFF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Tier-based gift voucher (Daraz)</w:t>
            </w:r>
          </w:p>
        </w:tc>
        <w:tc>
          <w:tcPr>
            <w:shd w:val="clear" w:color="auto" w:fill="FFFFFF"/>
            <w:tcW w:w="1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Jan26+</w:t>
            </w:r>
          </w:p>
        </w:tc>
        <w:tc>
          <w:tcPr>
            <w:shd w:val="clear" w:color="auto" w:fill="FFFFFF"/>
            <w:tcW w:w="1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shd w:val="clear" w:color="auto" w:fill="F2F2F2"/>
            <w:tcW w:w="1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shd w:val="clear" w:color="auto" w:fill="F2F2F2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CC (Channel Coordinator)</w:t>
            </w:r>
          </w:p>
        </w:tc>
        <w:tc>
          <w:tcPr>
            <w:shd w:val="clear" w:color="auto" w:fill="F2F2F2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Variable + Boishak one-day</w:t>
            </w:r>
          </w:p>
        </w:tc>
        <w:tc>
          <w:tcPr>
            <w:shd w:val="clear" w:color="auto" w:fill="F2F2F2"/>
            <w:tcW w:w="1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Jan26–Apr26</w:t>
            </w:r>
          </w:p>
        </w:tc>
        <w:tc>
          <w:tcPr>
            <w:shd w:val="clear" w:color="auto" w:fill="F2F2F2"/>
            <w:tcW w:w="1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shd w:val="clear" w:color="auto" w:fill="FFFFFF"/>
            <w:tcW w:w="1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shd w:val="clear" w:color="auto" w:fill="FFFFFF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DSO (Distribution Support Officer)</w:t>
            </w:r>
          </w:p>
        </w:tc>
        <w:tc>
          <w:tcPr>
            <w:shd w:val="clear" w:color="auto" w:fill="FFFFFF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Variable + Boishak one-day</w:t>
            </w:r>
          </w:p>
        </w:tc>
        <w:tc>
          <w:tcPr>
            <w:shd w:val="clear" w:color="auto" w:fill="FFFFFF"/>
            <w:tcW w:w="1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Jan26–Apr26</w:t>
            </w:r>
          </w:p>
        </w:tc>
        <w:tc>
          <w:tcPr>
            <w:shd w:val="clear" w:color="auto" w:fill="FFFFFF"/>
            <w:tcW w:w="1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shd w:val="clear" w:color="auto" w:fill="F2F2F2"/>
            <w:tcW w:w="1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shd w:val="clear" w:color="auto" w:fill="F2F2F2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Supervisor</w:t>
            </w:r>
          </w:p>
        </w:tc>
        <w:tc>
          <w:tcPr>
            <w:shd w:val="clear" w:color="auto" w:fill="F2F2F2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Variable (GA + daily allowance)</w:t>
            </w:r>
          </w:p>
        </w:tc>
        <w:tc>
          <w:tcPr>
            <w:shd w:val="clear" w:color="auto" w:fill="F2F2F2"/>
            <w:tcW w:w="1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Jan26</w:t>
            </w:r>
          </w:p>
        </w:tc>
        <w:tc>
          <w:tcPr>
            <w:shd w:val="clear" w:color="auto" w:fill="F2F2F2"/>
            <w:tcW w:w="1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</w:tr>
    </w:tbl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1.2 Product Code Reference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DMS Product Codes: RYZ1001 (Physical SIM), RYZ1001-ESIM (eSIM variant)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Service Class: 141 (exclusive to RYZE prepaid – not shared with other prepaid products)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MNP Port-IN: Counted as a RYZE GA when porting into RYZE based on FCD/FAD</w:t>
      </w:r>
    </w:p>
    <w:p>
      <w:pPr>
        <w:spacing w:before="0" w:after="0"/>
      </w:pPr>
      <w:r>
        <w:br w:type="page"/>
      </w:r>
    </w:p>
    <w:p>
      <w:bookmarkStart w:id="2" w:name="sec2"/>
      <w:pPr>
        <w:spacing w:before="240" w:after="80"/>
        <w:shd w:val="clear" w:color="auto" w:fill="1F4E79"/>
        <w:ind w:left="113" w:right="113"/>
        <w:ind w:left="120"/>
      </w:pPr>
      <w:r>
        <w:rPr>
          <w:rFonts w:ascii="Calibri" w:hAnsi="Calibri"/>
          <w:b/>
          <w:i w:val="0"/>
          <w:color w:val="FFFFFF"/>
          <w:sz w:val="28"/>
        </w:rPr>
        <w:t>Section 2: Core Definitions &amp; Eligibility Rules</w:t>
      </w:r>
      <w:bookmarkEnd w:id="2"/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2.1 RYZE Gross Add (GA) Definition</w:t>
      </w:r>
    </w:p>
    <w:p>
      <w:pPr>
        <w:spacing w:before="20" w:after="60"/>
      </w:pPr>
      <w:r>
        <w:rPr>
          <w:rFonts w:ascii="Calibri" w:hAnsi="Calibri"/>
          <w:b/>
          <w:i w:val="0"/>
          <w:sz w:val="21"/>
        </w:rPr>
        <w:t>A RYZE GA is a successful RYZE Prepaid activation verified by: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FCD (First Call Date): Primary activation timestamp used for commission month attribution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FAD (First Activity Date): Used in some SRFs as an alternative activation date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Activation must occur within the defined promotion period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Only ETSAF-validated activations are counted (see Section 2.2)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MNP Port-IN connections also qualify as GA based on FCD/FAD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From Jun25 onwards for field force campaigns: RYZE App sign-up on the FCD is mandatory for the GA to qualify</w:t>
      </w:r>
    </w:p>
    <w:p>
      <w:pPr>
        <w:spacing w:before="60" w:after="60"/>
        <w:ind w:left="170"/>
        <w:shd w:val="clear" w:color="auto" w:fill="FFF2CC"/>
      </w:pPr>
      <w:r>
        <w:rPr>
          <w:rFonts w:ascii="Calibri" w:hAnsi="Calibri"/>
          <w:b w:val="0"/>
          <w:i/>
          <w:color w:val="595959"/>
          <w:sz w:val="20"/>
        </w:rPr>
        <w:t>IMPORTANT: RYZE GAs are completely separate from standard prepaid activations. Service Class 141 is dedicated exclusively to RYZE.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2.2 ETSAF (Electronic Telecom Subscriber Activation Form)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98% ETSAF compliance threshold applies universally across all RYZE SRFs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Deadline: All accepted/verified or submitted ETSAFs must be cleared by the 7th of the following month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Consequence of falling below 98%: The entire payout becomes zero (binary gate – not proportional)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Exception (Distributor Flat Commission): ETSAF is validated per-GA; non-compliant GAs are individually excluded rather than zeroing the entire batch</w:t>
      </w:r>
    </w:p>
    <w:p>
      <w:pPr>
        <w:spacing w:before="60" w:after="60"/>
        <w:ind w:left="170"/>
        <w:shd w:val="clear" w:color="auto" w:fill="FFF2CC"/>
      </w:pPr>
      <w:r>
        <w:rPr>
          <w:rFonts w:ascii="Calibri" w:hAnsi="Calibri"/>
          <w:b w:val="0"/>
          <w:i/>
          <w:color w:val="595959"/>
          <w:sz w:val="20"/>
        </w:rPr>
        <w:t>ETSAF 98% compliance is the most critical universal gate in all RYZE campaigns.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2.3 RYZE App Sign-Up Requirement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Mandatory from Jun25 onwards for field force campaigns (Device BP, Monobrand, CC, DSO, Supervisor, Retailers)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The customer must complete RYZE App sign-up on/before the FCD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GAs without App sign-up are excluded from commission even if ETSAF-valid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Pohela Boishak one-day campaigns (Apr26): Only GAs with completed App sign-up count toward slab achievement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Retailer campaigns: 100% of GAs on the list must have App sign-up (gate; zero if below 100%)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2.4 VLR (Visitor Location Register) – Variable Commission Modifier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VLR measures active subscriber presence in the network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Used as a payout modifier in CC and DSO Variable Commission campaigns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VLR ≥ 80%: Full 100% of earned variable commission paid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VLR ≥ 60% and &lt; 80%: Prorated payout (proportional to VLR%)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VLR &lt; 60%: Zero commission paid (despite achieving GA threshold)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Supervisor Variable Commission: VLR condition does NOT apply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2.5 Disconnection Policy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Data cutoff: T-6 (6 days before report generation date)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Any GA disconnected due to non-compliance is excluded from commission calculation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Disconnection between FCD and latest data up to T-6 is checked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Distributors: Non-compliant disconnections are discarded from the per-GA commission count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2.6 Advance Income Tax (AIT)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APPLICABLE: Distributor campaigns (all types) – as per Income Tax Law provisions and any government charges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NOT APPLICABLE: BSP CCR, Device BP, Monobrand field force campaigns (explicitly stated in SRFs)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CC, DSO, Supervisor: Not explicitly stated (handled through payroll/HR)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2.7 Mathematical Rounding Rule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Universal across all campaigns: Standard rounding – below 0.5 rounds down; 0.5 and above rounds up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Applies to all commission calculations, target achievement percentages, and prorated amounts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2.8 DMS Mapping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All distributor-retailer-MSISDN mapping uses DMS (Distribution Management System)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DMS mapping is used for commission month attribution of all distributor campaigns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Product codes in DMS: RYZ1001 and RYZ1001-ESIM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2.9 Minimum Recharge Condition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BDT 200 within 60 days of activation qualifies as a valid recharge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Counted cumulatively (any channel, OTT, bundles, add-ons all qualify)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Used in distributor ROI Support and slab-based GA campaigns as a follow-up condition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The 60-day window is absolute from activation date (not calendar month)</w:t>
      </w:r>
    </w:p>
    <w:p>
      <w:pPr>
        <w:spacing w:before="0" w:after="0"/>
      </w:pPr>
      <w:r>
        <w:br w:type="page"/>
      </w:r>
    </w:p>
    <w:p>
      <w:bookmarkStart w:id="3" w:name="sec3"/>
      <w:pPr>
        <w:spacing w:before="240" w:after="80"/>
        <w:shd w:val="clear" w:color="auto" w:fill="1F4E79"/>
        <w:ind w:left="113" w:right="113"/>
        <w:ind w:left="120"/>
      </w:pPr>
      <w:r>
        <w:rPr>
          <w:rFonts w:ascii="Calibri" w:hAnsi="Calibri"/>
          <w:b/>
          <w:i w:val="0"/>
          <w:color w:val="FFFFFF"/>
          <w:sz w:val="28"/>
        </w:rPr>
        <w:t>Section 3: Device BP GA Campaigns (Apr25–Jun25)</w:t>
      </w:r>
      <w:bookmarkEnd w:id="3"/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3.1 Apr25 – Device BP Incentive (Initial Launch Campaign)</w:t>
      </w:r>
    </w:p>
    <w:p>
      <w:pPr>
        <w:spacing w:before="20" w:after="60"/>
      </w:pPr>
      <w:r>
        <w:rPr>
          <w:rFonts w:ascii="Calibri" w:hAnsi="Calibri"/>
          <w:b w:val="0"/>
          <w:i/>
          <w:color w:val="595959"/>
          <w:sz w:val="21"/>
        </w:rPr>
        <w:t>Effective: Apr 2025 onwards (first RYZE Device BP SRF)</w:t>
      </w:r>
    </w:p>
    <w:tbl>
      <w:tblPr>
        <w:tblLook w:firstColumn="1" w:firstRow="1" w:lastColumn="0" w:lastRow="0" w:noHBand="0" w:noVBand="1" w:val="04A0"/>
        <w:tblW w:w="8000" w:type="dxa"/>
      </w:tblPr>
      <w:tblGrid>
        <w:gridCol w:w="2256"/>
        <w:gridCol w:w="2256"/>
        <w:gridCol w:w="2256"/>
        <w:gridCol w:w="2256"/>
      </w:tblGrid>
      <w:tr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Slab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GA Range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Commission/GA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Slab 1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30 – 59 GA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70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Monthly cumulative</w:t>
            </w:r>
          </w:p>
        </w:tc>
      </w:tr>
      <w:tr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Slab 2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60 – 100 GA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100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Max 100 GA cap</w:t>
            </w:r>
          </w:p>
        </w:tc>
      </w:tr>
    </w:tbl>
    <w:p>
      <w:pPr>
        <w:spacing w:before="20" w:after="60"/>
      </w:pPr>
      <w:r>
        <w:rPr>
          <w:rFonts w:ascii="Calibri" w:hAnsi="Calibri"/>
          <w:b/>
          <w:i w:val="0"/>
          <w:sz w:val="21"/>
        </w:rPr>
        <w:t>Key Conditions (Apr25):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Product codes: RYZ1001 and RYZ1001-ESIM in DMS (specific to Apr25)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No RYZE App sign-up requirement (pre-App launch period)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ETSAF: Standard condition applies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Maturity: 1st of following month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AIT: Not applicable for Device BP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No daily participation bonus in this period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3.2 May25 – Device BP GA Campaign</w:t>
      </w:r>
    </w:p>
    <w:p>
      <w:pPr>
        <w:spacing w:before="20" w:after="60"/>
      </w:pPr>
      <w:r>
        <w:rPr>
          <w:rFonts w:ascii="Calibri" w:hAnsi="Calibri"/>
          <w:b w:val="0"/>
          <w:i/>
          <w:color w:val="595959"/>
          <w:sz w:val="21"/>
        </w:rPr>
        <w:t>Effective: May 2025</w:t>
      </w:r>
    </w:p>
    <w:tbl>
      <w:tblPr>
        <w:tblLook w:firstColumn="1" w:firstRow="1" w:lastColumn="0" w:lastRow="0" w:noHBand="0" w:noVBand="1" w:val="04A0"/>
        <w:tblW w:w="9000" w:type="dxa"/>
      </w:tblPr>
      <w:tblGrid>
        <w:gridCol w:w="2256"/>
        <w:gridCol w:w="2256"/>
        <w:gridCol w:w="2256"/>
        <w:gridCol w:w="2256"/>
      </w:tblGrid>
      <w:tr>
        <w:tc>
          <w:tcPr>
            <w:shd w:val="clear" w:color="auto" w:fill="1F4E79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Slab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GA Range</w:t>
            </w:r>
          </w:p>
        </w:tc>
        <w:tc>
          <w:tcPr>
            <w:shd w:val="clear" w:color="auto" w:fill="1F4E79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Commission/GA</w:t>
            </w:r>
          </w:p>
        </w:tc>
        <w:tc>
          <w:tcPr>
            <w:shd w:val="clear" w:color="auto" w:fill="1F4E79"/>
            <w:tcW w:w="33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Slab 1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31 – 50 GA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50/GA</w:t>
            </w:r>
          </w:p>
        </w:tc>
        <w:tc>
          <w:tcPr>
            <w:shd w:val="clear" w:color="auto" w:fill="FFFFFF"/>
            <w:tcW w:w="33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Monthly cumulative</w:t>
            </w:r>
          </w:p>
        </w:tc>
      </w:tr>
      <w:tr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Slab 2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51 – 100 GA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70/GA</w:t>
            </w:r>
          </w:p>
        </w:tc>
        <w:tc>
          <w:tcPr>
            <w:shd w:val="clear" w:color="auto" w:fill="F2F2F2"/>
            <w:tcW w:w="33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Max 100 GA cap</w:t>
            </w:r>
          </w:p>
        </w:tc>
      </w:tr>
      <w:tr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Participation Bonus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100% daily participation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1,000 (flat)</w:t>
            </w:r>
          </w:p>
        </w:tc>
        <w:tc>
          <w:tcPr>
            <w:shd w:val="clear" w:color="auto" w:fill="FFFFFF"/>
            <w:tcW w:w="33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Stricter than BSP's 85% requirement</w:t>
            </w:r>
          </w:p>
        </w:tc>
      </w:tr>
    </w:tbl>
    <w:p>
      <w:pPr>
        <w:spacing w:before="20" w:after="60"/>
      </w:pPr>
      <w:r>
        <w:rPr>
          <w:rFonts w:ascii="Calibri" w:hAnsi="Calibri"/>
          <w:b/>
          <w:i w:val="0"/>
          <w:sz w:val="21"/>
        </w:rPr>
        <w:t>Key Conditions (May25 Device BP):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Daily participation rate must be exactly 100% for the BDT 1,000 bonus (stricter than BSP CCR's 85% threshold)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No RYZE App sign-up requirement yet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AIT: Not applicable for Device BP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ETSAF 98% compliance by 7th of following month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3.3 Jun25 – Device BP Upfront + Conditional Commission</w:t>
      </w:r>
    </w:p>
    <w:p>
      <w:pPr>
        <w:spacing w:before="20" w:after="60"/>
      </w:pPr>
      <w:r>
        <w:rPr>
          <w:rFonts w:ascii="Calibri" w:hAnsi="Calibri"/>
          <w:b w:val="0"/>
          <w:i/>
          <w:color w:val="595959"/>
          <w:sz w:val="21"/>
        </w:rPr>
        <w:t>Effective: June 2025 (first campaign with RYZE App requirement + conditional commission structure)</w:t>
      </w:r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This introduced the 2-tier commission structure: upfront per GA + conditional bonus based on Jul25 pack purchases.</w:t>
      </w:r>
    </w:p>
    <w:tbl>
      <w:tblPr>
        <w:tblLook w:firstColumn="1" w:firstRow="1" w:lastColumn="0" w:lastRow="0" w:noHBand="0" w:noVBand="1" w:val="04A0"/>
        <w:tblW w:w="9200" w:type="dxa"/>
      </w:tblPr>
      <w:tblGrid>
        <w:gridCol w:w="2256"/>
        <w:gridCol w:w="2256"/>
        <w:gridCol w:w="2256"/>
        <w:gridCol w:w="2256"/>
      </w:tblGrid>
      <w:tr>
        <w:tc>
          <w:tcPr>
            <w:shd w:val="clear" w:color="auto" w:fill="1F4E79"/>
            <w:tcW w:w="1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Achievement</w:t>
            </w:r>
          </w:p>
        </w:tc>
        <w:tc>
          <w:tcPr>
            <w:shd w:val="clear" w:color="auto" w:fill="1F4E79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Commission</w:t>
            </w:r>
          </w:p>
        </w:tc>
        <w:tc>
          <w:tcPr>
            <w:shd w:val="clear" w:color="auto" w:fill="1F4E79"/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Condition</w:t>
            </w:r>
          </w:p>
        </w:tc>
      </w:tr>
      <w:tr>
        <w:tc>
          <w:tcPr>
            <w:shd w:val="clear" w:color="auto" w:fill="FFFFFF"/>
            <w:tcW w:w="1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Upfront – Slab 1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90% – 115% of target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35/GA</w:t>
            </w:r>
          </w:p>
        </w:tc>
        <w:tc>
          <w:tcPr>
            <w:shd w:val="clear" w:color="auto" w:fill="FFFFFF"/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Max 100 GA cap; App sign-up mandatory</w:t>
            </w:r>
          </w:p>
        </w:tc>
      </w:tr>
      <w:tr>
        <w:tc>
          <w:tcPr>
            <w:shd w:val="clear" w:color="auto" w:fill="F2F2F2"/>
            <w:tcW w:w="1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Upfront – Slab 2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&gt;115% of target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45/GA</w:t>
            </w:r>
          </w:p>
        </w:tc>
        <w:tc>
          <w:tcPr>
            <w:shd w:val="clear" w:color="auto" w:fill="F2F2F2"/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Max 100 GA cap; App sign-up mandatory</w:t>
            </w:r>
          </w:p>
        </w:tc>
      </w:tr>
      <w:tr>
        <w:tc>
          <w:tcPr>
            <w:shd w:val="clear" w:color="auto" w:fill="FFFFFF"/>
            <w:tcW w:w="1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Conditional Bonus 1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Customer buys weekly pack in Jul25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+BDT 10/GA</w:t>
            </w:r>
          </w:p>
        </w:tc>
        <w:tc>
          <w:tcPr>
            <w:shd w:val="clear" w:color="auto" w:fill="FFFFFF"/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Pack codes: 177, 227, 277</w:t>
            </w:r>
          </w:p>
        </w:tc>
      </w:tr>
      <w:tr>
        <w:tc>
          <w:tcPr>
            <w:shd w:val="clear" w:color="auto" w:fill="F2F2F2"/>
            <w:tcW w:w="1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Conditional Bonus 2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Customer buys monthly pack in Jul25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+BDT 20/GA</w:t>
            </w:r>
          </w:p>
        </w:tc>
        <w:tc>
          <w:tcPr>
            <w:shd w:val="clear" w:color="auto" w:fill="F2F2F2"/>
            <w:tcW w:w="3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Pack codes: 377, 577, 677, 777, 977</w:t>
            </w:r>
          </w:p>
        </w:tc>
      </w:tr>
    </w:tbl>
    <w:p>
      <w:pPr>
        <w:spacing w:before="20" w:after="60"/>
      </w:pPr>
      <w:r>
        <w:rPr>
          <w:rFonts w:ascii="Calibri" w:hAnsi="Calibri"/>
          <w:b/>
          <w:i w:val="0"/>
          <w:sz w:val="21"/>
        </w:rPr>
        <w:t>Jun25 Device BP Key Conditions: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RYZE App activity/sign-up: Mandatory for GA to qualify (introduced this month)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Maximum 100 GA cap applies to both slabs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Achievement below 90% of target: Zero upfront commission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Maturity: Last day of following month (changed from 1st of following month)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Conditional commission paid based on Jul25 pack recharge behavior of activated customers</w:t>
      </w:r>
    </w:p>
    <w:p>
      <w:pPr>
        <w:spacing w:before="0" w:after="0"/>
      </w:pPr>
      <w:r>
        <w:br w:type="page"/>
      </w:r>
    </w:p>
    <w:p>
      <w:bookmarkStart w:id="4" w:name="sec4"/>
      <w:pPr>
        <w:spacing w:before="240" w:after="80"/>
        <w:shd w:val="clear" w:color="auto" w:fill="1F4E79"/>
        <w:ind w:left="113" w:right="113"/>
        <w:ind w:left="120"/>
      </w:pPr>
      <w:r>
        <w:rPr>
          <w:rFonts w:ascii="Calibri" w:hAnsi="Calibri"/>
          <w:b/>
          <w:i w:val="0"/>
          <w:color w:val="FFFFFF"/>
          <w:sz w:val="28"/>
        </w:rPr>
        <w:t>Section 4: BSP CCR GA Campaign (May25)</w:t>
      </w:r>
      <w:bookmarkEnd w:id="4"/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BSP = Business Support Point; CCR = Customer Care Representative. The BSP CCR campaign ran only in May25 with unique slab structure distinct from Device BP.</w:t>
      </w:r>
    </w:p>
    <w:tbl>
      <w:tblPr>
        <w:tblLook w:firstColumn="1" w:firstRow="1" w:lastColumn="0" w:lastRow="0" w:noHBand="0" w:noVBand="1" w:val="04A0"/>
        <w:tblW w:w="9000" w:type="dxa"/>
      </w:tblPr>
      <w:tblGrid>
        <w:gridCol w:w="2256"/>
        <w:gridCol w:w="2256"/>
        <w:gridCol w:w="2256"/>
        <w:gridCol w:w="2256"/>
      </w:tblGrid>
      <w:tr>
        <w:tc>
          <w:tcPr>
            <w:shd w:val="clear" w:color="auto" w:fill="1F4E79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Slab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GA Range</w:t>
            </w:r>
          </w:p>
        </w:tc>
        <w:tc>
          <w:tcPr>
            <w:shd w:val="clear" w:color="auto" w:fill="1F4E79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Commission/GA</w:t>
            </w:r>
          </w:p>
        </w:tc>
        <w:tc>
          <w:tcPr>
            <w:shd w:val="clear" w:color="auto" w:fill="1F4E79"/>
            <w:tcW w:w="33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Slab 1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25 – 50 GA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50/GA</w:t>
            </w:r>
          </w:p>
        </w:tc>
        <w:tc>
          <w:tcPr>
            <w:shd w:val="clear" w:color="auto" w:fill="FFFFFF"/>
            <w:tcW w:w="33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Lower entry threshold vs Device BP</w:t>
            </w:r>
          </w:p>
        </w:tc>
      </w:tr>
      <w:tr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Slab 2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51 – 100 GA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70/GA</w:t>
            </w:r>
          </w:p>
        </w:tc>
        <w:tc>
          <w:tcPr>
            <w:shd w:val="clear" w:color="auto" w:fill="F2F2F2"/>
            <w:tcW w:w="33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Same rate as Device BP Slab 2</w:t>
            </w:r>
          </w:p>
        </w:tc>
      </w:tr>
      <w:tr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Daily Participation Bonus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85% daily participation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1,000 (flat)</w:t>
            </w:r>
          </w:p>
        </w:tc>
        <w:tc>
          <w:tcPr>
            <w:shd w:val="clear" w:color="auto" w:fill="FFFFFF"/>
            <w:tcW w:w="33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More lenient than Device BP's 100% requirement</w:t>
            </w:r>
          </w:p>
        </w:tc>
      </w:tr>
    </w:tbl>
    <w:p>
      <w:pPr>
        <w:spacing w:before="20" w:after="60"/>
      </w:pPr>
      <w:r>
        <w:rPr>
          <w:rFonts w:ascii="Calibri" w:hAnsi="Calibri"/>
          <w:b/>
          <w:i w:val="0"/>
          <w:sz w:val="21"/>
        </w:rPr>
        <w:t>BSP CCR Key Conditions: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Slab 1 entry threshold is 25 GA (lower than Device BP's 31 GA threshold)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Daily participation bonus threshold: ≥85% (more lenient than Device BP's 100%)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AIT: Explicitly NOT applicable for BSP CCR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ETSAF 98% compliance by 7th of following month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No RYZE App sign-up requirement (May25 – pre-App mandate)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Max 100 GA cap applies</w:t>
      </w:r>
    </w:p>
    <w:p>
      <w:pPr>
        <w:spacing w:before="0" w:after="0"/>
      </w:pPr>
      <w:r>
        <w:br w:type="page"/>
      </w:r>
    </w:p>
    <w:p>
      <w:bookmarkStart w:id="5" w:name="sec5"/>
      <w:pPr>
        <w:spacing w:before="240" w:after="80"/>
        <w:shd w:val="clear" w:color="auto" w:fill="1F4E79"/>
        <w:ind w:left="113" w:right="113"/>
        <w:ind w:left="120"/>
      </w:pPr>
      <w:r>
        <w:rPr>
          <w:rFonts w:ascii="Calibri" w:hAnsi="Calibri"/>
          <w:b/>
          <w:i w:val="0"/>
          <w:color w:val="FFFFFF"/>
          <w:sz w:val="28"/>
        </w:rPr>
        <w:t>Section 5: Monobrand CCR GA Campaigns (May25–Jun25)</w:t>
      </w:r>
      <w:bookmarkEnd w:id="5"/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Monobrand CCR campaigns add a center-level achievement gate on top of individual GA slabs. The center gate percentage evolved between May25 and Jun25.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5.1 May25 Monobrand CCR</w:t>
      </w:r>
    </w:p>
    <w:tbl>
      <w:tblPr>
        <w:tblLook w:firstColumn="1" w:firstRow="1" w:lastColumn="0" w:lastRow="0" w:noHBand="0" w:noVBand="1" w:val="04A0"/>
        <w:tblW w:w="9200" w:type="dxa"/>
      </w:tblPr>
      <w:tblGrid>
        <w:gridCol w:w="2256"/>
        <w:gridCol w:w="2256"/>
        <w:gridCol w:w="2256"/>
        <w:gridCol w:w="2256"/>
      </w:tblGrid>
      <w:tr>
        <w:tc>
          <w:tcPr>
            <w:shd w:val="clear" w:color="auto" w:fill="1F4E79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Threshold</w:t>
            </w:r>
          </w:p>
        </w:tc>
        <w:tc>
          <w:tcPr>
            <w:shd w:val="clear" w:color="auto" w:fill="1F4E79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Commission</w:t>
            </w:r>
          </w:p>
        </w:tc>
        <w:tc>
          <w:tcPr>
            <w:shd w:val="clear" w:color="auto" w:fill="1F4E79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Slab 1 (individual)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25 – 50 GA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50/GA</w:t>
            </w:r>
          </w:p>
        </w:tc>
        <w:tc>
          <w:tcPr>
            <w:shd w:val="clear" w:color="auto" w:fill="FFFFFF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Same as BSP CCR May25</w:t>
            </w:r>
          </w:p>
        </w:tc>
      </w:tr>
      <w:tr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Slab 2 (individual)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51 – 100 GA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70/GA</w:t>
            </w:r>
          </w:p>
        </w:tc>
        <w:tc>
          <w:tcPr>
            <w:shd w:val="clear" w:color="auto" w:fill="F2F2F2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Same as BSP CCR May25</w:t>
            </w:r>
          </w:p>
        </w:tc>
      </w:tr>
      <w:tr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Participation Bonus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85% daily participation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1,000 (flat)</w:t>
            </w:r>
          </w:p>
        </w:tc>
        <w:tc>
          <w:tcPr>
            <w:shd w:val="clear" w:color="auto" w:fill="FFFFFF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Same threshold as BSP CCR</w:t>
            </w:r>
          </w:p>
        </w:tc>
      </w:tr>
      <w:tr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Center Gate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Cumulative GA ≥ 80% of center target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Gate – must be met</w:t>
            </w:r>
          </w:p>
        </w:tc>
        <w:tc>
          <w:tcPr>
            <w:shd w:val="clear" w:color="auto" w:fill="F2F2F2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Binary; if center fails, individual also fails</w:t>
            </w:r>
          </w:p>
        </w:tc>
      </w:tr>
    </w:tbl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5.2 Jun25 Monobrand CCR</w:t>
      </w:r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Jun25 introduced upfront+conditional structure (same as Device BP Jun25) but with a stricter center gate:</w:t>
      </w:r>
    </w:p>
    <w:tbl>
      <w:tblPr>
        <w:tblLook w:firstColumn="1" w:firstRow="1" w:lastColumn="0" w:lastRow="0" w:noHBand="0" w:noVBand="1" w:val="04A0"/>
        <w:tblW w:w="9200" w:type="dxa"/>
      </w:tblPr>
      <w:tblGrid>
        <w:gridCol w:w="2256"/>
        <w:gridCol w:w="2256"/>
        <w:gridCol w:w="2256"/>
        <w:gridCol w:w="2256"/>
      </w:tblGrid>
      <w:tr>
        <w:tc>
          <w:tcPr>
            <w:shd w:val="clear" w:color="auto" w:fill="1F4E79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Threshold</w:t>
            </w:r>
          </w:p>
        </w:tc>
        <w:tc>
          <w:tcPr>
            <w:shd w:val="clear" w:color="auto" w:fill="1F4E79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Commission</w:t>
            </w:r>
          </w:p>
        </w:tc>
        <w:tc>
          <w:tcPr>
            <w:shd w:val="clear" w:color="auto" w:fill="1F4E79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Upfront Slab 1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90–115% of individual target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35/GA</w:t>
            </w:r>
          </w:p>
        </w:tc>
        <w:tc>
          <w:tcPr>
            <w:shd w:val="clear" w:color="auto" w:fill="FFFFFF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Max 100 GA cap</w:t>
            </w:r>
          </w:p>
        </w:tc>
      </w:tr>
      <w:tr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Upfront Slab 2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&gt;115% of individual target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45/GA</w:t>
            </w:r>
          </w:p>
        </w:tc>
        <w:tc>
          <w:tcPr>
            <w:shd w:val="clear" w:color="auto" w:fill="F2F2F2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Max 100 GA cap</w:t>
            </w:r>
          </w:p>
        </w:tc>
      </w:tr>
      <w:tr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Conditional – Weekly pack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Customer recharges weekly pack in Jul25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+BDT 10/GA</w:t>
            </w:r>
          </w:p>
        </w:tc>
        <w:tc>
          <w:tcPr>
            <w:shd w:val="clear" w:color="auto" w:fill="FFFFFF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Packs 177, 227, 277</w:t>
            </w:r>
          </w:p>
        </w:tc>
      </w:tr>
      <w:tr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Conditional – Monthly pack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Customer recharges monthly pack in Jul25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+BDT 20/GA</w:t>
            </w:r>
          </w:p>
        </w:tc>
        <w:tc>
          <w:tcPr>
            <w:shd w:val="clear" w:color="auto" w:fill="F2F2F2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Packs 377, 577, 677, 777, 977</w:t>
            </w:r>
          </w:p>
        </w:tc>
      </w:tr>
      <w:tr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Center Gate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Center cumulative GA ≥ 90% of target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Gate – must be met</w:t>
            </w:r>
          </w:p>
        </w:tc>
        <w:tc>
          <w:tcPr>
            <w:shd w:val="clear" w:color="auto" w:fill="FFFFFF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Raised from 80% (May25) to 90% (Jun25)</w:t>
            </w:r>
          </w:p>
        </w:tc>
      </w:tr>
    </w:tbl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RYZE App sign-up mandatory from Jun25 onwards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Center gate evolution: ≥80% in May25 → ≥90% in Jun25 (tightening of standards)</w:t>
      </w:r>
    </w:p>
    <w:p>
      <w:pPr>
        <w:spacing w:before="0" w:after="0"/>
      </w:pPr>
      <w:r>
        <w:br w:type="page"/>
      </w:r>
    </w:p>
    <w:p>
      <w:bookmarkStart w:id="6" w:name="sec6"/>
      <w:pPr>
        <w:spacing w:before="240" w:after="80"/>
        <w:shd w:val="clear" w:color="auto" w:fill="1F4E79"/>
        <w:ind w:left="113" w:right="113"/>
        <w:ind w:left="120"/>
      </w:pPr>
      <w:r>
        <w:rPr>
          <w:rFonts w:ascii="Calibri" w:hAnsi="Calibri"/>
          <w:b/>
          <w:i w:val="0"/>
          <w:color w:val="FFFFFF"/>
          <w:sz w:val="28"/>
        </w:rPr>
        <w:t>Section 6: Jun25 Upfront + Conditional Commission Structure</w:t>
      </w:r>
      <w:bookmarkEnd w:id="6"/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Introduced in Jun25 for Device BP and Monobrand CCR. Key distinctions from previous slab structures: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Target-based percentage achievement (not absolute GA volume) determines upfront slab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Two-phase payout: upfront (immediately post-month) + conditional (based on Jul25 pack purchases by customers)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Hard cap of 100 GA per agent applies to upfront commission regardless of actual achievement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Eligible pack codes are explicitly listed (not open-ended)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6.1 Upfront Commission Slabs</w:t>
      </w:r>
    </w:p>
    <w:tbl>
      <w:tblPr>
        <w:tblLook w:firstColumn="1" w:firstRow="1" w:lastColumn="0" w:lastRow="0" w:noHBand="0" w:noVBand="1" w:val="04A0"/>
        <w:tblW w:w="8800" w:type="dxa"/>
      </w:tblPr>
      <w:tblGrid>
        <w:gridCol w:w="2256"/>
        <w:gridCol w:w="2256"/>
        <w:gridCol w:w="2256"/>
        <w:gridCol w:w="2256"/>
      </w:tblGrid>
      <w:tr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Slab</w:t>
            </w:r>
          </w:p>
        </w:tc>
        <w:tc>
          <w:tcPr>
            <w:shd w:val="clear" w:color="auto" w:fill="1F4E79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Achievement %</w:t>
            </w:r>
          </w:p>
        </w:tc>
        <w:tc>
          <w:tcPr>
            <w:shd w:val="clear" w:color="auto" w:fill="1F4E79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Rate/GA</w:t>
            </w:r>
          </w:p>
        </w:tc>
        <w:tc>
          <w:tcPr>
            <w:shd w:val="clear" w:color="auto" w:fill="1F4E79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Max GA</w:t>
            </w:r>
          </w:p>
        </w:tc>
      </w:tr>
      <w:tr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Below Slab 1</w:t>
            </w:r>
          </w:p>
        </w:tc>
        <w:tc>
          <w:tcPr>
            <w:shd w:val="clear" w:color="auto" w:fill="FFFFFF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&lt; 90% of target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0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</w:tr>
      <w:tr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Slab 1</w:t>
            </w:r>
          </w:p>
        </w:tc>
        <w:tc>
          <w:tcPr>
            <w:shd w:val="clear" w:color="auto" w:fill="F2F2F2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90% – 115% of target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35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100 GA</w:t>
            </w:r>
          </w:p>
        </w:tc>
      </w:tr>
      <w:tr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Slab 2</w:t>
            </w:r>
          </w:p>
        </w:tc>
        <w:tc>
          <w:tcPr>
            <w:shd w:val="clear" w:color="auto" w:fill="FFFFFF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&gt; 115% of target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45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100 GA</w:t>
            </w:r>
          </w:p>
        </w:tc>
      </w:tr>
    </w:tbl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6.2 Conditional Commission (Pack-Based – Jul25)</w:t>
      </w:r>
    </w:p>
    <w:tbl>
      <w:tblPr>
        <w:tblLook w:firstColumn="1" w:firstRow="1" w:lastColumn="0" w:lastRow="0" w:noHBand="0" w:noVBand="1" w:val="04A0"/>
        <w:tblW w:w="9200" w:type="dxa"/>
      </w:tblPr>
      <w:tblGrid>
        <w:gridCol w:w="2256"/>
        <w:gridCol w:w="2256"/>
        <w:gridCol w:w="2256"/>
        <w:gridCol w:w="2256"/>
      </w:tblGrid>
      <w:tr>
        <w:tc>
          <w:tcPr>
            <w:shd w:val="clear" w:color="auto" w:fill="1F4E79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Condition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Pack Type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Bonus/GA</w:t>
            </w:r>
          </w:p>
        </w:tc>
        <w:tc>
          <w:tcPr>
            <w:shd w:val="clear" w:color="auto" w:fill="1F4E79"/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Eligible Pack Codes</w:t>
            </w:r>
          </w:p>
        </w:tc>
      </w:tr>
      <w:tr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Customer buys weekly pack in Jul25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Weekly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+BDT 10/GA</w:t>
            </w:r>
          </w:p>
        </w:tc>
        <w:tc>
          <w:tcPr>
            <w:shd w:val="clear" w:color="auto" w:fill="FFFFFF"/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177, 227, 277</w:t>
            </w:r>
          </w:p>
        </w:tc>
      </w:tr>
      <w:tr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Customer buys monthly pack in Jul25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Monthly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+BDT 20/GA</w:t>
            </w:r>
          </w:p>
        </w:tc>
        <w:tc>
          <w:tcPr>
            <w:shd w:val="clear" w:color="auto" w:fill="F2F2F2"/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377, 577, 677, 777, 977</w:t>
            </w:r>
          </w:p>
        </w:tc>
      </w:tr>
    </w:tbl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6.3 Maturity Date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Upfront: Last day of the following month (e.g., Jul31 for Jun25 GAs)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Conditional: Subsequent month after pack purchase confirmation</w:t>
      </w:r>
    </w:p>
    <w:p>
      <w:pPr>
        <w:spacing w:before="0" w:after="0"/>
      </w:pPr>
      <w:r>
        <w:br w:type="page"/>
      </w:r>
    </w:p>
    <w:p>
      <w:bookmarkStart w:id="7" w:name="sec7"/>
      <w:pPr>
        <w:spacing w:before="240" w:after="80"/>
        <w:shd w:val="clear" w:color="auto" w:fill="1F4E79"/>
        <w:ind w:left="113" w:right="113"/>
        <w:ind w:left="120"/>
      </w:pPr>
      <w:r>
        <w:rPr>
          <w:rFonts w:ascii="Calibri" w:hAnsi="Calibri"/>
          <w:b/>
          <w:i w:val="0"/>
          <w:color w:val="FFFFFF"/>
          <w:sz w:val="28"/>
        </w:rPr>
        <w:t>Section 7: Distributor Per-GA Flat Commission (Sep25–Apr26+)</w:t>
      </w:r>
      <w:bookmarkEnd w:id="7"/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Distributors earn a flat commission per each RYZE GA. The rate depends on the distributor code and the commission period. All rates are per-GA with no monthly target required.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7.1 Rate Structure by Period</w:t>
      </w:r>
    </w:p>
    <w:tbl>
      <w:tblPr>
        <w:tblLook w:firstColumn="1" w:firstRow="1" w:lastColumn="0" w:lastRow="0" w:noHBand="0" w:noVBand="1" w:val="04A0"/>
        <w:tblW w:w="9200" w:type="dxa"/>
      </w:tblPr>
      <w:tblGrid>
        <w:gridCol w:w="2256"/>
        <w:gridCol w:w="2256"/>
        <w:gridCol w:w="2256"/>
        <w:gridCol w:w="2256"/>
      </w:tblGrid>
      <w:tr>
        <w:tc>
          <w:tcPr>
            <w:shd w:val="clear" w:color="auto" w:fill="1F4E79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Period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Distributor Group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Rate/GA</w:t>
            </w:r>
          </w:p>
        </w:tc>
        <w:tc>
          <w:tcPr>
            <w:shd w:val="clear" w:color="auto" w:fill="1F4E79"/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Sep20–Nov25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ALTASBO2 code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35/GA</w:t>
            </w:r>
          </w:p>
        </w:tc>
        <w:tc>
          <w:tcPr>
            <w:shd w:val="clear" w:color="auto" w:fill="FFFFFF"/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Specific single-distributor rate</w:t>
            </w:r>
          </w:p>
        </w:tc>
      </w:tr>
      <w:tr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Sep25–Nov25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RYZE-prefix codes (e.g. RYZDHK07)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60/GA</w:t>
            </w:r>
          </w:p>
        </w:tc>
        <w:tc>
          <w:tcPr>
            <w:shd w:val="clear" w:color="auto" w:fill="F2F2F2"/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All RYZE-dedicated distributors</w:t>
            </w:r>
          </w:p>
        </w:tc>
      </w:tr>
      <w:tr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Sep25–Nov25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Other distributors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Per RYZE team list</w:t>
            </w:r>
          </w:p>
        </w:tc>
        <w:tc>
          <w:tcPr>
            <w:shd w:val="clear" w:color="auto" w:fill="FFFFFF"/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Variable by distributor</w:t>
            </w:r>
          </w:p>
        </w:tc>
      </w:tr>
      <w:tr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Apr26+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32 named RYZE-prefix codes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50/GA</w:t>
            </w:r>
          </w:p>
        </w:tc>
        <w:tc>
          <w:tcPr>
            <w:shd w:val="clear" w:color="auto" w:fill="F2F2F2"/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Rate reduced from 60 to 50 in Apr26</w:t>
            </w:r>
          </w:p>
        </w:tc>
      </w:tr>
      <w:tr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Apr26+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All other distributors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60/GA</w:t>
            </w:r>
          </w:p>
        </w:tc>
        <w:tc>
          <w:tcPr>
            <w:shd w:val="clear" w:color="auto" w:fill="FFFFFF"/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List shared by RYZE team</w:t>
            </w:r>
          </w:p>
        </w:tc>
      </w:tr>
    </w:tbl>
    <w:p>
      <w:pPr>
        <w:spacing w:before="60" w:after="60"/>
        <w:ind w:left="170"/>
        <w:shd w:val="clear" w:color="auto" w:fill="FFF2CC"/>
      </w:pPr>
      <w:r>
        <w:rPr>
          <w:rFonts w:ascii="Calibri" w:hAnsi="Calibri"/>
          <w:b w:val="0"/>
          <w:i/>
          <w:color w:val="595959"/>
          <w:sz w:val="20"/>
        </w:rPr>
        <w:t>Rate change in Apr26: RYZE-prefix distributors moved from BDT 60/GA to BDT 50/GA. Non-RYZE-prefix distributors retained BDT 60/GA.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7.2 Distributor Flat Commission – Conditions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ETSAF compliance validated per-GA (not batch-zeroed); non-compliant GAs excluded individually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All accepted/verified/submitted ETSAFs by 7th of following month are considered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MNP Port-IN counted as GA based on FCD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Non-compliant disconnections discarded from commission calculation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DMS system used for DD-Retailer-MSISDN mapping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AIT applicable as per Income Tax Law and government provisions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Data maturity: 8th of following month</w:t>
      </w:r>
    </w:p>
    <w:tbl>
      <w:tblPr>
        <w:tblLook w:firstColumn="1" w:firstRow="1" w:lastColumn="0" w:lastRow="0" w:noHBand="0" w:noVBand="1" w:val="04A0"/>
        <w:tblW w:w="8800" w:type="dxa"/>
      </w:tblPr>
      <w:tblGrid>
        <w:gridCol w:w="4513"/>
        <w:gridCol w:w="4513"/>
      </w:tblGrid>
      <w:tr>
        <w:tc>
          <w:tcPr>
            <w:shd w:val="clear" w:color="auto" w:fill="2E75B6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Detail Format Column</w:t>
            </w:r>
          </w:p>
        </w:tc>
        <w:tc>
          <w:tcPr>
            <w:shd w:val="clear" w:color="auto" w:fill="2E75B6"/>
            <w:tcW w:w="6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shd w:val="clear" w:color="auto" w:fill="FFFFFF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DISTRIBUTOR_CODE</w:t>
            </w:r>
          </w:p>
        </w:tc>
        <w:tc>
          <w:tcPr>
            <w:shd w:val="clear" w:color="auto" w:fill="FFFFFF"/>
            <w:tcW w:w="6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Unique DD code from DMS</w:t>
            </w:r>
          </w:p>
        </w:tc>
      </w:tr>
      <w:tr>
        <w:tc>
          <w:tcPr>
            <w:shd w:val="clear" w:color="auto" w:fill="F2F2F2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RETAILER_CODE</w:t>
            </w:r>
          </w:p>
        </w:tc>
        <w:tc>
          <w:tcPr>
            <w:shd w:val="clear" w:color="auto" w:fill="F2F2F2"/>
            <w:tcW w:w="6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Retailer mapped to distributor</w:t>
            </w:r>
          </w:p>
        </w:tc>
      </w:tr>
      <w:tr>
        <w:tc>
          <w:tcPr>
            <w:shd w:val="clear" w:color="auto" w:fill="FFFFFF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MSISDN</w:t>
            </w:r>
          </w:p>
        </w:tc>
        <w:tc>
          <w:tcPr>
            <w:shd w:val="clear" w:color="auto" w:fill="FFFFFF"/>
            <w:tcW w:w="6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Activated number</w:t>
            </w:r>
          </w:p>
        </w:tc>
      </w:tr>
      <w:tr>
        <w:tc>
          <w:tcPr>
            <w:shd w:val="clear" w:color="auto" w:fill="F2F2F2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FCD</w:t>
            </w:r>
          </w:p>
        </w:tc>
        <w:tc>
          <w:tcPr>
            <w:shd w:val="clear" w:color="auto" w:fill="F2F2F2"/>
            <w:tcW w:w="6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First Call Date (activation date)</w:t>
            </w:r>
          </w:p>
        </w:tc>
      </w:tr>
      <w:tr>
        <w:tc>
          <w:tcPr>
            <w:shd w:val="clear" w:color="auto" w:fill="FFFFFF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DISCONNECTION (Y/N)</w:t>
            </w:r>
          </w:p>
        </w:tc>
        <w:tc>
          <w:tcPr>
            <w:shd w:val="clear" w:color="auto" w:fill="FFFFFF"/>
            <w:tcW w:w="6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T-6 check</w:t>
            </w:r>
          </w:p>
        </w:tc>
      </w:tr>
      <w:tr>
        <w:tc>
          <w:tcPr>
            <w:shd w:val="clear" w:color="auto" w:fill="F2F2F2"/>
            <w:tcW w:w="2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ETSAF_PASSED (Y/N)</w:t>
            </w:r>
          </w:p>
        </w:tc>
        <w:tc>
          <w:tcPr>
            <w:shd w:val="clear" w:color="auto" w:fill="F2F2F2"/>
            <w:tcW w:w="64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ETSAF validation status</w:t>
            </w:r>
          </w:p>
        </w:tc>
      </w:tr>
    </w:tbl>
    <w:p>
      <w:pPr>
        <w:spacing w:before="0" w:after="0"/>
      </w:pPr>
      <w:r>
        <w:br w:type="page"/>
      </w:r>
    </w:p>
    <w:p>
      <w:bookmarkStart w:id="8" w:name="sec8"/>
      <w:pPr>
        <w:spacing w:before="240" w:after="80"/>
        <w:shd w:val="clear" w:color="auto" w:fill="1F4E79"/>
        <w:ind w:left="113" w:right="113"/>
        <w:ind w:left="120"/>
      </w:pPr>
      <w:r>
        <w:rPr>
          <w:rFonts w:ascii="Calibri" w:hAnsi="Calibri"/>
          <w:b/>
          <w:i w:val="0"/>
          <w:color w:val="FFFFFF"/>
          <w:sz w:val="28"/>
        </w:rPr>
        <w:t>Section 8: Distributor ROI Support (Sep25–Oct25)</w:t>
      </w:r>
      <w:bookmarkEnd w:id="8"/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ROI Support is a supplementary incentive rewarding distributors whose activated RYZE customers demonstrate early recharge activity. It is separate from the flat per-GA commission.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8.1 ROI Support Conditions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Achievement Gate: Minimum 60% of monthly GA target must be achieved (binary gate – zero ROI support if not met)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Customer Usage: Minimum BDT 5 paid usage by each activated customer by the 7th of the following month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Payout amount: Variable per distributor (based on actual ROI calculation shared by RYZE team)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ETSAF: 98% compliance required (same universal gate)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AIT: Applicable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8.2 Maturity Date Variation</w:t>
      </w:r>
    </w:p>
    <w:tbl>
      <w:tblPr>
        <w:tblLook w:firstColumn="1" w:firstRow="1" w:lastColumn="0" w:lastRow="0" w:noHBand="0" w:noVBand="1" w:val="04A0"/>
        <w:tblW w:w="7000" w:type="dxa"/>
      </w:tblPr>
      <w:tblGrid>
        <w:gridCol w:w="3009"/>
        <w:gridCol w:w="3009"/>
        <w:gridCol w:w="3009"/>
      </w:tblGrid>
      <w:tr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Period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Maturity Date</w:t>
            </w:r>
          </w:p>
        </w:tc>
        <w:tc>
          <w:tcPr>
            <w:shd w:val="clear" w:color="auto" w:fill="1F4E79"/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Sep25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8th of following month (Oct 8th)</w:t>
            </w:r>
          </w:p>
        </w:tc>
        <w:tc>
          <w:tcPr>
            <w:shd w:val="clear" w:color="auto" w:fill="FFFFFF"/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Earlier maturity</w:t>
            </w:r>
          </w:p>
        </w:tc>
      </w:tr>
      <w:tr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Oct25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3rd of following month (Nov 3rd)</w:t>
            </w:r>
          </w:p>
        </w:tc>
        <w:tc>
          <w:tcPr>
            <w:shd w:val="clear" w:color="auto" w:fill="F2F2F2"/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Later maturity – tight cutoff</w:t>
            </w:r>
          </w:p>
        </w:tc>
      </w:tr>
    </w:tbl>
    <w:p>
      <w:pPr>
        <w:spacing w:before="60" w:after="60"/>
        <w:ind w:left="170"/>
        <w:shd w:val="clear" w:color="auto" w:fill="FFF2CC"/>
      </w:pPr>
      <w:r>
        <w:rPr>
          <w:rFonts w:ascii="Calibri" w:hAnsi="Calibri"/>
          <w:b w:val="0"/>
          <w:i/>
          <w:color w:val="595959"/>
          <w:sz w:val="20"/>
        </w:rPr>
        <w:t>The ROI Support payout is variable per distributor and requires a separate ROI calculation file from the RYZE team. It cannot be computed from standard DMS data alone.</w:t>
      </w:r>
    </w:p>
    <w:p>
      <w:pPr>
        <w:spacing w:before="0" w:after="0"/>
      </w:pPr>
      <w:r>
        <w:br w:type="page"/>
      </w:r>
    </w:p>
    <w:p>
      <w:bookmarkStart w:id="9" w:name="sec9"/>
      <w:pPr>
        <w:spacing w:before="240" w:after="80"/>
        <w:shd w:val="clear" w:color="auto" w:fill="1F4E79"/>
        <w:ind w:left="113" w:right="113"/>
        <w:ind w:left="120"/>
      </w:pPr>
      <w:r>
        <w:rPr>
          <w:rFonts w:ascii="Calibri" w:hAnsi="Calibri"/>
          <w:b/>
          <w:i w:val="0"/>
          <w:color w:val="FFFFFF"/>
          <w:sz w:val="28"/>
        </w:rPr>
        <w:t>Section 9: Distributor Slab-Based GA Campaigns (Oct25–Jan26)</w:t>
      </w:r>
      <w:bookmarkEnd w:id="9"/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These campaigns group distributors into categories (A–E) based on their monthly GA targets and provide fixed monthly incentives for achieving minimum achievement thresholds.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9.1 Oct25 Slab-Based Campaign</w:t>
      </w:r>
    </w:p>
    <w:p>
      <w:pPr>
        <w:spacing w:before="20" w:after="60"/>
      </w:pPr>
      <w:r>
        <w:rPr>
          <w:rFonts w:ascii="Calibri" w:hAnsi="Calibri"/>
          <w:b w:val="0"/>
          <w:i/>
          <w:color w:val="595959"/>
          <w:sz w:val="21"/>
        </w:rPr>
        <w:t>Minimum achievement threshold: 60% | Incentive: Linear from 60% achievement | One slab upgradation allowed</w:t>
      </w:r>
    </w:p>
    <w:tbl>
      <w:tblPr>
        <w:tblLook w:firstColumn="1" w:firstRow="1" w:lastColumn="0" w:lastRow="0" w:noHBand="0" w:noVBand="1" w:val="04A0"/>
        <w:tblW w:w="9200" w:type="dxa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shd w:val="clear" w:color="auto" w:fill="1F4E79"/>
            <w:tcW w:w="1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</w:t>
            </w:r>
          </w:p>
        </w:tc>
        <w:tc>
          <w:tcPr>
            <w:shd w:val="clear" w:color="auto" w:fill="1F4E79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 Range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Monthly Incentive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Min Achievement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shd w:val="clear" w:color="auto" w:fill="FFFFFF"/>
            <w:tcW w:w="1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Lowest volume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25,000/month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60%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Linear payout from 60%</w:t>
            </w:r>
          </w:p>
        </w:tc>
      </w:tr>
      <w:tr>
        <w:tc>
          <w:tcPr>
            <w:shd w:val="clear" w:color="auto" w:fill="F2F2F2"/>
            <w:tcW w:w="1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Low-medium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40,000/month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60%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Linear payout from 60%</w:t>
            </w:r>
          </w:p>
        </w:tc>
      </w:tr>
      <w:tr>
        <w:tc>
          <w:tcPr>
            <w:shd w:val="clear" w:color="auto" w:fill="FFFFFF"/>
            <w:tcW w:w="1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50,000/month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60%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Linear payout from 60%</w:t>
            </w:r>
          </w:p>
        </w:tc>
      </w:tr>
      <w:tr>
        <w:tc>
          <w:tcPr>
            <w:shd w:val="clear" w:color="auto" w:fill="F2F2F2"/>
            <w:tcW w:w="1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80,000/month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60%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Linear payout from 60%</w:t>
            </w:r>
          </w:p>
        </w:tc>
      </w:tr>
      <w:tr>
        <w:tc>
          <w:tcPr>
            <w:shd w:val="clear" w:color="auto" w:fill="FFFFFF"/>
            <w:tcW w:w="1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E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Highest volume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100,000/month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60%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Linear payout from 60%</w:t>
            </w:r>
          </w:p>
        </w:tc>
      </w:tr>
    </w:tbl>
    <w:p>
      <w:pPr>
        <w:spacing w:before="20" w:after="60"/>
      </w:pPr>
      <w:r>
        <w:rPr>
          <w:rFonts w:ascii="Calibri" w:hAnsi="Calibri"/>
          <w:b/>
          <w:i w:val="0"/>
          <w:sz w:val="21"/>
        </w:rPr>
        <w:t>Oct25 Unique Features: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One slab upgradation: A distributor can move up one category tier if performance warrants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Customer recharge condition: BDT 200 within 60 days of activation (cumulative, any channel)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Below 60% achievement: Zero incentive (not prorated from 0)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Incentive is linear between 60% and 100% (proportional to achievement)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9.2 Jan26 Slab-Based Campaign</w:t>
      </w:r>
    </w:p>
    <w:p>
      <w:pPr>
        <w:spacing w:before="20" w:after="60"/>
      </w:pPr>
      <w:r>
        <w:rPr>
          <w:rFonts w:ascii="Calibri" w:hAnsi="Calibri"/>
          <w:b w:val="0"/>
          <w:i/>
          <w:color w:val="595959"/>
          <w:sz w:val="21"/>
        </w:rPr>
        <w:t>Minimum achievement threshold raised to 80% | Two-slab structure (Slab 1 at standard target + Slab 2 at higher target)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Minimum achievement raised from 60% (Oct25) to 80% (Jan26) – significantly tighter requirement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Two-slab structure: Slab 1 (standard monthly target) + Slab 2 (higher stretch target)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Linear payout from 80% achievement for Slab 1; Slab 2 incentive added on top if reached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Customer recharge condition retained: BDT 200 within 60 days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Category groupings (A–E) retained from Oct25 structure</w:t>
      </w:r>
    </w:p>
    <w:p>
      <w:pPr>
        <w:spacing w:before="60" w:after="60"/>
        <w:ind w:left="170"/>
        <w:shd w:val="clear" w:color="auto" w:fill="FFF2CC"/>
      </w:pPr>
      <w:r>
        <w:rPr>
          <w:rFonts w:ascii="Calibri" w:hAnsi="Calibri"/>
          <w:b w:val="0"/>
          <w:i/>
          <w:color w:val="595959"/>
          <w:sz w:val="20"/>
        </w:rPr>
        <w:t>Key evolution: Oct25 → Jan26: Minimum threshold raised from 60% to 80%; one-slab upgradation removed in Jan26; two-slab structure introduced.</w:t>
      </w:r>
    </w:p>
    <w:p>
      <w:pPr>
        <w:spacing w:before="0" w:after="0"/>
      </w:pPr>
      <w:r>
        <w:br w:type="page"/>
      </w:r>
    </w:p>
    <w:p>
      <w:bookmarkStart w:id="10" w:name="sec10"/>
      <w:pPr>
        <w:spacing w:before="240" w:after="80"/>
        <w:shd w:val="clear" w:color="auto" w:fill="1F4E79"/>
        <w:ind w:left="113" w:right="113"/>
        <w:ind w:left="120"/>
      </w:pPr>
      <w:r>
        <w:rPr>
          <w:rFonts w:ascii="Calibri" w:hAnsi="Calibri"/>
          <w:b/>
          <w:i w:val="0"/>
          <w:color w:val="FFFFFF"/>
          <w:sz w:val="28"/>
        </w:rPr>
        <w:t>Section 10: Distributor Follow-Up Recharge Campaign (Oct25)</w:t>
      </w:r>
      <w:bookmarkEnd w:id="10"/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Separate from the base GA commission. Rewards distributors whose activated customers make a qualifying recharge within 60 days. Paid as a percentage of the distributor's slab entitlement.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10.1 Follow-Up Recharge Conditions (Oct25)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Base: 50% of the distributor's Oct25 slab entitlement is paid via this route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Gate: DH-wise recharge percentage must meet threshold:</w:t>
      </w:r>
    </w:p>
    <w:tbl>
      <w:tblPr>
        <w:tblLook w:firstColumn="1" w:firstRow="1" w:lastColumn="0" w:lastRow="0" w:noHBand="0" w:noVBand="1" w:val="04A0"/>
        <w:tblW w:w="7000" w:type="dxa"/>
      </w:tblPr>
      <w:tblGrid>
        <w:gridCol w:w="3009"/>
        <w:gridCol w:w="3009"/>
        <w:gridCol w:w="3009"/>
      </w:tblGrid>
      <w:tr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 Recharge%</w:t>
            </w:r>
          </w:p>
        </w:tc>
        <w:tc>
          <w:tcPr>
            <w:shd w:val="clear" w:color="auto" w:fill="1F4E79"/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Cat A, B, C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30% of GAs must recharge</w:t>
            </w:r>
          </w:p>
        </w:tc>
        <w:tc>
          <w:tcPr>
            <w:shd w:val="clear" w:color="auto" w:fill="FFFFFF"/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Higher threshold for lower-tier distributors</w:t>
            </w:r>
          </w:p>
        </w:tc>
      </w:tr>
      <w:tr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Cat D, E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25% of GAs must recharge</w:t>
            </w:r>
          </w:p>
        </w:tc>
        <w:tc>
          <w:tcPr>
            <w:shd w:val="clear" w:color="auto" w:fill="F2F2F2"/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Lower threshold for high-volume distributors</w:t>
            </w:r>
          </w:p>
        </w:tc>
      </w:tr>
    </w:tbl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Customer recharge condition: Minimum BDT 200 within 60 days of activation (cumulative)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Calculation: Cumulative per activation + 60-day window (rolling, not calendar month)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AIT: Applicable on follow-up recharge commission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Maturity: 60 days from activation date (not end of month)</w:t>
      </w:r>
    </w:p>
    <w:p>
      <w:pPr>
        <w:spacing w:before="60" w:after="60"/>
        <w:ind w:left="170"/>
        <w:shd w:val="clear" w:color="auto" w:fill="E2EFDA"/>
      </w:pPr>
      <w:r>
        <w:rPr>
          <w:rFonts w:ascii="Calibri" w:hAnsi="Calibri"/>
          <w:b w:val="0"/>
          <w:i/>
          <w:color w:val="595959"/>
          <w:sz w:val="20"/>
        </w:rPr>
        <w:t>This is on top of – not instead of – the base GA slab commission. Both are earned simultaneously.</w:t>
      </w:r>
    </w:p>
    <w:p>
      <w:pPr>
        <w:spacing w:before="0" w:after="0"/>
      </w:pPr>
      <w:r>
        <w:br w:type="page"/>
      </w:r>
    </w:p>
    <w:p>
      <w:bookmarkStart w:id="11" w:name="sec11"/>
      <w:pPr>
        <w:spacing w:before="240" w:after="80"/>
        <w:shd w:val="clear" w:color="auto" w:fill="1F4E79"/>
        <w:ind w:left="113" w:right="113"/>
        <w:ind w:left="120"/>
      </w:pPr>
      <w:r>
        <w:rPr>
          <w:rFonts w:ascii="Calibri" w:hAnsi="Calibri"/>
          <w:b/>
          <w:i w:val="0"/>
          <w:color w:val="FFFFFF"/>
          <w:sz w:val="28"/>
        </w:rPr>
        <w:t>Section 11: Distributor Follow-Up Bundle Recharge Campaign (Jan26)</w:t>
      </w:r>
      <w:bookmarkEnd w:id="11"/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A pack-specific follow-up campaign rewarding distributors when their activated customers purchase defined bundle packs within 60 days of activation.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11.1 Bundle Recharge Gate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Minimum 20% of the distributor's total monthly GA must perform a bundle recharge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Gate is binary: if &lt;20% bundle recharge rate → zero bundle commission for that distributor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Only first-time bundle purchase per MSISDN is eligible (once per MSISDN lifetime)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Time window: Within first 60 days of activation only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11.2 Bundle Incentive Rates</w:t>
      </w:r>
    </w:p>
    <w:tbl>
      <w:tblPr>
        <w:tblLook w:firstColumn="1" w:firstRow="1" w:lastColumn="0" w:lastRow="0" w:noHBand="0" w:noVBand="1" w:val="04A0"/>
        <w:tblW w:w="7000" w:type="dxa"/>
      </w:tblPr>
      <w:tblGrid>
        <w:gridCol w:w="3009"/>
        <w:gridCol w:w="3009"/>
        <w:gridCol w:w="3009"/>
      </w:tblGrid>
      <w:tr>
        <w:tc>
          <w:tcPr>
            <w:shd w:val="clear" w:color="auto" w:fill="1F4E79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Pack Code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Incentive</w:t>
            </w:r>
          </w:p>
        </w:tc>
        <w:tc>
          <w:tcPr>
            <w:shd w:val="clear" w:color="auto" w:fill="1F4E79"/>
            <w:tcW w:w="3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197-pack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30/activation</w:t>
            </w:r>
          </w:p>
        </w:tc>
        <w:tc>
          <w:tcPr>
            <w:shd w:val="clear" w:color="auto" w:fill="FFFFFF"/>
            <w:tcW w:w="3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Entry-level bundle</w:t>
            </w:r>
          </w:p>
        </w:tc>
      </w:tr>
      <w:tr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297-pack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40/activation</w:t>
            </w:r>
          </w:p>
        </w:tc>
        <w:tc>
          <w:tcPr>
            <w:shd w:val="clear" w:color="auto" w:fill="F2F2F2"/>
            <w:tcW w:w="3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Mid-tier bundle</w:t>
            </w:r>
          </w:p>
        </w:tc>
      </w:tr>
      <w:tr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497-pack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60/activation</w:t>
            </w:r>
          </w:p>
        </w:tc>
        <w:tc>
          <w:tcPr>
            <w:shd w:val="clear" w:color="auto" w:fill="FFFFFF"/>
            <w:tcW w:w="3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Premium bundle</w:t>
            </w:r>
          </w:p>
        </w:tc>
      </w:tr>
    </w:tbl>
    <w:p>
      <w:pPr>
        <w:spacing w:before="60" w:after="60"/>
        <w:ind w:left="170"/>
        <w:shd w:val="clear" w:color="auto" w:fill="FFF2CC"/>
      </w:pPr>
      <w:r>
        <w:rPr>
          <w:rFonts w:ascii="Calibri" w:hAnsi="Calibri"/>
          <w:b w:val="0"/>
          <w:i/>
          <w:color w:val="595959"/>
          <w:sz w:val="20"/>
        </w:rPr>
        <w:t>Once per MSISDN lifetime – if a customer already purchased one of these packs before (in a prior month's campaign), they do not qualify again.</w:t>
      </w:r>
    </w:p>
    <w:p>
      <w:pPr>
        <w:spacing w:before="0" w:after="0"/>
      </w:pPr>
      <w:r>
        <w:br w:type="page"/>
      </w:r>
    </w:p>
    <w:p>
      <w:bookmarkStart w:id="12" w:name="sec12"/>
      <w:pPr>
        <w:spacing w:before="240" w:after="80"/>
        <w:shd w:val="clear" w:color="auto" w:fill="1F4E79"/>
        <w:ind w:left="113" w:right="113"/>
        <w:ind w:left="120"/>
      </w:pPr>
      <w:r>
        <w:rPr>
          <w:rFonts w:ascii="Calibri" w:hAnsi="Calibri"/>
          <w:b/>
          <w:i w:val="0"/>
          <w:color w:val="FFFFFF"/>
          <w:sz w:val="28"/>
        </w:rPr>
        <w:t>Section 12: Distributor Preponement Commission (Feb26–Mar26)</w:t>
      </w:r>
      <w:bookmarkEnd w:id="12"/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Preponement means early achievement of the monthly GA target before a specified mid-month date. Distributors who achieve a set percentage of their monthly target early earn a bonus.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12.1 Feb26 Preponement</w:t>
      </w:r>
    </w:p>
    <w:tbl>
      <w:tblPr>
        <w:tblLook w:firstColumn="1" w:firstRow="1" w:lastColumn="0" w:lastRow="0" w:noHBand="0" w:noVBand="1" w:val="04A0"/>
        <w:tblW w:w="9000" w:type="dxa"/>
      </w:tblPr>
      <w:tblGrid>
        <w:gridCol w:w="2256"/>
        <w:gridCol w:w="2256"/>
        <w:gridCol w:w="2256"/>
        <w:gridCol w:w="2256"/>
      </w:tblGrid>
      <w:tr>
        <w:tc>
          <w:tcPr>
            <w:shd w:val="clear" w:color="auto" w:fill="1F4E79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Condition</w:t>
            </w:r>
          </w:p>
        </w:tc>
        <w:tc>
          <w:tcPr>
            <w:shd w:val="clear" w:color="auto" w:fill="1F4E79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Achievement by 18th Feb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Bonus/GA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shd w:val="clear" w:color="auto" w:fill="FFFFFF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Full Preponement</w:t>
            </w:r>
          </w:p>
        </w:tc>
        <w:tc>
          <w:tcPr>
            <w:shd w:val="clear" w:color="auto" w:fill="FFFFFF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76% of monthly target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30/GA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Paid on all GAs in the achieved 76%</w:t>
            </w:r>
          </w:p>
        </w:tc>
      </w:tr>
      <w:tr>
        <w:tc>
          <w:tcPr>
            <w:shd w:val="clear" w:color="auto" w:fill="F2F2F2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Partial Preponement</w:t>
            </w:r>
          </w:p>
        </w:tc>
        <w:tc>
          <w:tcPr>
            <w:shd w:val="clear" w:color="auto" w:fill="F2F2F2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95%–99.5% of the 76% target by 18th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15/GA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Partial bonus for near-miss on preponement</w:t>
            </w:r>
          </w:p>
        </w:tc>
      </w:tr>
      <w:tr>
        <w:tc>
          <w:tcPr>
            <w:shd w:val="clear" w:color="auto" w:fill="FFFFFF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 Preponement</w:t>
            </w:r>
          </w:p>
        </w:tc>
        <w:tc>
          <w:tcPr>
            <w:shd w:val="clear" w:color="auto" w:fill="FFFFFF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&lt; 95% of 76% target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0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 preponement bonus</w:t>
            </w:r>
          </w:p>
        </w:tc>
      </w:tr>
    </w:tbl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12.2 Mar26 Preponement</w:t>
      </w:r>
    </w:p>
    <w:tbl>
      <w:tblPr>
        <w:tblLook w:firstColumn="1" w:firstRow="1" w:lastColumn="0" w:lastRow="0" w:noHBand="0" w:noVBand="1" w:val="04A0"/>
        <w:tblW w:w="9000" w:type="dxa"/>
      </w:tblPr>
      <w:tblGrid>
        <w:gridCol w:w="2256"/>
        <w:gridCol w:w="2256"/>
        <w:gridCol w:w="2256"/>
        <w:gridCol w:w="2256"/>
      </w:tblGrid>
      <w:tr>
        <w:tc>
          <w:tcPr>
            <w:shd w:val="clear" w:color="auto" w:fill="1F4E79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Condition</w:t>
            </w:r>
          </w:p>
        </w:tc>
        <w:tc>
          <w:tcPr>
            <w:shd w:val="clear" w:color="auto" w:fill="1F4E79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Achievement by 19th Mar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Bonus/GA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shd w:val="clear" w:color="auto" w:fill="FFFFFF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Full Preponement</w:t>
            </w:r>
          </w:p>
        </w:tc>
        <w:tc>
          <w:tcPr>
            <w:shd w:val="clear" w:color="auto" w:fill="FFFFFF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77% of monthly target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30/GA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Target raised from 76% in Feb</w:t>
            </w:r>
          </w:p>
        </w:tc>
      </w:tr>
      <w:tr>
        <w:tc>
          <w:tcPr>
            <w:shd w:val="clear" w:color="auto" w:fill="F2F2F2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Partial Preponement</w:t>
            </w:r>
          </w:p>
        </w:tc>
        <w:tc>
          <w:tcPr>
            <w:shd w:val="clear" w:color="auto" w:fill="F2F2F2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67% of monthly target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15/GA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Different partial structure vs Feb26</w:t>
            </w:r>
          </w:p>
        </w:tc>
      </w:tr>
      <w:tr>
        <w:tc>
          <w:tcPr>
            <w:shd w:val="clear" w:color="auto" w:fill="FFFFFF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 Preponement</w:t>
            </w:r>
          </w:p>
        </w:tc>
        <w:tc>
          <w:tcPr>
            <w:shd w:val="clear" w:color="auto" w:fill="FFFFFF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&lt; 67% of monthly target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0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 preponement bonus</w:t>
            </w:r>
          </w:p>
        </w:tc>
      </w:tr>
    </w:tbl>
    <w:p>
      <w:pPr>
        <w:spacing w:before="20" w:after="60"/>
      </w:pPr>
      <w:r>
        <w:rPr>
          <w:rFonts w:ascii="Calibri" w:hAnsi="Calibri"/>
          <w:b/>
          <w:i w:val="0"/>
          <w:sz w:val="21"/>
        </w:rPr>
        <w:t>Key Preponement Notes: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Agent list used: Month-end list (not mid-month list)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Feb26 partial: 95%–99.5% of the 76% sub-target; Mar26 partial: separate 67% threshold (different structure)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Preponement bonus is in addition to the regular monthly GA commission (not a replacement)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The mid-month cutoff date changed: 18th in Feb26 → 19th in Mar26</w:t>
      </w:r>
    </w:p>
    <w:p>
      <w:pPr>
        <w:spacing w:before="0" w:after="0"/>
      </w:pPr>
      <w:r>
        <w:br w:type="page"/>
      </w:r>
    </w:p>
    <w:p>
      <w:bookmarkStart w:id="13" w:name="sec13"/>
      <w:pPr>
        <w:spacing w:before="240" w:after="80"/>
        <w:shd w:val="clear" w:color="auto" w:fill="1F4E79"/>
        <w:ind w:left="113" w:right="113"/>
        <w:ind w:left="120"/>
      </w:pPr>
      <w:r>
        <w:rPr>
          <w:rFonts w:ascii="Calibri" w:hAnsi="Calibri"/>
          <w:b/>
          <w:i w:val="0"/>
          <w:color w:val="FFFFFF"/>
          <w:sz w:val="28"/>
        </w:rPr>
        <w:t>Section 13: Distributor Powerplay Campaign (Apr26)</w:t>
      </w:r>
      <w:bookmarkEnd w:id="13"/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A comprehensive multi-KPI distributor campaign launched from Apr26. Unlike single-metric GA campaigns, Powerplay evaluates multiple performance dimensions simultaneously.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13.1 Powerplay KPI Dimensions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EV Secondary (Electronic Voucher secondary sales)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SC Primary (SIM Card primary activations)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Recharge (EV + SC combined recharge)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All Bundle Sales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GA Excluding DRC (Gross Add excluding Direct Retailer Connect)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Retail SCR (Retailer Scratch Card Ratio)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RSO Productivity (Retail Sales Officer productivity)</w:t>
      </w:r>
    </w:p>
    <w:p>
      <w:pPr>
        <w:spacing w:before="60" w:after="60"/>
        <w:ind w:left="170"/>
        <w:shd w:val="clear" w:color="auto" w:fill="FFF2CC"/>
      </w:pPr>
      <w:r>
        <w:rPr>
          <w:rFonts w:ascii="Calibri" w:hAnsi="Calibri"/>
          <w:b w:val="0"/>
          <w:i/>
          <w:color w:val="595959"/>
          <w:sz w:val="20"/>
        </w:rPr>
        <w:t>KPI weightages vary by distributor. RYZE team shares individual targets and weightages in separate Excel files.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13.2 Powerplay GA Commission Component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Upon achieving the assigned GA target: BDT 50 incentive per GA achieved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100% target achievement is MANDATORY (unlike distributor flat commission which has no target; unlike slab campaigns which have linear payout from 60%/80%)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Below 100% achievement: Zero GA commission under Powerplay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ETSAF ≥98% by 7th: Binary gate (zero if below 98%)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Month-end RDB (Apr26 RDB) is the reference database for agent list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MNP Port-IN counted based on FCD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Data maturity: 8th of following month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13.3 Payout Illustration</w:t>
      </w:r>
    </w:p>
    <w:tbl>
      <w:tblPr>
        <w:tblLook w:firstColumn="1" w:firstRow="1" w:lastColumn="0" w:lastRow="0" w:noHBand="0" w:noVBand="1" w:val="04A0"/>
        <w:tblW w:w="9200" w:type="dxa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shd w:val="clear" w:color="auto" w:fill="1F4E79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GA Target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GA Achievement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 Ach%</w:t>
            </w:r>
          </w:p>
        </w:tc>
        <w:tc>
          <w:tcPr>
            <w:shd w:val="clear" w:color="auto" w:fill="1F4E79"/>
            <w:tcW w:w="1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ETSAF%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Incentive</w:t>
            </w:r>
          </w:p>
        </w:tc>
      </w:tr>
      <w:tr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100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113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113%</w:t>
            </w:r>
          </w:p>
        </w:tc>
        <w:tc>
          <w:tcPr>
            <w:shd w:val="clear" w:color="auto" w:fill="FFFFFF"/>
            <w:tcW w:w="1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1,695 (100% paid)</w:t>
            </w:r>
          </w:p>
        </w:tc>
      </w:tr>
      <w:tr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100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50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50%</w:t>
            </w:r>
          </w:p>
        </w:tc>
        <w:tc>
          <w:tcPr>
            <w:shd w:val="clear" w:color="auto" w:fill="F2F2F2"/>
            <w:tcW w:w="1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98%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0 (below 100% target)</w:t>
            </w:r>
          </w:p>
        </w:tc>
      </w:tr>
      <w:tr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100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100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100%</w:t>
            </w:r>
          </w:p>
        </w:tc>
        <w:tc>
          <w:tcPr>
            <w:shd w:val="clear" w:color="auto" w:fill="FFFFFF"/>
            <w:tcW w:w="1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97%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0 (ETSAF below 98%)</w:t>
            </w:r>
          </w:p>
        </w:tc>
      </w:tr>
    </w:tbl>
    <w:p>
      <w:pPr>
        <w:spacing w:before="60" w:after="60"/>
        <w:ind w:left="170"/>
        <w:shd w:val="clear" w:color="auto" w:fill="FFE4E1"/>
      </w:pPr>
      <w:r>
        <w:rPr>
          <w:rFonts w:ascii="Calibri" w:hAnsi="Calibri"/>
          <w:b w:val="0"/>
          <w:i/>
          <w:color w:val="595959"/>
          <w:sz w:val="20"/>
        </w:rPr>
        <w:t>In example row 1: 113 GAs achieved × BDT 50 × (capped at 113% achievement, all paid) = BDT 5,650? Note: actual SRF shows BDT 1,695 suggesting a formula; verify with RYZE team on exact calculation basis.</w:t>
      </w:r>
    </w:p>
    <w:p>
      <w:pPr>
        <w:spacing w:before="0" w:after="0"/>
      </w:pPr>
      <w:r>
        <w:br w:type="page"/>
      </w:r>
    </w:p>
    <w:p>
      <w:bookmarkStart w:id="14" w:name="sec14"/>
      <w:pPr>
        <w:spacing w:before="240" w:after="80"/>
        <w:shd w:val="clear" w:color="auto" w:fill="1F4E79"/>
        <w:ind w:left="113" w:right="113"/>
        <w:ind w:left="120"/>
      </w:pPr>
      <w:r>
        <w:rPr>
          <w:rFonts w:ascii="Calibri" w:hAnsi="Calibri"/>
          <w:b/>
          <w:i w:val="0"/>
          <w:color w:val="FFFFFF"/>
          <w:sz w:val="28"/>
        </w:rPr>
        <w:t>Section 14: Retailer GA Commission (Jan26–Mar26+)</w:t>
      </w:r>
      <w:bookmarkEnd w:id="14"/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Retailers earn gift-in-kind (Daraz voucher) based on their monthly RYZE GA count. Unlike cash commissions, this is a non-cash incentive. No monthly target is set – it is purely volume-based.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14.1 Retailer Incentive Tiers</w:t>
      </w:r>
    </w:p>
    <w:tbl>
      <w:tblPr>
        <w:tblLook w:firstColumn="1" w:firstRow="1" w:lastColumn="0" w:lastRow="0" w:noHBand="0" w:noVBand="1" w:val="04A0"/>
        <w:tblW w:w="8800" w:type="dxa"/>
      </w:tblPr>
      <w:tblGrid>
        <w:gridCol w:w="2256"/>
        <w:gridCol w:w="2256"/>
        <w:gridCol w:w="2256"/>
        <w:gridCol w:w="2256"/>
      </w:tblGrid>
      <w:tr>
        <w:tc>
          <w:tcPr>
            <w:shd w:val="clear" w:color="auto" w:fill="1F4E79"/>
            <w:tcW w:w="1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Tier</w:t>
            </w:r>
          </w:p>
        </w:tc>
        <w:tc>
          <w:tcPr>
            <w:shd w:val="clear" w:color="auto" w:fill="1F4E79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Monthly GA</w:t>
            </w:r>
          </w:p>
        </w:tc>
        <w:tc>
          <w:tcPr>
            <w:shd w:val="clear" w:color="auto" w:fill="1F4E79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Daraz Voucher</w:t>
            </w:r>
          </w:p>
        </w:tc>
        <w:tc>
          <w:tcPr>
            <w:shd w:val="clear" w:color="auto" w:fill="1F4E79"/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shd w:val="clear" w:color="auto" w:fill="FFFFFF"/>
            <w:tcW w:w="1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Tier 1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3 GA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200 voucher</w:t>
            </w:r>
          </w:p>
        </w:tc>
        <w:tc>
          <w:tcPr>
            <w:shd w:val="clear" w:color="auto" w:fill="FFFFFF"/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Entry level</w:t>
            </w:r>
          </w:p>
        </w:tc>
      </w:tr>
      <w:tr>
        <w:tc>
          <w:tcPr>
            <w:shd w:val="clear" w:color="auto" w:fill="F2F2F2"/>
            <w:tcW w:w="1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Tier 2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4 – 5 GA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300 voucher</w:t>
            </w:r>
          </w:p>
        </w:tc>
        <w:tc>
          <w:tcPr>
            <w:shd w:val="clear" w:color="auto" w:fill="F2F2F2"/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Mid tier</w:t>
            </w:r>
          </w:p>
        </w:tc>
      </w:tr>
      <w:tr>
        <w:tc>
          <w:tcPr>
            <w:shd w:val="clear" w:color="auto" w:fill="FFFFFF"/>
            <w:tcW w:w="1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Tier 3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6 GA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600 voucher</w:t>
            </w:r>
          </w:p>
        </w:tc>
        <w:tc>
          <w:tcPr>
            <w:shd w:val="clear" w:color="auto" w:fill="FFFFFF"/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Highest tier</w:t>
            </w:r>
          </w:p>
        </w:tc>
      </w:tr>
      <w:tr>
        <w:tc>
          <w:tcPr>
            <w:shd w:val="clear" w:color="auto" w:fill="F2F2F2"/>
            <w:tcW w:w="1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Below Threshold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&lt; 3 GA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 incentive</w:t>
            </w:r>
          </w:p>
        </w:tc>
        <w:tc>
          <w:tcPr>
            <w:shd w:val="clear" w:color="auto" w:fill="F2F2F2"/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Minimum 3 GA required</w:t>
            </w:r>
          </w:p>
        </w:tc>
      </w:tr>
    </w:tbl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14.2 Retailer Eligibility Gates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Listed retailers only: Only retailers on the official RYZE eligibility list qualify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100% RYZE App sign-up: Every GA by that retailer in the month must have RYZE App sign-up on the FCD (100% gate – not 95% or 98%)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Usage condition: ≥95% of GAs must show valid usage (outgoing call or internet) for at least 48 hours after FCD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Gift-in-kind: Daraz e-voucher (not cash) – no AIT implications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ETSAF: Standard 98% condition applies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MNP Port-IN: Counted as GA based on FAD/FCD</w:t>
      </w:r>
    </w:p>
    <w:p>
      <w:pPr>
        <w:spacing w:before="60" w:after="60"/>
        <w:ind w:left="170"/>
        <w:shd w:val="clear" w:color="auto" w:fill="FFF2CC"/>
      </w:pPr>
      <w:r>
        <w:rPr>
          <w:rFonts w:ascii="Calibri" w:hAnsi="Calibri"/>
          <w:b w:val="0"/>
          <w:i/>
          <w:color w:val="595959"/>
          <w:sz w:val="20"/>
        </w:rPr>
        <w:t>Retailer campaign does NOT have a monthly target. It is purely based on total GA count. The 100% App sign-up gate is the strictest per-GA condition in all RYZE campaigns.</w:t>
      </w:r>
    </w:p>
    <w:p>
      <w:pPr>
        <w:spacing w:before="0" w:after="0"/>
      </w:pPr>
      <w:r>
        <w:br w:type="page"/>
      </w:r>
    </w:p>
    <w:p>
      <w:bookmarkStart w:id="15" w:name="sec15"/>
      <w:pPr>
        <w:spacing w:before="240" w:after="80"/>
        <w:shd w:val="clear" w:color="auto" w:fill="1F4E79"/>
        <w:ind w:left="113" w:right="113"/>
        <w:ind w:left="120"/>
      </w:pPr>
      <w:r>
        <w:rPr>
          <w:rFonts w:ascii="Calibri" w:hAnsi="Calibri"/>
          <w:b/>
          <w:i w:val="0"/>
          <w:color w:val="FFFFFF"/>
          <w:sz w:val="28"/>
        </w:rPr>
        <w:t>Section 15: CC Variable Commission (Jan26–Mar26)</w:t>
      </w:r>
      <w:bookmarkEnd w:id="15"/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CC = Channel Coordinator. Variable commission with a minimum GA threshold, then per-GA bonus above threshold, plus App sign-up and VLR performance bonuses.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15.1 GA Variable Commission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Minimum threshold: 50 GA per 30-day window (prorated for CCs who join mid-month)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Commission earned: BDT 200 per GA achieved above the 50 GA threshold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Maximum cap: 300 GA (commission earned on GAs 51 through 300 only)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GAs below 50 threshold: Zero commission earned for those GAs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ETSAF gate: If ETSAF compliance falls below 98%, ALL GAs become invalid (entire commission = zero)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VLR modifier applies on top (see Section 15.3)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15.2 App Sign-Up Bonus (Monthly)</w:t>
      </w:r>
    </w:p>
    <w:tbl>
      <w:tblPr>
        <w:tblLook w:firstColumn="1" w:firstRow="1" w:lastColumn="0" w:lastRow="0" w:noHBand="0" w:noVBand="1" w:val="04A0"/>
        <w:tblW w:w="9200" w:type="dxa"/>
      </w:tblPr>
      <w:tblGrid>
        <w:gridCol w:w="2256"/>
        <w:gridCol w:w="2256"/>
        <w:gridCol w:w="2256"/>
        <w:gridCol w:w="2256"/>
      </w:tblGrid>
      <w:tr>
        <w:tc>
          <w:tcPr>
            <w:shd w:val="clear" w:color="auto" w:fill="1F4E79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App Sign-Up Rate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Jan26 Bonus</w:t>
            </w:r>
          </w:p>
        </w:tc>
        <w:tc>
          <w:tcPr>
            <w:shd w:val="clear" w:color="auto" w:fill="1F4E79"/>
            <w:tcW w:w="2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Mar26 Bonus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shd w:val="clear" w:color="auto" w:fill="FFFFFF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95%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4,000</w:t>
            </w:r>
          </w:p>
        </w:tc>
        <w:tc>
          <w:tcPr>
            <w:shd w:val="clear" w:color="auto" w:fill="FFFFFF"/>
            <w:tcW w:w="2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2,000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Top tier – bonus halved in Mar26</w:t>
            </w:r>
          </w:p>
        </w:tc>
      </w:tr>
      <w:tr>
        <w:tc>
          <w:tcPr>
            <w:shd w:val="clear" w:color="auto" w:fill="F2F2F2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90% and &lt; 95%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2,000</w:t>
            </w:r>
          </w:p>
        </w:tc>
        <w:tc>
          <w:tcPr>
            <w:shd w:val="clear" w:color="auto" w:fill="F2F2F2"/>
            <w:tcW w:w="2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1,000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Middle tier – bonus halved in Mar26</w:t>
            </w:r>
          </w:p>
        </w:tc>
      </w:tr>
      <w:tr>
        <w:tc>
          <w:tcPr>
            <w:shd w:val="clear" w:color="auto" w:fill="FFFFFF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&lt; 90%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0</w:t>
            </w:r>
          </w:p>
        </w:tc>
        <w:tc>
          <w:tcPr>
            <w:shd w:val="clear" w:color="auto" w:fill="FFFFFF"/>
            <w:tcW w:w="2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0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 bonus below 90%</w:t>
            </w:r>
          </w:p>
        </w:tc>
      </w:tr>
    </w:tbl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15.3 VLR Bonus (Monthly)</w:t>
      </w:r>
    </w:p>
    <w:tbl>
      <w:tblPr>
        <w:tblLook w:firstColumn="1" w:firstRow="1" w:lastColumn="0" w:lastRow="0" w:noHBand="0" w:noVBand="1" w:val="04A0"/>
        <w:tblW w:w="9200" w:type="dxa"/>
      </w:tblPr>
      <w:tblGrid>
        <w:gridCol w:w="2256"/>
        <w:gridCol w:w="2256"/>
        <w:gridCol w:w="2256"/>
        <w:gridCol w:w="2256"/>
      </w:tblGrid>
      <w:tr>
        <w:tc>
          <w:tcPr>
            <w:shd w:val="clear" w:color="auto" w:fill="1F4E79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VLR Rate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Jan26 Bonus</w:t>
            </w:r>
          </w:p>
        </w:tc>
        <w:tc>
          <w:tcPr>
            <w:shd w:val="clear" w:color="auto" w:fill="1F4E79"/>
            <w:tcW w:w="2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Mar26 Bonus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shd w:val="clear" w:color="auto" w:fill="FFFFFF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85%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4,000</w:t>
            </w:r>
          </w:p>
        </w:tc>
        <w:tc>
          <w:tcPr>
            <w:shd w:val="clear" w:color="auto" w:fill="FFFFFF"/>
            <w:tcW w:w="2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Jan26 only threshold</w:t>
            </w:r>
          </w:p>
        </w:tc>
      </w:tr>
      <w:tr>
        <w:tc>
          <w:tcPr>
            <w:shd w:val="clear" w:color="auto" w:fill="F2F2F2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95%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shd w:val="clear" w:color="auto" w:fill="F2F2F2"/>
            <w:tcW w:w="2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2,000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Mar26 raises threshold to 95%</w:t>
            </w:r>
          </w:p>
        </w:tc>
      </w:tr>
      <w:tr>
        <w:tc>
          <w:tcPr>
            <w:shd w:val="clear" w:color="auto" w:fill="FFFFFF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80% and &lt; 85% (Jan) / ≥ 90% and &lt; 95% (Mar)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2,000</w:t>
            </w:r>
          </w:p>
        </w:tc>
        <w:tc>
          <w:tcPr>
            <w:shd w:val="clear" w:color="auto" w:fill="FFFFFF"/>
            <w:tcW w:w="2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1,000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Middle tier</w:t>
            </w:r>
          </w:p>
        </w:tc>
      </w:tr>
      <w:tr>
        <w:tc>
          <w:tcPr>
            <w:shd w:val="clear" w:color="auto" w:fill="F2F2F2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Below lower threshold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0</w:t>
            </w:r>
          </w:p>
        </w:tc>
        <w:tc>
          <w:tcPr>
            <w:shd w:val="clear" w:color="auto" w:fill="F2F2F2"/>
            <w:tcW w:w="2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0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 bonus</w:t>
            </w:r>
          </w:p>
        </w:tc>
      </w:tr>
    </w:tbl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15.4 VLR Payout Modifier for Variable Commission</w:t>
      </w:r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VLR also acts as a modifier to the GA variable commission (BDT 200/GA component):</w:t>
      </w:r>
    </w:p>
    <w:tbl>
      <w:tblPr>
        <w:tblLook w:firstColumn="1" w:firstRow="1" w:lastColumn="0" w:lastRow="0" w:noHBand="0" w:noVBand="1" w:val="04A0"/>
        <w:tblW w:w="8000" w:type="dxa"/>
      </w:tblPr>
      <w:tblGrid>
        <w:gridCol w:w="3009"/>
        <w:gridCol w:w="3009"/>
        <w:gridCol w:w="3009"/>
      </w:tblGrid>
      <w:tr>
        <w:tc>
          <w:tcPr>
            <w:shd w:val="clear" w:color="auto" w:fill="1F4E79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VLR Level</w:t>
            </w:r>
          </w:p>
        </w:tc>
        <w:tc>
          <w:tcPr>
            <w:shd w:val="clear" w:color="auto" w:fill="1F4E79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Payout Multiplier</w:t>
            </w:r>
          </w:p>
        </w:tc>
        <w:tc>
          <w:tcPr>
            <w:shd w:val="clear" w:color="auto" w:fill="1F4E79"/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Effect</w:t>
            </w:r>
          </w:p>
        </w:tc>
      </w:tr>
      <w:tr>
        <w:tc>
          <w:tcPr>
            <w:shd w:val="clear" w:color="auto" w:fill="FFFFFF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80%</w:t>
            </w:r>
          </w:p>
        </w:tc>
        <w:tc>
          <w:tcPr>
            <w:shd w:val="clear" w:color="auto" w:fill="FFFFFF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100% of earned commission</w:t>
            </w:r>
          </w:p>
        </w:tc>
        <w:tc>
          <w:tcPr>
            <w:shd w:val="clear" w:color="auto" w:fill="FFFFFF"/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Full variable commission paid</w:t>
            </w:r>
          </w:p>
        </w:tc>
      </w:tr>
      <w:tr>
        <w:tc>
          <w:tcPr>
            <w:shd w:val="clear" w:color="auto" w:fill="F2F2F2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60% and &lt; 80%</w:t>
            </w:r>
          </w:p>
        </w:tc>
        <w:tc>
          <w:tcPr>
            <w:shd w:val="clear" w:color="auto" w:fill="F2F2F2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Prorated (VLR% × earned)</w:t>
            </w:r>
          </w:p>
        </w:tc>
        <w:tc>
          <w:tcPr>
            <w:shd w:val="clear" w:color="auto" w:fill="F2F2F2"/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Reduced variable commission</w:t>
            </w:r>
          </w:p>
        </w:tc>
      </w:tr>
      <w:tr>
        <w:tc>
          <w:tcPr>
            <w:shd w:val="clear" w:color="auto" w:fill="FFFFFF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&lt; 60%</w:t>
            </w:r>
          </w:p>
        </w:tc>
        <w:tc>
          <w:tcPr>
            <w:shd w:val="clear" w:color="auto" w:fill="FFFFFF"/>
            <w:tcW w:w="2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0% – Zero</w:t>
            </w:r>
          </w:p>
        </w:tc>
        <w:tc>
          <w:tcPr>
            <w:shd w:val="clear" w:color="auto" w:fill="FFFFFF"/>
            <w:tcW w:w="3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 variable commission at all</w:t>
            </w:r>
          </w:p>
        </w:tc>
      </w:tr>
    </w:tbl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15.5 CC Variable – Bonus Trend (Jan26 vs Mar26)</w:t>
      </w:r>
    </w:p>
    <w:p>
      <w:pPr>
        <w:spacing w:before="60" w:after="60"/>
        <w:ind w:left="170"/>
        <w:shd w:val="clear" w:color="auto" w:fill="D6E4F0"/>
      </w:pPr>
      <w:r>
        <w:rPr>
          <w:rFonts w:ascii="Calibri" w:hAnsi="Calibri"/>
          <w:b w:val="0"/>
          <w:i/>
          <w:color w:val="595959"/>
          <w:sz w:val="20"/>
        </w:rPr>
        <w:t>Trend: Mar26 bonuses are half of Jan26 levels for both App sign-up and VLR. The GA variable rate (BDT 200/GA) remains unchanged. This suggests a reduction in supplementary incentives while core commission holds.</w:t>
      </w:r>
    </w:p>
    <w:p>
      <w:pPr>
        <w:spacing w:before="0" w:after="0"/>
      </w:pPr>
      <w:r>
        <w:br w:type="page"/>
      </w:r>
    </w:p>
    <w:p>
      <w:bookmarkStart w:id="16" w:name="sec16"/>
      <w:pPr>
        <w:spacing w:before="240" w:after="80"/>
        <w:shd w:val="clear" w:color="auto" w:fill="1F4E79"/>
        <w:ind w:left="113" w:right="113"/>
        <w:ind w:left="120"/>
      </w:pPr>
      <w:r>
        <w:rPr>
          <w:rFonts w:ascii="Calibri" w:hAnsi="Calibri"/>
          <w:b/>
          <w:i w:val="0"/>
          <w:color w:val="FFFFFF"/>
          <w:sz w:val="28"/>
        </w:rPr>
        <w:t>Section 16: CC Pohela Boishak Campaign (14 Apr 2026)</w:t>
      </w:r>
      <w:bookmarkEnd w:id="16"/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A special one-day campaign coinciding with the Bengali New Year (Pohela Boishakh). CC agents earn slab bonuses for GAs achieved specifically on 14th April 2026.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16.1 One-Day Campaign Structure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Campaign window: 14th April 2026 ONLY (single day)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Agent list: 14th Apr26 active agent list is used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RYZE App sign-up: MANDATORY for each GA to count toward slab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MNP Port-IN: Counted based on FAD</w:t>
      </w:r>
    </w:p>
    <w:tbl>
      <w:tblPr>
        <w:tblLook w:firstColumn="1" w:firstRow="1" w:lastColumn="0" w:lastRow="0" w:noHBand="0" w:noVBand="1" w:val="04A0"/>
        <w:tblW w:w="8800" w:type="dxa"/>
      </w:tblPr>
      <w:tblGrid>
        <w:gridCol w:w="2256"/>
        <w:gridCol w:w="2256"/>
        <w:gridCol w:w="2256"/>
        <w:gridCol w:w="2256"/>
      </w:tblGrid>
      <w:tr>
        <w:tc>
          <w:tcPr>
            <w:shd w:val="clear" w:color="auto" w:fill="1F4E79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Slab</w:t>
            </w:r>
          </w:p>
        </w:tc>
        <w:tc>
          <w:tcPr>
            <w:shd w:val="clear" w:color="auto" w:fill="1F4E79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GA on 14th Apr</w:t>
            </w:r>
          </w:p>
        </w:tc>
        <w:tc>
          <w:tcPr>
            <w:shd w:val="clear" w:color="auto" w:fill="1F4E79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Cash Bonus</w:t>
            </w:r>
          </w:p>
        </w:tc>
        <w:tc>
          <w:tcPr>
            <w:shd w:val="clear" w:color="auto" w:fill="1F4E79"/>
            <w:tcW w:w="29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Slab 1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10 – 14 GA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300</w:t>
            </w:r>
          </w:p>
        </w:tc>
        <w:tc>
          <w:tcPr>
            <w:shd w:val="clear" w:color="auto" w:fill="FFFFFF"/>
            <w:tcW w:w="29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App-verified GAs only</w:t>
            </w:r>
          </w:p>
        </w:tc>
      </w:tr>
      <w:tr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Slab 2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15 – 19 GA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500</w:t>
            </w:r>
          </w:p>
        </w:tc>
        <w:tc>
          <w:tcPr>
            <w:shd w:val="clear" w:color="auto" w:fill="F2F2F2"/>
            <w:tcW w:w="29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App-verified GAs only</w:t>
            </w:r>
          </w:p>
        </w:tc>
      </w:tr>
      <w:tr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Slab 3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20 GA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1,000</w:t>
            </w:r>
          </w:p>
        </w:tc>
        <w:tc>
          <w:tcPr>
            <w:shd w:val="clear" w:color="auto" w:fill="FFFFFF"/>
            <w:tcW w:w="29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App-verified GAs only</w:t>
            </w:r>
          </w:p>
        </w:tc>
      </w:tr>
      <w:tr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Below threshold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&lt; 10 GA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0</w:t>
            </w:r>
          </w:p>
        </w:tc>
        <w:tc>
          <w:tcPr>
            <w:shd w:val="clear" w:color="auto" w:fill="F2F2F2"/>
            <w:tcW w:w="29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 incentive below 10 GA</w:t>
            </w:r>
          </w:p>
        </w:tc>
      </w:tr>
    </w:tbl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16.2 Critical Condition – App-Gated Slab Count</w:t>
      </w:r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The slabs are determined by App-verified GAs, not total GAs. Example:</w:t>
      </w:r>
    </w:p>
    <w:tbl>
      <w:tblPr>
        <w:tblLook w:firstColumn="1" w:firstRow="1" w:lastColumn="0" w:lastRow="0" w:noHBand="0" w:noVBand="1" w:val="04A0"/>
        <w:tblW w:w="900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shd w:val="clear" w:color="auto" w:fill="1F4E79"/>
            <w:tcW w:w="1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shd w:val="clear" w:color="auto" w:fill="1F4E79"/>
            <w:tcW w:w="1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Agent</w:t>
            </w:r>
          </w:p>
        </w:tc>
        <w:tc>
          <w:tcPr>
            <w:shd w:val="clear" w:color="auto" w:fill="1F4E79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Total GA</w:t>
            </w:r>
          </w:p>
        </w:tc>
        <w:tc>
          <w:tcPr>
            <w:shd w:val="clear" w:color="auto" w:fill="1F4E79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App GAs</w:t>
            </w:r>
          </w:p>
        </w:tc>
        <w:tc>
          <w:tcPr>
            <w:shd w:val="clear" w:color="auto" w:fill="1F4E79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Payout</w:t>
            </w:r>
          </w:p>
        </w:tc>
        <w:tc>
          <w:tcPr>
            <w:shd w:val="clear" w:color="auto" w:fill="1F4E79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Reason</w:t>
            </w:r>
          </w:p>
        </w:tc>
      </w:tr>
      <w:tr>
        <w:tc>
          <w:tcPr>
            <w:shd w:val="clear" w:color="auto" w:fill="FFFFFF"/>
            <w:tcW w:w="1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14 Apr</w:t>
            </w:r>
          </w:p>
        </w:tc>
        <w:tc>
          <w:tcPr>
            <w:shd w:val="clear" w:color="auto" w:fill="FFFFFF"/>
            <w:tcW w:w="1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CC1</w:t>
            </w:r>
          </w:p>
        </w:tc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300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Slab 1 – all App verified</w:t>
            </w:r>
          </w:p>
        </w:tc>
      </w:tr>
      <w:tr>
        <w:tc>
          <w:tcPr>
            <w:shd w:val="clear" w:color="auto" w:fill="F2F2F2"/>
            <w:tcW w:w="1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14 Apr</w:t>
            </w:r>
          </w:p>
        </w:tc>
        <w:tc>
          <w:tcPr>
            <w:shd w:val="clear" w:color="auto" w:fill="F2F2F2"/>
            <w:tcW w:w="1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CC1</w:t>
            </w:r>
          </w:p>
        </w:tc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0</w:t>
            </w:r>
          </w:p>
        </w:tc>
        <w:tc>
          <w:tcPr>
            <w:shd w:val="clear" w:color="auto" w:fill="F2F2F2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Only 9 App GAs – below 10 threshold</w:t>
            </w:r>
          </w:p>
        </w:tc>
      </w:tr>
      <w:tr>
        <w:tc>
          <w:tcPr>
            <w:shd w:val="clear" w:color="auto" w:fill="FFFFFF"/>
            <w:tcW w:w="1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14 Apr</w:t>
            </w:r>
          </w:p>
        </w:tc>
        <w:tc>
          <w:tcPr>
            <w:shd w:val="clear" w:color="auto" w:fill="FFFFFF"/>
            <w:tcW w:w="1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CC1</w:t>
            </w:r>
          </w:p>
        </w:tc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19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500</w:t>
            </w:r>
          </w:p>
        </w:tc>
        <w:tc>
          <w:tcPr>
            <w:shd w:val="clear" w:color="auto" w:fill="FFFFFF"/>
            <w:tcW w:w="20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Only 19 App GAs – qualifies Slab 2, not Slab 3</w:t>
            </w:r>
          </w:p>
        </w:tc>
      </w:tr>
    </w:tbl>
    <w:p>
      <w:pPr>
        <w:spacing w:before="20" w:after="60"/>
      </w:pPr>
      <w:r>
        <w:rPr>
          <w:rFonts w:ascii="Calibri" w:hAnsi="Calibri"/>
          <w:b w:val="0"/>
          <w:i/>
          <w:color w:val="595959"/>
          <w:sz w:val="21"/>
        </w:rPr>
        <w:t>Maturity: 8th of following month (May 8, 2026)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ETSAF: Only ETSAF-valid GA &amp; Apps are considered</w:t>
      </w:r>
    </w:p>
    <w:p>
      <w:pPr>
        <w:spacing w:before="0" w:after="0"/>
      </w:pPr>
      <w:r>
        <w:br w:type="page"/>
      </w:r>
    </w:p>
    <w:p>
      <w:bookmarkStart w:id="17" w:name="sec17"/>
      <w:pPr>
        <w:spacing w:before="240" w:after="80"/>
        <w:shd w:val="clear" w:color="auto" w:fill="1F4E79"/>
        <w:ind w:left="113" w:right="113"/>
        <w:ind w:left="120"/>
      </w:pPr>
      <w:r>
        <w:rPr>
          <w:rFonts w:ascii="Calibri" w:hAnsi="Calibri"/>
          <w:b/>
          <w:i w:val="0"/>
          <w:color w:val="FFFFFF"/>
          <w:sz w:val="28"/>
        </w:rPr>
        <w:t>Section 17: DSO Variable Commission (Jan26)</w:t>
      </w:r>
      <w:bookmarkEnd w:id="17"/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DSO = Distribution Support Officer. Variable commission structure mirrors CC Variable but with a lower per-GA rate and a daily allowance component.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17.1 DSO Variable – GA Commission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Minimum threshold: 50 GA per 30-day window (same as CC – prorated for late joiners)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Commission earned: BDT 150 per GA above threshold (vs BDT 200/GA for CC)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Maximum cap: Not explicitly stated – same framework as CC (up to 300 GA in earned range)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ETSAF gate: 98% (same – entire commission zeroed if below)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VLR modifier: Same as CC (≥80%=100%; ≥60-80%=prorated; &lt;60%=zero)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App sign-up bonus: Same structure as CC Variable Jan26 (≥95%=4,000; ≥90-95%=2,000)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VLR bonus: Same structure as CC Variable Jan26 (≥85%=4,000; ≥80-85%=2,000)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17.2 DSO Daily Allowance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Amount: BDT 100 per working day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Maximum: 26 days per month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Maximum monthly allowance: BDT 2,600 (100 × 26)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This is in addition to GA variable commission and bonuses</w:t>
      </w:r>
    </w:p>
    <w:p>
      <w:pPr>
        <w:spacing w:before="60" w:after="60"/>
        <w:ind w:left="170"/>
        <w:shd w:val="clear" w:color="auto" w:fill="D6E4F0"/>
      </w:pPr>
      <w:r>
        <w:rPr>
          <w:rFonts w:ascii="Calibri" w:hAnsi="Calibri"/>
          <w:b w:val="0"/>
          <w:i/>
          <w:color w:val="595959"/>
          <w:sz w:val="20"/>
        </w:rPr>
        <w:t>DSO rate: BDT 150/GA vs CC rate: BDT 200/GA. All other conditions identical to CC Variable Jan26. The daily allowance (BDT 100/day) is unique to DSO.</w:t>
      </w:r>
    </w:p>
    <w:p>
      <w:pPr>
        <w:spacing w:before="0" w:after="0"/>
      </w:pPr>
      <w:r>
        <w:br w:type="page"/>
      </w:r>
    </w:p>
    <w:p>
      <w:bookmarkStart w:id="18" w:name="sec18"/>
      <w:pPr>
        <w:spacing w:before="240" w:after="80"/>
        <w:shd w:val="clear" w:color="auto" w:fill="1F4E79"/>
        <w:ind w:left="113" w:right="113"/>
        <w:ind w:left="120"/>
      </w:pPr>
      <w:r>
        <w:rPr>
          <w:rFonts w:ascii="Calibri" w:hAnsi="Calibri"/>
          <w:b/>
          <w:i w:val="0"/>
          <w:color w:val="FFFFFF"/>
          <w:sz w:val="28"/>
        </w:rPr>
        <w:t>Section 18: DSO Pohela Boishak Campaign (14 Apr 2026)</w:t>
      </w:r>
      <w:bookmarkEnd w:id="18"/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Identical structure to CC Pohela Boishak (Section 16) but for DSO agents.</w:t>
      </w:r>
    </w:p>
    <w:tbl>
      <w:tblPr>
        <w:tblLook w:firstColumn="1" w:firstRow="1" w:lastColumn="0" w:lastRow="0" w:noHBand="0" w:noVBand="1" w:val="04A0"/>
        <w:tblW w:w="8800" w:type="dxa"/>
      </w:tblPr>
      <w:tblGrid>
        <w:gridCol w:w="2256"/>
        <w:gridCol w:w="2256"/>
        <w:gridCol w:w="2256"/>
        <w:gridCol w:w="2256"/>
      </w:tblGrid>
      <w:tr>
        <w:tc>
          <w:tcPr>
            <w:shd w:val="clear" w:color="auto" w:fill="1F4E79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Slab</w:t>
            </w:r>
          </w:p>
        </w:tc>
        <w:tc>
          <w:tcPr>
            <w:shd w:val="clear" w:color="auto" w:fill="1F4E79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GA on 14th Apr</w:t>
            </w:r>
          </w:p>
        </w:tc>
        <w:tc>
          <w:tcPr>
            <w:shd w:val="clear" w:color="auto" w:fill="1F4E79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Cash Bonus</w:t>
            </w:r>
          </w:p>
        </w:tc>
        <w:tc>
          <w:tcPr>
            <w:shd w:val="clear" w:color="auto" w:fill="1F4E79"/>
            <w:tcW w:w="29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Condition</w:t>
            </w:r>
          </w:p>
        </w:tc>
      </w:tr>
      <w:tr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Slab 1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10 – 14 GA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300</w:t>
            </w:r>
          </w:p>
        </w:tc>
        <w:tc>
          <w:tcPr>
            <w:shd w:val="clear" w:color="auto" w:fill="FFFFFF"/>
            <w:tcW w:w="29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App-verified GAs only</w:t>
            </w:r>
          </w:p>
        </w:tc>
      </w:tr>
      <w:tr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Slab 2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15 – 19 GA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500</w:t>
            </w:r>
          </w:p>
        </w:tc>
        <w:tc>
          <w:tcPr>
            <w:shd w:val="clear" w:color="auto" w:fill="F2F2F2"/>
            <w:tcW w:w="29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App-verified GAs only</w:t>
            </w:r>
          </w:p>
        </w:tc>
      </w:tr>
      <w:tr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Slab 3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20 GA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1,000</w:t>
            </w:r>
          </w:p>
        </w:tc>
        <w:tc>
          <w:tcPr>
            <w:shd w:val="clear" w:color="auto" w:fill="FFFFFF"/>
            <w:tcW w:w="29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App-verified GAs only</w:t>
            </w:r>
          </w:p>
        </w:tc>
      </w:tr>
      <w:tr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Below threshold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&lt; 10 GA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0</w:t>
            </w:r>
          </w:p>
        </w:tc>
        <w:tc>
          <w:tcPr>
            <w:shd w:val="clear" w:color="auto" w:fill="F2F2F2"/>
            <w:tcW w:w="29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 incentive</w:t>
            </w:r>
          </w:p>
        </w:tc>
      </w:tr>
    </w:tbl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All conditions identical to CC Pohela Boishak: one-day campaign, App-gated slab counting, agent list of 14th Apr26, maturity 8th May26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The SRF recipient description incorrectly shows 'Field Force: Others…Distributors' but is clearly for DSOs (field force)</w:t>
      </w:r>
    </w:p>
    <w:p>
      <w:pPr>
        <w:spacing w:before="0" w:after="0"/>
      </w:pPr>
      <w:r>
        <w:br w:type="page"/>
      </w:r>
    </w:p>
    <w:p>
      <w:bookmarkStart w:id="19" w:name="sec19"/>
      <w:pPr>
        <w:spacing w:before="240" w:after="80"/>
        <w:shd w:val="clear" w:color="auto" w:fill="1F4E79"/>
        <w:ind w:left="113" w:right="113"/>
        <w:ind w:left="120"/>
      </w:pPr>
      <w:r>
        <w:rPr>
          <w:rFonts w:ascii="Calibri" w:hAnsi="Calibri"/>
          <w:b/>
          <w:i w:val="0"/>
          <w:color w:val="FFFFFF"/>
          <w:sz w:val="28"/>
        </w:rPr>
        <w:t>Section 19: Supervisor Variable Commission (Jan26)</w:t>
      </w:r>
      <w:bookmarkEnd w:id="19"/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Supervisor-level variable commission with a much higher GA threshold, lower per-GA rate, and daily allowance. VLR modifier does NOT apply to supervisors.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19.1 Supervisor Variable – GA Commission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Minimum threshold: 350 GA per 30-day window (7× higher than CC/DSO threshold of 50 GA)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Threshold prorated for supervisors who join mid-month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Commission earned: BDT 20 per GA above threshold (vs BDT 200 for CC, BDT 150 for DSO)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ETSAF gate: 98% (same – entire commission zeroed if below)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App sign-up bonus: Same structure as CC/DSO (≥95%=4,000; ≥90-95%=2,000)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19.2 Supervisor VLR – Key Difference</w:t>
      </w:r>
    </w:p>
    <w:p>
      <w:pPr>
        <w:spacing w:before="60" w:after="60"/>
        <w:ind w:left="170"/>
        <w:shd w:val="clear" w:color="auto" w:fill="FFE4E1"/>
      </w:pPr>
      <w:r>
        <w:rPr>
          <w:rFonts w:ascii="Calibri" w:hAnsi="Calibri"/>
          <w:b w:val="0"/>
          <w:i/>
          <w:color w:val="595959"/>
          <w:sz w:val="20"/>
        </w:rPr>
        <w:t>CRITICAL DISTINCTION: VLR condition does NOT apply to Supervisor Variable Commission. Supervisors receive full commission regardless of VLR rate, unlike CC and DSO where VLR gates the payout.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19.3 Supervisor Daily Allowance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Amount: BDT 200 per working day (2× DSO's allowance of BDT 100/day)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Maximum: 26 days per month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b w:val="0"/>
          <w:i w:val="0"/>
          <w:sz w:val="21"/>
        </w:rPr>
        <w:t>Maximum monthly allowance: BDT 5,200 (200 × 26)</w:t>
      </w:r>
    </w:p>
    <w:p>
      <w:pPr>
        <w:spacing w:before="120" w:after="80"/>
        <w:pBdr>
          <w:bottom w:val="single" w:sz="6" w:space="1" w:color="2E75B6"/>
        </w:pBdr>
      </w:pPr>
      <w:r>
        <w:rPr>
          <w:rFonts w:ascii="Calibri" w:hAnsi="Calibri"/>
          <w:b/>
          <w:i w:val="0"/>
          <w:color w:val="1F4E79"/>
          <w:sz w:val="24"/>
        </w:rPr>
        <w:t>19.4 Comparison: CC vs DSO vs Supervisor</w:t>
      </w:r>
    </w:p>
    <w:tbl>
      <w:tblPr>
        <w:tblLook w:firstColumn="1" w:firstRow="1" w:lastColumn="0" w:lastRow="0" w:noHBand="0" w:noVBand="1" w:val="04A0"/>
        <w:tblW w:w="9200" w:type="dxa"/>
      </w:tblPr>
      <w:tblGrid>
        <w:gridCol w:w="2256"/>
        <w:gridCol w:w="2256"/>
        <w:gridCol w:w="2256"/>
        <w:gridCol w:w="2256"/>
      </w:tblGrid>
      <w:tr>
        <w:tc>
          <w:tcPr>
            <w:shd w:val="clear" w:color="auto" w:fill="1F4E79"/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Parameter</w:t>
            </w:r>
          </w:p>
        </w:tc>
        <w:tc>
          <w:tcPr>
            <w:shd w:val="clear" w:color="auto" w:fill="1F4E79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CC</w:t>
            </w:r>
          </w:p>
        </w:tc>
        <w:tc>
          <w:tcPr>
            <w:shd w:val="clear" w:color="auto" w:fill="1F4E79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DSO</w:t>
            </w:r>
          </w:p>
        </w:tc>
        <w:tc>
          <w:tcPr>
            <w:shd w:val="clear" w:color="auto" w:fill="1F4E79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Supervisor</w:t>
            </w:r>
          </w:p>
        </w:tc>
      </w:tr>
      <w:tr>
        <w:tc>
          <w:tcPr>
            <w:shd w:val="clear" w:color="auto" w:fill="FFFFFF"/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GA Threshold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50 GA/30 days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50 GA/30 days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350 GA/30 days</w:t>
            </w:r>
          </w:p>
        </w:tc>
      </w:tr>
      <w:tr>
        <w:tc>
          <w:tcPr>
            <w:shd w:val="clear" w:color="auto" w:fill="F2F2F2"/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Rate above threshold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200/GA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150/GA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20/GA</w:t>
            </w:r>
          </w:p>
        </w:tc>
      </w:tr>
      <w:tr>
        <w:tc>
          <w:tcPr>
            <w:shd w:val="clear" w:color="auto" w:fill="FFFFFF"/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VLR Modifier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Yes (≥80%/60%/below)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Yes (same as CC)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NOT applicable</w:t>
            </w:r>
          </w:p>
        </w:tc>
      </w:tr>
      <w:tr>
        <w:tc>
          <w:tcPr>
            <w:shd w:val="clear" w:color="auto" w:fill="F2F2F2"/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App Bonus (≥95%)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4,000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4,000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4,000 (same)</w:t>
            </w:r>
          </w:p>
        </w:tc>
      </w:tr>
      <w:tr>
        <w:tc>
          <w:tcPr>
            <w:shd w:val="clear" w:color="auto" w:fill="FFFFFF"/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VLR Bonus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Yes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shd w:val="clear" w:color="auto" w:fill="F2F2F2"/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Daily Allowance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Not mentioned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100/day (max 26d)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200/day (max 26d)</w:t>
            </w:r>
          </w:p>
        </w:tc>
      </w:tr>
      <w:tr>
        <w:tc>
          <w:tcPr>
            <w:shd w:val="clear" w:color="auto" w:fill="FFFFFF"/>
            <w:tcW w:w="2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ETSAF Gate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98% (zeroes all)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98% (zeroes all)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98% (zeroes all)</w:t>
            </w:r>
          </w:p>
        </w:tc>
      </w:tr>
    </w:tbl>
    <w:p>
      <w:pPr>
        <w:spacing w:before="0" w:after="0"/>
      </w:pPr>
      <w:r>
        <w:br w:type="page"/>
      </w:r>
    </w:p>
    <w:p>
      <w:bookmarkStart w:id="20" w:name="sec20"/>
      <w:pPr>
        <w:spacing w:before="240" w:after="80"/>
        <w:shd w:val="clear" w:color="auto" w:fill="1F4E79"/>
        <w:ind w:left="113" w:right="113"/>
        <w:ind w:left="120"/>
      </w:pPr>
      <w:r>
        <w:rPr>
          <w:rFonts w:ascii="Calibri" w:hAnsi="Calibri"/>
          <w:b/>
          <w:i w:val="0"/>
          <w:color w:val="FFFFFF"/>
          <w:sz w:val="28"/>
        </w:rPr>
        <w:t>Section 20: Universal General Conditions</w:t>
      </w:r>
      <w:bookmarkEnd w:id="20"/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The following conditions appear across all or nearly all RYZE SRFs regardless of campaign type or channel.</w:t>
      </w:r>
    </w:p>
    <w:tbl>
      <w:tblPr>
        <w:tblLook w:firstColumn="1" w:firstRow="1" w:lastColumn="0" w:lastRow="0" w:noHBand="0" w:noVBand="1" w:val="04A0"/>
        <w:tblW w:w="9200" w:type="dxa"/>
      </w:tblPr>
      <w:tblGrid>
        <w:gridCol w:w="3009"/>
        <w:gridCol w:w="3009"/>
        <w:gridCol w:w="3009"/>
      </w:tblGrid>
      <w:tr>
        <w:tc>
          <w:tcPr>
            <w:shd w:val="clear" w:color="auto" w:fill="1F4E79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Condition</w:t>
            </w:r>
          </w:p>
        </w:tc>
        <w:tc>
          <w:tcPr>
            <w:shd w:val="clear" w:color="auto" w:fill="1F4E79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 / Requirement</w:t>
            </w:r>
          </w:p>
        </w:tc>
        <w:tc>
          <w:tcPr>
            <w:shd w:val="clear" w:color="auto" w:fill="1F4E79"/>
            <w:tcW w:w="3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Exceptions / Notes</w:t>
            </w:r>
          </w:p>
        </w:tc>
      </w:tr>
      <w:tr>
        <w:tc>
          <w:tcPr>
            <w:shd w:val="clear" w:color="auto" w:fill="FFFFFF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ETSAF Compliance</w:t>
            </w:r>
          </w:p>
        </w:tc>
        <w:tc>
          <w:tcPr>
            <w:shd w:val="clear" w:color="auto" w:fill="FFFFFF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 98% by 7th of following month</w:t>
            </w:r>
          </w:p>
        </w:tc>
        <w:tc>
          <w:tcPr>
            <w:shd w:val="clear" w:color="auto" w:fill="FFFFFF"/>
            <w:tcW w:w="3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Distributor flat: per-GA exclusion (not batch zero)</w:t>
            </w:r>
          </w:p>
        </w:tc>
      </w:tr>
      <w:tr>
        <w:tc>
          <w:tcPr>
            <w:shd w:val="clear" w:color="auto" w:fill="F2F2F2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Activation Basis</w:t>
            </w:r>
          </w:p>
        </w:tc>
        <w:tc>
          <w:tcPr>
            <w:shd w:val="clear" w:color="auto" w:fill="F2F2F2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FCD (First Call Date)</w:t>
            </w:r>
          </w:p>
        </w:tc>
        <w:tc>
          <w:tcPr>
            <w:shd w:val="clear" w:color="auto" w:fill="F2F2F2"/>
            <w:tcW w:w="3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Some SRFs also accept FAD (First Activity Date)</w:t>
            </w:r>
          </w:p>
        </w:tc>
      </w:tr>
      <w:tr>
        <w:tc>
          <w:tcPr>
            <w:shd w:val="clear" w:color="auto" w:fill="FFFFFF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MNP Port-IN</w:t>
            </w:r>
          </w:p>
        </w:tc>
        <w:tc>
          <w:tcPr>
            <w:shd w:val="clear" w:color="auto" w:fill="FFFFFF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Counted as GA based on FCD/FAD</w:t>
            </w:r>
          </w:p>
        </w:tc>
        <w:tc>
          <w:tcPr>
            <w:shd w:val="clear" w:color="auto" w:fill="FFFFFF"/>
            <w:tcW w:w="3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Universal across all SRFs</w:t>
            </w:r>
          </w:p>
        </w:tc>
      </w:tr>
      <w:tr>
        <w:tc>
          <w:tcPr>
            <w:shd w:val="clear" w:color="auto" w:fill="F2F2F2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Disconnection Cutoff</w:t>
            </w:r>
          </w:p>
        </w:tc>
        <w:tc>
          <w:tcPr>
            <w:shd w:val="clear" w:color="auto" w:fill="F2F2F2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T-6 (6 days before report date)</w:t>
            </w:r>
          </w:p>
        </w:tc>
        <w:tc>
          <w:tcPr>
            <w:shd w:val="clear" w:color="auto" w:fill="F2F2F2"/>
            <w:tcW w:w="3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Non-compliant disconnections excluded</w:t>
            </w:r>
          </w:p>
        </w:tc>
      </w:tr>
      <w:tr>
        <w:tc>
          <w:tcPr>
            <w:shd w:val="clear" w:color="auto" w:fill="FFFFFF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Mathematical Rounding</w:t>
            </w:r>
          </w:p>
        </w:tc>
        <w:tc>
          <w:tcPr>
            <w:shd w:val="clear" w:color="auto" w:fill="FFFFFF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Standard: ≥0.5 rounds up</w:t>
            </w:r>
          </w:p>
        </w:tc>
        <w:tc>
          <w:tcPr>
            <w:shd w:val="clear" w:color="auto" w:fill="FFFFFF"/>
            <w:tcW w:w="3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Universal – no exceptions</w:t>
            </w:r>
          </w:p>
        </w:tc>
      </w:tr>
      <w:tr>
        <w:tc>
          <w:tcPr>
            <w:shd w:val="clear" w:color="auto" w:fill="F2F2F2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Data Maturity</w:t>
            </w:r>
          </w:p>
        </w:tc>
        <w:tc>
          <w:tcPr>
            <w:shd w:val="clear" w:color="auto" w:fill="F2F2F2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8th of following month</w:t>
            </w:r>
          </w:p>
        </w:tc>
        <w:tc>
          <w:tcPr>
            <w:shd w:val="clear" w:color="auto" w:fill="F2F2F2"/>
            <w:tcW w:w="3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Some exceptions: ROI Oct25 = 3rd; ROI Sep25 = 8th</w:t>
            </w:r>
          </w:p>
        </w:tc>
      </w:tr>
      <w:tr>
        <w:tc>
          <w:tcPr>
            <w:shd w:val="clear" w:color="auto" w:fill="FFFFFF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AIT</w:t>
            </w:r>
          </w:p>
        </w:tc>
        <w:tc>
          <w:tcPr>
            <w:shd w:val="clear" w:color="auto" w:fill="FFFFFF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Applicable for Distributors</w:t>
            </w:r>
          </w:p>
        </w:tc>
        <w:tc>
          <w:tcPr>
            <w:shd w:val="clear" w:color="auto" w:fill="FFFFFF"/>
            <w:tcW w:w="3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NOT applicable for Device BP / BSP / Monobrand</w:t>
            </w:r>
          </w:p>
        </w:tc>
      </w:tr>
      <w:tr>
        <w:tc>
          <w:tcPr>
            <w:shd w:val="clear" w:color="auto" w:fill="F2F2F2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Product</w:t>
            </w:r>
          </w:p>
        </w:tc>
        <w:tc>
          <w:tcPr>
            <w:shd w:val="clear" w:color="auto" w:fill="F2F2F2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RYZE Prepaid only (SC 141)</w:t>
            </w:r>
          </w:p>
        </w:tc>
        <w:tc>
          <w:tcPr>
            <w:shd w:val="clear" w:color="auto" w:fill="F2F2F2"/>
            <w:tcW w:w="3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Excludes all other prepaid products</w:t>
            </w:r>
          </w:p>
        </w:tc>
      </w:tr>
      <w:tr>
        <w:tc>
          <w:tcPr>
            <w:shd w:val="clear" w:color="auto" w:fill="FFFFFF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DMS Mapping</w:t>
            </w:r>
          </w:p>
        </w:tc>
        <w:tc>
          <w:tcPr>
            <w:shd w:val="clear" w:color="auto" w:fill="FFFFFF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DD-Retailer mapping from DMS</w:t>
            </w:r>
          </w:p>
        </w:tc>
        <w:tc>
          <w:tcPr>
            <w:shd w:val="clear" w:color="auto" w:fill="FFFFFF"/>
            <w:tcW w:w="3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Used for all distributor commission attribution</w:t>
            </w:r>
          </w:p>
        </w:tc>
      </w:tr>
      <w:tr>
        <w:tc>
          <w:tcPr>
            <w:shd w:val="clear" w:color="auto" w:fill="F2F2F2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Target Sharing</w:t>
            </w:r>
          </w:p>
        </w:tc>
        <w:tc>
          <w:tcPr>
            <w:shd w:val="clear" w:color="auto" w:fill="F2F2F2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RYZE team shares targets separately</w:t>
            </w:r>
          </w:p>
        </w:tc>
        <w:tc>
          <w:tcPr>
            <w:shd w:val="clear" w:color="auto" w:fill="F2F2F2"/>
            <w:tcW w:w="3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IT SC processes commission; RYZE team provides targets</w:t>
            </w:r>
          </w:p>
        </w:tc>
      </w:tr>
      <w:tr>
        <w:tc>
          <w:tcPr>
            <w:shd w:val="clear" w:color="auto" w:fill="FFFFFF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Report Published</w:t>
            </w:r>
          </w:p>
        </w:tc>
        <w:tc>
          <w:tcPr>
            <w:shd w:val="clear" w:color="auto" w:fill="FFFFFF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As per tracker</w:t>
            </w:r>
          </w:p>
        </w:tc>
        <w:tc>
          <w:tcPr>
            <w:shd w:val="clear" w:color="auto" w:fill="FFFFFF"/>
            <w:tcW w:w="3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Disbursement slot (not provision)</w:t>
            </w:r>
          </w:p>
        </w:tc>
      </w:tr>
      <w:tr>
        <w:tc>
          <w:tcPr>
            <w:shd w:val="clear" w:color="auto" w:fill="F2F2F2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RYZE App Sign-up</w:t>
            </w:r>
          </w:p>
        </w:tc>
        <w:tc>
          <w:tcPr>
            <w:shd w:val="clear" w:color="auto" w:fill="F2F2F2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Mandatory from Jun25+ for field force</w:t>
            </w:r>
          </w:p>
        </w:tc>
        <w:tc>
          <w:tcPr>
            <w:shd w:val="clear" w:color="auto" w:fill="F2F2F2"/>
            <w:tcW w:w="3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Not required in Apr25–May25 campaigns</w:t>
            </w:r>
          </w:p>
        </w:tc>
      </w:tr>
      <w:tr>
        <w:tc>
          <w:tcPr>
            <w:shd w:val="clear" w:color="auto" w:fill="FFFFFF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Customer Recharge</w:t>
            </w:r>
          </w:p>
        </w:tc>
        <w:tc>
          <w:tcPr>
            <w:shd w:val="clear" w:color="auto" w:fill="FFFFFF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200 / 60 days (cumulative, any channel)</w:t>
            </w:r>
          </w:p>
        </w:tc>
        <w:tc>
          <w:tcPr>
            <w:shd w:val="clear" w:color="auto" w:fill="FFFFFF"/>
            <w:tcW w:w="3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Used in ROI support and slab-based campaigns</w:t>
            </w:r>
          </w:p>
        </w:tc>
      </w:tr>
      <w:tr>
        <w:tc>
          <w:tcPr>
            <w:shd w:val="clear" w:color="auto" w:fill="F2F2F2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sz w:val="20"/>
              </w:rPr>
              <w:t>Minimum Slab GA</w:t>
            </w:r>
          </w:p>
        </w:tc>
        <w:tc>
          <w:tcPr>
            <w:shd w:val="clear" w:color="auto" w:fill="F2F2F2"/>
            <w:tcW w:w="28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Varies: 25 (BSP) / 31 (Dev BP) / 50 (CC/DSO) / 350 (Supervisor)</w:t>
            </w:r>
          </w:p>
        </w:tc>
        <w:tc>
          <w:tcPr>
            <w:shd w:val="clear" w:color="auto" w:fill="F2F2F2"/>
            <w:tcW w:w="36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Zero payout below minimum threshold</w:t>
            </w:r>
          </w:p>
        </w:tc>
      </w:tr>
    </w:tbl>
    <w:p>
      <w:pPr>
        <w:spacing w:before="0" w:after="0"/>
      </w:pPr>
      <w:r>
        <w:br w:type="page"/>
      </w:r>
    </w:p>
    <w:p>
      <w:bookmarkStart w:id="21" w:name="appA"/>
      <w:pPr>
        <w:spacing w:before="240" w:after="80"/>
        <w:shd w:val="clear" w:color="auto" w:fill="1F4E79"/>
        <w:ind w:left="113" w:right="113"/>
        <w:ind w:left="120"/>
      </w:pPr>
      <w:r>
        <w:rPr>
          <w:rFonts w:ascii="Calibri" w:hAnsi="Calibri"/>
          <w:b/>
          <w:i w:val="0"/>
          <w:color w:val="FFFFFF"/>
          <w:sz w:val="28"/>
        </w:rPr>
        <w:t>Appendix A: Campaign Quick Reference Matrix</w:t>
      </w:r>
      <w:bookmarkEnd w:id="21"/>
    </w:p>
    <w:p>
      <w:pPr>
        <w:spacing w:before="20" w:after="60"/>
      </w:pPr>
      <w:r>
        <w:rPr>
          <w:rFonts w:ascii="Calibri" w:hAnsi="Calibri"/>
          <w:b w:val="0"/>
          <w:i w:val="0"/>
          <w:sz w:val="21"/>
        </w:rPr>
        <w:t>All 28 RYZE SRFs at a glance. Sorted by effective date.</w:t>
      </w:r>
    </w:p>
    <w:tbl>
      <w:tblPr>
        <w:tblLook w:firstColumn="1" w:firstRow="1" w:lastColumn="0" w:lastRow="0" w:noHBand="0" w:noVBand="1" w:val="04A0"/>
        <w:tblW w:w="920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shd w:val="clear" w:color="auto" w:fill="1F4E79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shd w:val="clear" w:color="auto" w:fill="1F4E79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Campaign / SRF</w:t>
            </w:r>
          </w:p>
        </w:tc>
        <w:tc>
          <w:tcPr>
            <w:shd w:val="clear" w:color="auto" w:fill="1F4E79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Channel</w:t>
            </w:r>
          </w:p>
        </w:tc>
        <w:tc>
          <w:tcPr>
            <w:shd w:val="clear" w:color="auto" w:fill="1F4E79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Period</w:t>
            </w:r>
          </w:p>
        </w:tc>
        <w:tc>
          <w:tcPr>
            <w:shd w:val="clear" w:color="auto" w:fill="1F4E79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Rate/GA</w:t>
            </w:r>
          </w:p>
        </w:tc>
        <w:tc>
          <w:tcPr>
            <w:shd w:val="clear" w:color="auto" w:fill="1F4E79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Min Threshold</w:t>
            </w:r>
          </w:p>
        </w:tc>
        <w:tc>
          <w:tcPr>
            <w:shd w:val="clear" w:color="auto" w:fill="1F4E79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 Gate</w:t>
            </w:r>
          </w:p>
        </w:tc>
      </w:tr>
      <w:tr>
        <w:tc>
          <w:tcPr>
            <w:shd w:val="clear" w:color="auto" w:fill="FFFFFF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Device BP Incentive (Apr25)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Device BP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Apr25+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70/100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30 GA</w:t>
            </w:r>
          </w:p>
        </w:tc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ETSAF 98%</w:t>
            </w:r>
          </w:p>
        </w:tc>
      </w:tr>
      <w:tr>
        <w:tc>
          <w:tcPr>
            <w:shd w:val="clear" w:color="auto" w:fill="F2F2F2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BSP CCR GA (May25)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BSP CCR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May25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50/70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25 GA</w:t>
            </w:r>
          </w:p>
        </w:tc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ETSAF 98%</w:t>
            </w:r>
          </w:p>
        </w:tc>
      </w:tr>
      <w:tr>
        <w:tc>
          <w:tcPr>
            <w:shd w:val="clear" w:color="auto" w:fill="FFFFFF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Device BP GA (May25)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Device BP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May25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50/70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31 GA</w:t>
            </w:r>
          </w:p>
        </w:tc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ETSAF 98%</w:t>
            </w:r>
          </w:p>
        </w:tc>
      </w:tr>
      <w:tr>
        <w:tc>
          <w:tcPr>
            <w:shd w:val="clear" w:color="auto" w:fill="F2F2F2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Monobrand CCR GA (May25)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Monobrand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May25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50/70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25 GA</w:t>
            </w:r>
          </w:p>
        </w:tc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Center ≥80%</w:t>
            </w:r>
          </w:p>
        </w:tc>
      </w:tr>
      <w:tr>
        <w:tc>
          <w:tcPr>
            <w:shd w:val="clear" w:color="auto" w:fill="FFFFFF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Device BP Upfront+Cond (Jun25)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Device BP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Jun25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35/45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90% target</w:t>
            </w:r>
          </w:p>
        </w:tc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App + ETSAF</w:t>
            </w:r>
          </w:p>
        </w:tc>
      </w:tr>
      <w:tr>
        <w:tc>
          <w:tcPr>
            <w:shd w:val="clear" w:color="auto" w:fill="F2F2F2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Monobrand CCR Upfront+Cond (Jun25)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Monobrand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Jun25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35/45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90% target</w:t>
            </w:r>
          </w:p>
        </w:tc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Center ≥90%</w:t>
            </w:r>
          </w:p>
        </w:tc>
      </w:tr>
      <w:tr>
        <w:tc>
          <w:tcPr>
            <w:shd w:val="clear" w:color="auto" w:fill="FFFFFF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 GA Commission (20th Sep25)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Distributor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Sep25+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35/60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None</w:t>
            </w:r>
          </w:p>
        </w:tc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ETSAF per GA</w:t>
            </w:r>
          </w:p>
        </w:tc>
      </w:tr>
      <w:tr>
        <w:tc>
          <w:tcPr>
            <w:shd w:val="clear" w:color="auto" w:fill="F2F2F2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 ROI Support (Sep25)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Distributor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Sep25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Variable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60% GA target</w:t>
            </w:r>
          </w:p>
        </w:tc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5 usage</w:t>
            </w:r>
          </w:p>
        </w:tc>
      </w:tr>
      <w:tr>
        <w:tc>
          <w:tcPr>
            <w:shd w:val="clear" w:color="auto" w:fill="FFFFFF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 GA Commission (Oct25)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Distributor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Oct25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35/60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None</w:t>
            </w:r>
          </w:p>
        </w:tc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ETSAF per GA</w:t>
            </w:r>
          </w:p>
        </w:tc>
      </w:tr>
      <w:tr>
        <w:tc>
          <w:tcPr>
            <w:shd w:val="clear" w:color="auto" w:fill="F2F2F2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 ROI Support (Oct25)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Distributor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Oct25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Variable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60% GA target</w:t>
            </w:r>
          </w:p>
        </w:tc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5 usage</w:t>
            </w:r>
          </w:p>
        </w:tc>
      </w:tr>
      <w:tr>
        <w:tc>
          <w:tcPr>
            <w:shd w:val="clear" w:color="auto" w:fill="FFFFFF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 Slab GA (Oct25)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Distributor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Oct25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25K–100K/mo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60% of target</w:t>
            </w:r>
          </w:p>
        </w:tc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Linear from 60%</w:t>
            </w:r>
          </w:p>
        </w:tc>
      </w:tr>
      <w:tr>
        <w:tc>
          <w:tcPr>
            <w:shd w:val="clear" w:color="auto" w:fill="F2F2F2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 Follow-up Recharge (Oct25)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Distributor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Oct25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50% of slab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30%/25% rechg%</w:t>
            </w:r>
          </w:p>
        </w:tc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200/60d</w:t>
            </w:r>
          </w:p>
        </w:tc>
      </w:tr>
      <w:tr>
        <w:tc>
          <w:tcPr>
            <w:shd w:val="clear" w:color="auto" w:fill="FFFFFF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 GA Commission (Nov25)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Distributor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Nov25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35/60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None</w:t>
            </w:r>
          </w:p>
        </w:tc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ETSAF per GA</w:t>
            </w:r>
          </w:p>
        </w:tc>
      </w:tr>
      <w:tr>
        <w:tc>
          <w:tcPr>
            <w:shd w:val="clear" w:color="auto" w:fill="F2F2F2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14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 Slab GA (Jan26)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Distributor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Jan26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2-slab monthly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80% of target</w:t>
            </w:r>
          </w:p>
        </w:tc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Linear from 80%</w:t>
            </w:r>
          </w:p>
        </w:tc>
      </w:tr>
      <w:tr>
        <w:tc>
          <w:tcPr>
            <w:shd w:val="clear" w:color="auto" w:fill="FFFFFF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15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 Follow-up Bundle Recharge (Jan26)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Distributor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Jan26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30/40/60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≥20% bundle%</w:t>
            </w:r>
          </w:p>
        </w:tc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Once/MSISDN</w:t>
            </w:r>
          </w:p>
        </w:tc>
      </w:tr>
      <w:tr>
        <w:tc>
          <w:tcPr>
            <w:shd w:val="clear" w:color="auto" w:fill="F2F2F2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Retailer GA Commission (Jan26)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Retailer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Jan26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Voucher 200-600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≥3 GA</w:t>
            </w:r>
          </w:p>
        </w:tc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100% App+Usage</w:t>
            </w:r>
          </w:p>
        </w:tc>
      </w:tr>
      <w:tr>
        <w:tc>
          <w:tcPr>
            <w:shd w:val="clear" w:color="auto" w:fill="FFFFFF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17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CC Variable (Jan26)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CC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Jan26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200/GA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50 GA/30d</w:t>
            </w:r>
          </w:p>
        </w:tc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VLR+ETSAF+App</w:t>
            </w:r>
          </w:p>
        </w:tc>
      </w:tr>
      <w:tr>
        <w:tc>
          <w:tcPr>
            <w:shd w:val="clear" w:color="auto" w:fill="F2F2F2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18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DSO Variable (Jan26)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DSO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Jan26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150/GA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50 GA/30d</w:t>
            </w:r>
          </w:p>
        </w:tc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VLR+ETSAF+App</w:t>
            </w:r>
          </w:p>
        </w:tc>
      </w:tr>
      <w:tr>
        <w:tc>
          <w:tcPr>
            <w:shd w:val="clear" w:color="auto" w:fill="FFFFFF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19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Supervisor Variable (Jan26)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Supervisor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Jan26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20/GA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350 GA/30d</w:t>
            </w:r>
          </w:p>
        </w:tc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ETSAF+App</w:t>
            </w:r>
          </w:p>
        </w:tc>
      </w:tr>
      <w:tr>
        <w:tc>
          <w:tcPr>
            <w:shd w:val="clear" w:color="auto" w:fill="F2F2F2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 Preponement (Feb26)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Distributor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Feb26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30/15/GA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76% by 18th</w:t>
            </w:r>
          </w:p>
        </w:tc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Preponement date</w:t>
            </w:r>
          </w:p>
        </w:tc>
      </w:tr>
      <w:tr>
        <w:tc>
          <w:tcPr>
            <w:shd w:val="clear" w:color="auto" w:fill="FFFFFF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21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Retailer GA Commission (Feb26)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Retailer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Feb26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Voucher 200-600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≥3 GA</w:t>
            </w:r>
          </w:p>
        </w:tc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100% App+Usage</w:t>
            </w:r>
          </w:p>
        </w:tc>
      </w:tr>
      <w:tr>
        <w:tc>
          <w:tcPr>
            <w:shd w:val="clear" w:color="auto" w:fill="F2F2F2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22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 Preponement (Mar26)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Distributor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Mar26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30/15/GA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77%/67% by 19th</w:t>
            </w:r>
          </w:p>
        </w:tc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Preponement date</w:t>
            </w:r>
          </w:p>
        </w:tc>
      </w:tr>
      <w:tr>
        <w:tc>
          <w:tcPr>
            <w:shd w:val="clear" w:color="auto" w:fill="FFFFFF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23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CC Variable (Mar26)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CC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Mar26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200/GA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50 GA/30d</w:t>
            </w:r>
          </w:p>
        </w:tc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VLR+ETSAF+App</w:t>
            </w:r>
          </w:p>
        </w:tc>
      </w:tr>
      <w:tr>
        <w:tc>
          <w:tcPr>
            <w:shd w:val="clear" w:color="auto" w:fill="F2F2F2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24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Retailer GA Commission (Mar26+)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Retailer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Mar26+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Voucher 200-600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≥3 GA</w:t>
            </w:r>
          </w:p>
        </w:tc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100% App+Usage</w:t>
            </w:r>
          </w:p>
        </w:tc>
      </w:tr>
      <w:tr>
        <w:tc>
          <w:tcPr>
            <w:shd w:val="clear" w:color="auto" w:fill="FFFFFF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25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RYZE GA Commission (Apr26+)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Distributor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Apr26+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50/60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None</w:t>
            </w:r>
          </w:p>
        </w:tc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ETSAF per GA</w:t>
            </w:r>
          </w:p>
        </w:tc>
      </w:tr>
      <w:tr>
        <w:tc>
          <w:tcPr>
            <w:shd w:val="clear" w:color="auto" w:fill="F2F2F2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26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CC Pohela Boishak (14 Apr26)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CC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14 Apr26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300/500/1K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10 GA (1 day)</w:t>
            </w:r>
          </w:p>
        </w:tc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App per GA</w:t>
            </w:r>
          </w:p>
        </w:tc>
      </w:tr>
      <w:tr>
        <w:tc>
          <w:tcPr>
            <w:shd w:val="clear" w:color="auto" w:fill="FFFFFF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27</w:t>
            </w:r>
          </w:p>
        </w:tc>
        <w:tc>
          <w:tcPr>
            <w:shd w:val="clear" w:color="auto" w:fill="FFFFFF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DSO Pohela Boishak (14 Apr26)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DSO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14 Apr26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300/500/1K</w:t>
            </w:r>
          </w:p>
        </w:tc>
        <w:tc>
          <w:tcPr>
            <w:shd w:val="clear" w:color="auto" w:fill="FFFFFF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10 GA (1 day)</w:t>
            </w:r>
          </w:p>
        </w:tc>
        <w:tc>
          <w:tcPr>
            <w:shd w:val="clear" w:color="auto" w:fill="FFFFFF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App per GA</w:t>
            </w:r>
          </w:p>
        </w:tc>
      </w:tr>
      <w:tr>
        <w:tc>
          <w:tcPr>
            <w:shd w:val="clear" w:color="auto" w:fill="F2F2F2"/>
            <w:tcW w:w="7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28</w:t>
            </w:r>
          </w:p>
        </w:tc>
        <w:tc>
          <w:tcPr>
            <w:shd w:val="clear" w:color="auto" w:fill="F2F2F2"/>
            <w:tcW w:w="2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 Powerplay (Apr26)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Distributor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Apr26+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BDT 50/GA</w:t>
            </w:r>
          </w:p>
        </w:tc>
        <w:tc>
          <w:tcPr>
            <w:shd w:val="clear" w:color="auto" w:fill="F2F2F2"/>
            <w:tcW w:w="12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100% target</w:t>
            </w:r>
          </w:p>
        </w:tc>
        <w:tc>
          <w:tcPr>
            <w:shd w:val="clear" w:color="auto" w:fill="F2F2F2"/>
            <w:tcW w:w="1500" w:type="dx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ETSAF 98% gate</w:t>
            </w:r>
          </w:p>
        </w:tc>
      </w:tr>
    </w:tbl>
    <w:p/>
    <w:p>
      <w:pPr>
        <w:spacing w:before="60" w:after="60"/>
        <w:ind w:left="170"/>
        <w:shd w:val="clear" w:color="auto" w:fill="D6E4F0"/>
      </w:pPr>
      <w:r>
        <w:rPr>
          <w:rFonts w:ascii="Calibri" w:hAnsi="Calibri"/>
          <w:b w:val="0"/>
          <w:i/>
          <w:color w:val="595959"/>
          <w:sz w:val="20"/>
        </w:rPr>
        <w:t>This document covers all 28 RYZE SRFs. All KPI conditions are based on the SRFs as submitted. For exact calculation formulas, target files, and distributor-specific rates, consult the RYZE team's supplementary Excel files referenced in each SRF.</w:t>
      </w:r>
    </w:p>
    <w:sectPr w:rsidR="00FC693F" w:rsidRPr="0006063C" w:rsidSect="00034616">
      <w:pgSz w:w="11906" w:h="16838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