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F4E79"/>
          <w:sz w:val="56"/>
        </w:rPr>
        <w:t>SME CHANNEL</w:t>
      </w:r>
    </w:p>
    <w:p>
      <w:pPr>
        <w:spacing w:after="80"/>
        <w:jc w:val="center"/>
      </w:pPr>
      <w:r>
        <w:rPr>
          <w:b/>
          <w:color w:val="2E75B6"/>
          <w:sz w:val="36"/>
        </w:rPr>
        <w:t>Unique KPI Conditions Reference</w:t>
      </w:r>
    </w:p>
    <w:p>
      <w:pPr>
        <w:spacing w:after="80"/>
        <w:jc w:val="center"/>
      </w:pPr>
      <w:r>
        <w:rPr>
          <w:color w:val="595959"/>
          <w:sz w:val="24"/>
        </w:rPr>
        <w:t>Compiled from all 70 Service Request Forms</w:t>
      </w:r>
    </w:p>
    <w:p>
      <w:pPr>
        <w:jc w:val="center"/>
      </w:pPr>
      <w:r>
        <w:rPr>
          <w:i/>
          <w:color w:val="595959"/>
          <w:sz w:val="20"/>
        </w:rPr>
        <w:t>Enterprise Business Division | Banglalink | Apr 2025 – Mar 2026</w:t>
      </w:r>
    </w:p>
    <w:p>
      <w:pPr>
        <w:spacing w:before="0" w:after="0"/>
      </w:pPr>
      <w:r>
        <w:br w:type="page"/>
      </w:r>
    </w:p>
    <w:p>
      <w:pPr>
        <w:spacing w:before="280" w:after="120"/>
        <w:pBdr>
          <w:bottom w:val="single" w:sz="6" w:space="1" w:color="2E75B6"/>
        </w:pBdr>
      </w:pPr>
      <w:r>
        <w:rPr>
          <w:b/>
          <w:color w:val="1F4E79"/>
          <w:sz w:val="28"/>
        </w:rPr>
        <w:t>Section 1: Overview &amp; Taxonomy</w:t>
      </w:r>
    </w:p>
    <w:p>
      <w:pPr>
        <w:spacing w:before="40" w:after="80"/>
      </w:pPr>
      <w:r>
        <w:rPr>
          <w:b w:val="0"/>
          <w:i w:val="0"/>
          <w:sz w:val="20"/>
        </w:rPr>
        <w:t>This document consolidates all unique KPI conditions extracted from 70 Service Request Forms (SRFs) issued by the Enterprise Business (SME) division of Banglalink. The SRFs span from April 2025 through March 2026 and cover multiple commission and incentive programs for field force (BDO/ESO), Coordinators, and Enterprise Sales Managers (ESM).</w:t>
      </w:r>
    </w:p>
    <w:p>
      <w:pPr>
        <w:spacing w:before="160" w:after="120"/>
      </w:pPr>
      <w:r>
        <w:rPr>
          <w:b/>
          <w:color w:val="2E75B6"/>
          <w:sz w:val="24"/>
        </w:rPr>
        <w:t>1.1 Channel &amp; Recipient Types</w:t>
      </w:r>
    </w:p>
    <w:tbl>
      <w:tblGrid>
        <w:gridCol w:w="2000"/>
        <w:gridCol w:w="4200"/>
        <w:gridCol w:w="2600"/>
      </w:tblGrid>
      <w:tblPr>
        <w:jc w:val="left"/>
        <w:tblLook w:firstColumn="1" w:firstRow="1" w:lastColumn="0" w:lastRow="0" w:noHBand="0" w:noVBand="1" w:val="04A0"/>
        <w:tblW w:w="8800" w:type="dxa"/>
      </w:tblPr>
      <w:tblGrid>
        <w:gridCol w:w="3009"/>
        <w:gridCol w:w="3009"/>
        <w:gridCol w:w="3009"/>
      </w:tblGrid>
      <w:tr>
        <w:tc>
          <w:tcPr>
            <w:tcW w:type="dxa" w:w="20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Recipient Role</w:t>
            </w:r>
          </w:p>
        </w:tc>
        <w:tc>
          <w:tcPr>
            <w:tcW w:type="dxa" w:w="41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Description</w:t>
            </w:r>
          </w:p>
        </w:tc>
        <w:tc>
          <w:tcPr>
            <w:tcW w:type="dxa" w:w="26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Scope</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 / BDO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Enterprise Sales Officer / Business Development Officer</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Direct field sales</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Mid-tier supervisor over a group of ESOs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management &amp; sales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Enterprise Sales Manager</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Territory/portfolio management</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Adtech ESO</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Specialist ESO for Mobile Advertising &amp; Digital products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Adtech/Digital vertical</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Device ESO</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Specialist ESO for hardware/device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FWA, VTS, Handset, Commando</w:t>
            </w:r>
          </w:p>
        </w:tc>
      </w:tr>
    </w:tbl>
    <w:p/>
    <w:p>
      <w:pPr>
        <w:spacing w:before="160" w:after="120"/>
      </w:pPr>
      <w:r>
        <w:rPr>
          <w:b/>
          <w:color w:val="2E75B6"/>
          <w:sz w:val="24"/>
        </w:rPr>
        <w:t>1.2 Coverage Period &amp; SRF Count</w:t>
      </w:r>
    </w:p>
    <w:tbl>
      <w:tblGrid>
        <w:gridCol w:w="1800"/>
        <w:gridCol w:w="4600"/>
        <w:gridCol w:w="2400"/>
      </w:tblGrid>
      <w:tblPr>
        <w:jc w:val="left"/>
        <w:tblLook w:firstColumn="1" w:firstRow="1" w:lastColumn="0" w:lastRow="0" w:noHBand="0" w:noVBand="1" w:val="04A0"/>
        <w:tblW w:w="8800" w:type="dxa"/>
      </w:tblPr>
      <w:tblGrid>
        <w:gridCol w:w="3009"/>
        <w:gridCol w:w="3009"/>
        <w:gridCol w:w="3009"/>
      </w:tblGrid>
      <w:tr>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Period</w:t>
            </w:r>
          </w:p>
        </w:tc>
        <w:tc>
          <w:tcPr>
            <w:tcW w:type="dxa" w:w="45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Key Theme</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 SRFs (approx.)</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Programme launch: GA, Survival, Device, CluB35, Adtech, ICT campaigns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Jul 2025</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Mid-year refresh: ARPU Enhancement, M1 Booster, Adtech v2, Digital</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~12</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Sep–Oct 2025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Q4 revamp: Coordinator/ESM KPIs, CluB50, Bundle Drive, Device ESOs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~18</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Nov–Dec 2025</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Baby Care Bundle, Bundle Drive Dec, Survival Revision</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Jan 2026</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OTF FRC251, Daily Productivity, Bundle Drive Jan</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GA threshold revision, ICT/IOT/Other ICT standalone, AdTech ESO</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~6</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ESM/Coordinator Mar revisions, TECHVAN, Productivity Mar</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w:t>
            </w:r>
          </w:p>
        </w:tc>
      </w:tr>
    </w:tbl>
    <w:p/>
    <w:p>
      <w:pPr>
        <w:spacing w:before="160" w:after="120"/>
      </w:pPr>
      <w:r>
        <w:rPr>
          <w:b/>
          <w:color w:val="2E75B6"/>
          <w:sz w:val="24"/>
        </w:rPr>
        <w:t>1.3 Product &amp; Eligibility Universe</w:t>
      </w:r>
    </w:p>
    <w:p>
      <w:pPr>
        <w:spacing w:before="40" w:after="80"/>
      </w:pPr>
      <w:r>
        <w:rPr>
          <w:b w:val="0"/>
          <w:i w:val="0"/>
          <w:sz w:val="20"/>
        </w:rPr>
        <w:t>All commission programmes apply to connections under the following EquipIDs and Service Classes:</w:t>
      </w:r>
    </w:p>
    <w:tbl>
      <w:tblGrid>
        <w:gridCol w:w="2600"/>
        <w:gridCol w:w="1800"/>
        <w:gridCol w:w="4400"/>
      </w:tblGrid>
      <w:tblPr>
        <w:jc w:val="left"/>
        <w:tblLook w:firstColumn="1" w:firstRow="1" w:lastColumn="0" w:lastRow="0" w:noHBand="0" w:noVBand="1" w:val="04A0"/>
        <w:tblW w:w="8800" w:type="dxa"/>
      </w:tblPr>
      <w:tblGrid>
        <w:gridCol w:w="3009"/>
        <w:gridCol w:w="3009"/>
        <w:gridCol w:w="3009"/>
      </w:tblGrid>
      <w:tr>
        <w:tc>
          <w:tcPr>
            <w:tcW w:type="dxa" w:w="26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EquipID</w:t>
            </w:r>
          </w:p>
        </w:tc>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Service Class</w:t>
            </w:r>
          </w:p>
        </w:tc>
        <w:tc>
          <w:tcPr>
            <w:tcW w:type="dxa" w:w="43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Description</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EQPCOCCP</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178</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Core prepaid / B2B prepaid</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EQCCSMEBL3</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346</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SME Bundle Level 3</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B2BPost91p10s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1050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B2B Postpaid 91 paisa 10s</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B2BPost91pFnF66p10s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1052</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B2B Postpaid FnF 66p 10s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EQCCSMEBL2</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27</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SME Bundle Level 2</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EQCCSMEBL4</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SME Bundle Level 4</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EQCCSMEPR</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18</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SME Postpaid</w:t>
            </w:r>
          </w:p>
        </w:tc>
      </w:tr>
    </w:tbl>
    <w:p/>
    <w:p>
      <w:pPr>
        <w:spacing w:before="0" w:after="0"/>
      </w:pPr>
      <w:r>
        <w:br w:type="page"/>
      </w:r>
    </w:p>
    <w:p>
      <w:pPr>
        <w:spacing w:before="280" w:after="120"/>
        <w:pBdr>
          <w:bottom w:val="single" w:sz="6" w:space="1" w:color="2E75B6"/>
        </w:pBdr>
      </w:pPr>
      <w:r>
        <w:rPr>
          <w:b/>
          <w:color w:val="1F4E79"/>
          <w:sz w:val="28"/>
        </w:rPr>
        <w:t>Section 2: Core Definitions</w:t>
      </w:r>
    </w:p>
    <w:p>
      <w:pPr>
        <w:spacing w:before="40" w:after="80"/>
      </w:pPr>
      <w:r>
        <w:rPr>
          <w:b w:val="0"/>
          <w:i w:val="0"/>
          <w:sz w:val="20"/>
        </w:rPr>
        <w:t>The following definitions are referenced across most or all KPI programmes in this channel.</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Gross Add (GA)</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 new prepaid/postpaid connection that meets the minimum First Recharge Condition (FRC) and SAF vetting requirements within the reporting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First Recharge Condition</w:t>
              <w:br/>
              <w:t>(FRC / GA Qualifying Recharge)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Apr 2025 – Sep 2025: ≥ 351 Tk recharge (I-TOP UP).</w:t>
              <w:br/>
              <w:t>Oct 2025 – Jan 2026: ≥ 350 Tk recharge (I-TOP UP).</w:t>
              <w:br/>
              <w:t>Feb 2026 onward: ≥ 350 Tk OR ≥ 251 Tk recharge; alternatively insurance bundle FRC 163 / 193 / 267 Tk qualifies.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SAF (Subscriber</w:t>
              <w:br/>
              <w:t>Acquisition Form)</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 DMS Post Date: form must be posted within 7 days of activation.</w:t>
              <w:br/>
              <w:t>b) Vetting Date: SAF vetting completed by the 14th of the month following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Valid Recharge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I-TOP UP only. Excludes OTF (One-Time Free) recharges unless specifically stated.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Valid Usage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Any of: MOC, SMSMO, MTC, SMSMT, GPRS, MMS, Partial VAS usage (as per IN medication CDR), GPRS recharge, or bundle recharge.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is the standard activation reference. FAD (First Activity Date) and TABS are also referenced on forms.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T+1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Commission data is matured and published 1 day after the reporting day (standard for most SME SRFs).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T-5 Disconnection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Disconnection status is checked against data up to 5 days before report generation.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DMS Post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Physical/digital SIM registration form submission: must occur within 7 days of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Vetting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Regulatory/internal vetting cleared by 14th of the month following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Survival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Percentage of GA connections from a reference month that remain active (with qualifying recharge/usage) in subsequent months.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M1 / M2 / M3</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Month 1/2/3 after the GA month. Used in survival and repurchase KPIs.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Portfolio Revenue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Total revenue generated by an ESO's existing subscriber base (M1–M12 cohorts). Measured against a base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CAM</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Channel Account Manager – the supervisor grouping used in Retention Programme tie-breaks.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ARPU</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Average Revenue Per User = Total Usage Revenue ÷ Total GA count in the measurement period.</w:t>
            </w:r>
          </w:p>
        </w:tc>
      </w:tr>
    </w:tbl>
    <w:p/>
    <w:p>
      <w:pPr>
        <w:spacing w:before="0" w:after="0"/>
      </w:pPr>
      <w:r>
        <w:br w:type="page"/>
      </w:r>
    </w:p>
    <w:p>
      <w:pPr>
        <w:spacing w:before="280" w:after="120"/>
        <w:pBdr>
          <w:bottom w:val="single" w:sz="6" w:space="1" w:color="2E75B6"/>
        </w:pBdr>
      </w:pPr>
      <w:r>
        <w:rPr>
          <w:b/>
          <w:color w:val="1F4E79"/>
          <w:sz w:val="28"/>
        </w:rPr>
        <w:t>Section 3: Gross Add (GA) Commission</w:t>
      </w:r>
    </w:p>
    <w:p>
      <w:pPr>
        <w:spacing w:before="40" w:after="80"/>
      </w:pPr>
      <w:r>
        <w:rPr>
          <w:b w:val="0"/>
          <w:i w:val="0"/>
          <w:sz w:val="20"/>
        </w:rPr>
        <w:t>The GA Commission is the primary acquisition incentive paid to ESOs for each qualifying new connection. The programme runs continuously but the recharge threshold has been revised multiple times.</w:t>
      </w:r>
    </w:p>
    <w:p>
      <w:pPr>
        <w:spacing w:before="160" w:after="120"/>
      </w:pPr>
      <w:r>
        <w:rPr>
          <w:b/>
          <w:color w:val="2E75B6"/>
          <w:sz w:val="24"/>
        </w:rPr>
        <w:t>3.1 Standard GA Commission Structure</w:t>
      </w:r>
    </w:p>
    <w:tbl>
      <w:tblGrid>
        <w:gridCol w:w="1800"/>
        <w:gridCol w:w="2500"/>
        <w:gridCol w:w="1400"/>
        <w:gridCol w:w="2300"/>
        <w:gridCol w:w="800"/>
      </w:tblGrid>
      <w:tblPr>
        <w:jc w:val="left"/>
        <w:tblLook w:firstColumn="1" w:firstRow="1" w:lastColumn="0" w:lastRow="0" w:noHBand="0" w:noVBand="1" w:val="04A0"/>
        <w:tblW w:w="8800" w:type="dxa"/>
      </w:tblPr>
      <w:tblGrid>
        <w:gridCol w:w="1805"/>
        <w:gridCol w:w="1805"/>
        <w:gridCol w:w="1805"/>
        <w:gridCol w:w="1805"/>
        <w:gridCol w:w="1805"/>
      </w:tblGrid>
      <w:tr>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Period</w:t>
            </w:r>
          </w:p>
        </w:tc>
        <w:tc>
          <w:tcPr>
            <w:tcW w:type="dxa" w:w="25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Min. Recharge Threshold</w:t>
            </w:r>
          </w:p>
        </w:tc>
        <w:tc>
          <w:tcPr>
            <w:tcW w:type="dxa" w:w="1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Total Payout</w:t>
            </w:r>
          </w:p>
        </w:tc>
        <w:tc>
          <w:tcPr>
            <w:tcW w:type="dxa" w:w="23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Achievement Slabs</w:t>
            </w:r>
          </w:p>
        </w:tc>
        <w:tc>
          <w:tcPr>
            <w:tcW w:type="dxa" w:w="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MNP</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 – Sep 2025</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 351 Tk (I-TOP UP)</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BDT 4,000</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90% target → 60% payout (2,400 Tk)</w:t>
              <w:br/>
              <w:t>91–150% → payout at actual rate</w:t>
              <w:br/>
              <w:t>&gt;150% → capped at 150% rate</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Included</w:t>
            </w:r>
          </w:p>
        </w:tc>
      </w:tr>
      <w:tr>
        <w:tc>
          <w:tcPr>
            <w:tcW w:type="dxa" w:w="1805"/>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 – Jan 2026</w:t>
            </w:r>
          </w:p>
        </w:tc>
        <w:tc>
          <w:tcPr>
            <w:tcW w:type="dxa" w:w="1805"/>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 350 Tk (I-TOP UP)</w:t>
            </w:r>
          </w:p>
        </w:tc>
        <w:tc>
          <w:tcPr>
            <w:tcW w:type="dxa" w:w="1805"/>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BDT 4,000</w:t>
            </w:r>
          </w:p>
        </w:tc>
        <w:tc>
          <w:tcPr>
            <w:tcW w:type="dxa" w:w="1805"/>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Same slab structure</w:t>
            </w:r>
          </w:p>
        </w:tc>
        <w:tc>
          <w:tcPr>
            <w:tcW w:type="dxa" w:w="1805"/>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Included</w:t>
            </w:r>
          </w:p>
        </w:tc>
      </w:tr>
      <w:tr>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Feb 2026 onward</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 350 Tk OR ≥ 251 Tk (I-TOP UP)</w:t>
              <w:br/>
              <w:t>OR insurance bundle FRC 163/193/267 Tk</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BDT 4,000</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Same slab structure</w:t>
            </w:r>
          </w:p>
        </w:tc>
        <w:tc>
          <w:tcPr>
            <w:tcW w:type="dxa" w:w="180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Included</w:t>
            </w:r>
          </w:p>
        </w:tc>
      </w:tr>
    </w:tbl>
    <w:p/>
    <w:p>
      <w:pPr>
        <w:spacing w:before="40" w:after="80"/>
        <w:ind w:left="283"/>
      </w:pPr>
      <w:r>
        <w:rPr>
          <w:i/>
          <w:color w:val="595959"/>
          <w:sz w:val="18"/>
        </w:rPr>
        <w:t>📌 Insurance bundles FRC 163/193/267 Tk qualify as GA from Feb 2026 onward – this is a significant expansion of the GA definition.</w:t>
      </w:r>
    </w:p>
    <w:p>
      <w:pPr>
        <w:spacing w:before="40" w:after="80"/>
        <w:ind w:left="283"/>
      </w:pPr>
      <w:r>
        <w:rPr>
          <w:i/>
          <w:color w:val="595959"/>
          <w:sz w:val="18"/>
        </w:rPr>
        <w:t>📌 MNP (Mobile Number Portability) connections count towards GA target in all periods.</w:t>
      </w:r>
    </w:p>
    <w:p>
      <w:pPr>
        <w:spacing w:before="160" w:after="120"/>
      </w:pPr>
      <w:r>
        <w:rPr>
          <w:b/>
          <w:color w:val="2E75B6"/>
          <w:sz w:val="24"/>
        </w:rPr>
        <w:t>3.2 GA Commission – Key General Conditions</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 Reference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during the promotion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SAF Requirement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DMS Post Date ≤ 7 days of activation; Vetting by 14th of following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Recharge Type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Valid recharge = I-TOP UP only (unless insurance bundle clause applies).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Disconnection Check</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T-5 disconnection cutoff; connections disconnected before T-5 are excluded.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 (published the day after).</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All EquipIDs in Section 1.3 (Call &amp; Control &amp; Postpaid).</w:t>
            </w:r>
          </w:p>
        </w:tc>
      </w:tr>
    </w:tbl>
    <w:p/>
    <w:p>
      <w:pPr>
        <w:spacing w:before="0" w:after="0"/>
      </w:pPr>
      <w:r>
        <w:br w:type="page"/>
      </w:r>
    </w:p>
    <w:p>
      <w:pPr>
        <w:spacing w:before="280" w:after="120"/>
        <w:pBdr>
          <w:bottom w:val="single" w:sz="6" w:space="1" w:color="2E75B6"/>
        </w:pBdr>
      </w:pPr>
      <w:r>
        <w:rPr>
          <w:b/>
          <w:color w:val="1F4E79"/>
          <w:sz w:val="28"/>
        </w:rPr>
        <w:t>Section 4: ARPU Enhancement GA Commission</w:t>
      </w:r>
    </w:p>
    <w:p>
      <w:pPr>
        <w:spacing w:before="40" w:after="80"/>
      </w:pPr>
      <w:r>
        <w:rPr>
          <w:b w:val="0"/>
          <w:i w:val="0"/>
          <w:sz w:val="20"/>
        </w:rPr>
        <w:t>Introduced in Jul 2025 as an overlay to the standard GA Commission. Rewards ESOs who maintain high average revenue per new connection, encouraging quality acquisition.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July 2025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GA Eligibility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90% of monthly GA target must be achieved first.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ARPU Calculation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Average ARPU = Total Usage Revenue of GA connections ÷ Total GA count.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ARPU Threshold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Average ARPU of 270 Tk per GA connection.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Additional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Incremental bonus on top of standard GA commission (exact slab per SRF schedule).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GA general conditions apply (FCD activation, SAF, DMS Post Date, Vetting).</w:t>
            </w:r>
          </w:p>
        </w:tc>
      </w:tr>
    </w:tbl>
    <w:p/>
    <w:p>
      <w:pPr>
        <w:spacing w:before="40" w:after="80"/>
        <w:ind w:left="283"/>
      </w:pPr>
      <w:r>
        <w:rPr>
          <w:i/>
          <w:color w:val="595959"/>
          <w:sz w:val="18"/>
        </w:rPr>
        <w:t>📌 The ARPU Enhancement acts as a quality gate: ESOs must first hit 90% GA volume, then sustain 270 Tk average ARPU to earn the extra payout.</w:t>
      </w:r>
    </w:p>
    <w:p>
      <w:pPr>
        <w:spacing w:before="0" w:after="0"/>
      </w:pPr>
      <w:r>
        <w:br w:type="page"/>
      </w:r>
    </w:p>
    <w:p>
      <w:pPr>
        <w:spacing w:before="280" w:after="120"/>
        <w:pBdr>
          <w:bottom w:val="single" w:sz="6" w:space="1" w:color="2E75B6"/>
        </w:pBdr>
      </w:pPr>
      <w:r>
        <w:rPr>
          <w:b/>
          <w:color w:val="1F4E79"/>
          <w:sz w:val="28"/>
        </w:rPr>
        <w:t>Section 5: Survival Rate Commission</w:t>
      </w:r>
    </w:p>
    <w:p>
      <w:pPr>
        <w:spacing w:before="40" w:after="80"/>
      </w:pPr>
      <w:r>
        <w:rPr>
          <w:b w:val="0"/>
          <w:i w:val="0"/>
          <w:sz w:val="20"/>
        </w:rPr>
        <w:t>Rewards ESOs for retaining their acquired subscribers. Two distinct versions exist: Apr 2025 and Oct 2025 revisions.</w:t>
      </w:r>
    </w:p>
    <w:p>
      <w:pPr>
        <w:spacing w:before="160" w:after="120"/>
      </w:pPr>
      <w:r>
        <w:rPr>
          <w:b/>
          <w:color w:val="2E75B6"/>
          <w:sz w:val="24"/>
        </w:rPr>
        <w:t>5.1 Survival Rate – Apr 2025 Version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GA Eligibility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70% of GA target in the measurement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Survival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85% combined M1+M2 survival rate.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 (Standard)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2,000 upon meeting both gate conditions.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 (Enhanced)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4,000 if average usage per surviving connection ≥ 125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5.2 Survival Rate – Oct 2025 Revision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October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GA Eligibility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80% of GA target (raised from 70%).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Recharge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average recharge of 200 Tk per surviving connection.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Survival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85% M1+M2 survival rate (unchanged).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4,000 upon meeting all three gate conditions (raised from 2,000/4,000 tiered).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Key changes Oct 2025: GA gate raised to 80%, new 200 Tk recharge gate added, payout unified at 4,000 Tk.</w:t>
      </w:r>
    </w:p>
    <w:p>
      <w:pPr>
        <w:spacing w:before="0" w:after="0"/>
      </w:pPr>
      <w:r>
        <w:br w:type="page"/>
      </w:r>
    </w:p>
    <w:p>
      <w:pPr>
        <w:spacing w:before="280" w:after="120"/>
        <w:pBdr>
          <w:bottom w:val="single" w:sz="6" w:space="1" w:color="2E75B6"/>
        </w:pBdr>
      </w:pPr>
      <w:r>
        <w:rPr>
          <w:b/>
          <w:color w:val="1F4E79"/>
          <w:sz w:val="28"/>
        </w:rPr>
        <w:t>Section 6: M1 Booster Campaign</w:t>
      </w:r>
    </w:p>
    <w:p>
      <w:pPr>
        <w:spacing w:before="40" w:after="80"/>
      </w:pPr>
      <w:r>
        <w:rPr>
          <w:b w:val="0"/>
          <w:i w:val="0"/>
          <w:sz w:val="20"/>
        </w:rPr>
        <w:t>Launched Jul 2025. Rewards ESOs for achieving high M1 survival (first-month retention) of their GA connections. Complements but is separate from the multi-month Survival Rate programme.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July 2025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GA Eligibility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90% of monthly GA target must be achieved first.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M1 Recharge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Each M1 surviving connection must have recharged minimum 50 Tk in M1.</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Survival Slabs &amp;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70% – 79% M1 survival → BDT 1,500</w:t>
              <w:br/>
              <w:t>80% – 89% M1 survival → BDT 2,000</w:t>
              <w:br/>
              <w:t>≥ 90% M1 survival → BDT 2,500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2,500 per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GA general conditions apply.</w:t>
            </w:r>
          </w:p>
        </w:tc>
      </w:tr>
    </w:tbl>
    <w:p/>
    <w:p>
      <w:pPr>
        <w:spacing w:before="40" w:after="80"/>
        <w:ind w:left="283"/>
      </w:pPr>
      <w:r>
        <w:rPr>
          <w:i/>
          <w:color w:val="595959"/>
          <w:sz w:val="18"/>
        </w:rPr>
        <w:t>📌 M1 Booster focuses on 1-month survival with a recharge floor of 50 Tk, different from Survival Rate which uses M1+M2 average with 125/200 Tk thresholds.</w:t>
      </w:r>
    </w:p>
    <w:p>
      <w:pPr>
        <w:spacing w:before="0" w:after="0"/>
      </w:pPr>
      <w:r>
        <w:br w:type="page"/>
      </w:r>
    </w:p>
    <w:p>
      <w:pPr>
        <w:spacing w:before="280" w:after="120"/>
        <w:pBdr>
          <w:bottom w:val="single" w:sz="6" w:space="1" w:color="2E75B6"/>
        </w:pBdr>
      </w:pPr>
      <w:r>
        <w:rPr>
          <w:b/>
          <w:color w:val="1F4E79"/>
          <w:sz w:val="28"/>
        </w:rPr>
        <w:t>Section 7: Device Sales KPI (ESO – Standard)</w:t>
      </w:r>
    </w:p>
    <w:p>
      <w:pPr>
        <w:spacing w:before="40" w:after="80"/>
      </w:pPr>
      <w:r>
        <w:rPr>
          <w:b w:val="0"/>
          <w:i w:val="0"/>
          <w:sz w:val="20"/>
        </w:rPr>
        <w:t>ESOs earn a device sales commission for selling hardware (FWA routers, handsets, etc.) above a minimum threshold. Multiple versions exist across the campaign period.</w:t>
      </w:r>
    </w:p>
    <w:p>
      <w:pPr>
        <w:spacing w:before="160" w:after="120"/>
      </w:pPr>
      <w:r>
        <w:rPr>
          <w:b/>
          <w:color w:val="2E75B6"/>
          <w:sz w:val="24"/>
        </w:rPr>
        <w:t>7.1 Device KPI – Apr 2025 / Jul 2025 Version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 refreshed Jul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10 device sales in the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100% of target → BDT 2,000</w:t>
              <w:br/>
              <w:t>126% – 150% of target → BDT 2,500</w:t>
              <w:br/>
              <w:t>≥ 151% of target → BDT 3,000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Cap</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Achievement capped at 400% for payout calculation.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7.2 Device KPI – Sep 2025 Version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September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10 device sales in the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40,000 total device revenue = 100% achievement.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100% achievement → BDT 3,000 (flat; no tiered slabs)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7.3 Device KPI – Feb 2026 Version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15 device sales in the month (raised from 10).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Per-Device Bonus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 per device sold above the 15-device minimum.</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New Sale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for meeting the new-device target.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Repurchase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2,000 if minimum 80% of last month's sales are repurchased.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(new) + BDT 2,000 (repurchase) + per-device bonus.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7.4 Device KPI – Mar 2026 Version (TECHVAN Handset)</w:t>
      </w:r>
    </w:p>
    <w:p>
      <w:pPr>
        <w:spacing w:before="40" w:after="80"/>
      </w:pPr>
      <w:r>
        <w:rPr>
          <w:b w:val="0"/>
          <w:i w:val="0"/>
          <w:sz w:val="20"/>
        </w:rPr>
        <w:t>Specific to TECHVAN handset sales. Two separate modalities run concurrently:</w:t>
      </w:r>
    </w:p>
    <w:tbl>
      <w:tblGrid>
        <w:gridCol w:w="2000"/>
        <w:gridCol w:w="4400"/>
        <w:gridCol w:w="2400"/>
      </w:tblGrid>
      <w:tblPr>
        <w:jc w:val="left"/>
        <w:tblLook w:firstColumn="1" w:firstRow="1" w:lastColumn="0" w:lastRow="0" w:noHBand="0" w:noVBand="1" w:val="04A0"/>
        <w:tblW w:w="8800" w:type="dxa"/>
      </w:tblPr>
      <w:tblGrid>
        <w:gridCol w:w="3009"/>
        <w:gridCol w:w="3009"/>
        <w:gridCol w:w="3009"/>
      </w:tblGrid>
      <w:tr>
        <w:tc>
          <w:tcPr>
            <w:tcW w:type="dxa" w:w="20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Modality</w:t>
            </w:r>
          </w:p>
        </w:tc>
        <w:tc>
          <w:tcPr>
            <w:tcW w:type="dxa" w:w="43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Description</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Modality 1 – New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Min 35 devices (Router + Handset + VTS + Safehouse combined).</w:t>
              <w:br/>
              <w:t>+BDT 300 per device above 35.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BDT 6,000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Modality 2 – FWA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Min 85% FWA repurchase of last month's FWA sales.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BDT 2,000</w:t>
            </w:r>
          </w:p>
        </w:tc>
      </w:tr>
    </w:tbl>
    <w:p/>
    <w:p>
      <w:pPr>
        <w:spacing w:before="40" w:after="80"/>
        <w:ind w:left="283"/>
      </w:pPr>
      <w:r>
        <w:rPr>
          <w:i/>
          <w:color w:val="595959"/>
          <w:sz w:val="18"/>
        </w:rPr>
        <w:t>📌 Mar 2026 introduces device category bundling: Router + Handset + VTS + Safehouse count together toward the 35-unit threshold.</w:t>
      </w:r>
    </w:p>
    <w:p>
      <w:pPr>
        <w:spacing w:before="0" w:after="0"/>
      </w:pPr>
      <w:r>
        <w:br w:type="page"/>
      </w:r>
    </w:p>
    <w:p>
      <w:pPr>
        <w:spacing w:before="280" w:after="120"/>
        <w:pBdr>
          <w:bottom w:val="single" w:sz="6" w:space="1" w:color="2E75B6"/>
        </w:pBdr>
      </w:pPr>
      <w:r>
        <w:rPr>
          <w:b/>
          <w:color w:val="1F4E79"/>
          <w:sz w:val="28"/>
        </w:rPr>
        <w:t>Section 8: Device ESOs KPI (Multi-Category Specialist – Oct 2025)</w:t>
      </w:r>
    </w:p>
    <w:p>
      <w:pPr>
        <w:spacing w:before="40" w:after="80"/>
      </w:pPr>
      <w:r>
        <w:rPr>
          <w:b w:val="0"/>
          <w:i w:val="0"/>
          <w:sz w:val="20"/>
        </w:rPr>
        <w:t>From Oct 2025, specialist Device ESOs have a dedicated multi-category KPI separate from the standard ESO Device KPI. Each category has its own target and payout. Conveyance is included as a performance gate.</w:t>
      </w:r>
    </w:p>
    <w:tbl>
      <w:tblGrid>
        <w:gridCol w:w="2600"/>
        <w:gridCol w:w="3800"/>
        <w:gridCol w:w="2400"/>
      </w:tblGrid>
      <w:tblPr>
        <w:jc w:val="left"/>
        <w:tblLook w:firstColumn="1" w:firstRow="1" w:lastColumn="0" w:lastRow="0" w:noHBand="0" w:noVBand="1" w:val="04A0"/>
        <w:tblW w:w="8800" w:type="dxa"/>
      </w:tblPr>
      <w:tblGrid>
        <w:gridCol w:w="3009"/>
        <w:gridCol w:w="3009"/>
        <w:gridCol w:w="3009"/>
      </w:tblGrid>
      <w:tr>
        <w:tc>
          <w:tcPr>
            <w:tcW w:type="dxa" w:w="26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Category</w:t>
            </w:r>
          </w:p>
        </w:tc>
        <w:tc>
          <w:tcPr>
            <w:tcW w:type="dxa" w:w="3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 / Condition</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FWA Router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Min 30 units/month</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VTS Sales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Min 10 units/month</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Commando Device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Min 5 units/month</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Mixed Device Target</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Min 35 units (combined FWA+VTS+Commando+other)</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7,000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M1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Min 90% of M1 base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M2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Min 85% of M2 base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2,500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M3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Min 80% of M3 base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Conveyance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 90% overall achievement across device KPIs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2,600</w:t>
            </w:r>
          </w:p>
        </w:tc>
      </w:tr>
    </w:tbl>
    <w:p/>
    <w:p>
      <w:pPr>
        <w:spacing w:before="40" w:after="80"/>
        <w:ind w:left="283"/>
      </w:pPr>
      <w:r>
        <w:rPr>
          <w:i/>
          <w:color w:val="595959"/>
          <w:sz w:val="18"/>
        </w:rPr>
        <w:t>📌 Device ESOs report to separate KPI targets from general ESOs. Categories are tracked independently; Mixed target is an alternate path if individual category targets are not met.</w:t>
      </w:r>
    </w:p>
    <w:p>
      <w:pPr>
        <w:spacing w:before="40" w:after="80"/>
        <w:ind w:left="283"/>
      </w:pPr>
      <w:r>
        <w:rPr>
          <w:i/>
          <w:color w:val="595959"/>
          <w:sz w:val="18"/>
        </w:rPr>
        <w:t>📌 Conveyance (BDT 2,600) is only disbursed if the ESO achieves ≥ 90% on the overall device KPI.</w:t>
      </w:r>
    </w:p>
    <w:p>
      <w:pPr>
        <w:spacing w:before="0" w:after="0"/>
      </w:pPr>
      <w:r>
        <w:br w:type="page"/>
      </w:r>
    </w:p>
    <w:p>
      <w:pPr>
        <w:spacing w:before="280" w:after="120"/>
        <w:pBdr>
          <w:bottom w:val="single" w:sz="6" w:space="1" w:color="2E75B6"/>
        </w:pBdr>
      </w:pPr>
      <w:r>
        <w:rPr>
          <w:b/>
          <w:color w:val="1F4E79"/>
          <w:sz w:val="28"/>
        </w:rPr>
        <w:t>Section 9: Portfolio Revenue Commission</w:t>
      </w:r>
    </w:p>
    <w:p>
      <w:pPr>
        <w:spacing w:before="40" w:after="80"/>
      </w:pPr>
      <w:r>
        <w:rPr>
          <w:b w:val="0"/>
          <w:i w:val="0"/>
          <w:sz w:val="20"/>
        </w:rPr>
        <w:t>Rewards ESOs for growing or sustaining revenue from their existing subscriber base (M1–M12 cohorts). This incentivises long-term relationship management beyond mere acquisition.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 (ongoing)</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Base Period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M1 through M12 of the ESO's subscriber portfolio.</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90% of portfolio revenue target → 60% payout (BDT 2,100)</w:t>
              <w:br/>
              <w:t>91%–150% → payout at actual rate</w:t>
              <w:br/>
              <w:t>&gt;150% → capped at 150%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3,500 at 100% achievement.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activation and recharge conditions apply to the portfolio base.</w:t>
            </w:r>
          </w:p>
        </w:tc>
      </w:tr>
    </w:tbl>
    <w:p/>
    <w:p>
      <w:pPr>
        <w:spacing w:before="40" w:after="80"/>
        <w:ind w:left="283"/>
      </w:pPr>
      <w:r>
        <w:rPr>
          <w:i/>
          <w:color w:val="595959"/>
          <w:sz w:val="18"/>
        </w:rPr>
        <w:t>📌 Portfolio Revenue and GA Commission are independent programmes; an ESO can earn both simultaneously.</w:t>
      </w:r>
    </w:p>
    <w:p>
      <w:pPr>
        <w:spacing w:before="0" w:after="0"/>
      </w:pPr>
      <w:r>
        <w:br w:type="page"/>
      </w:r>
    </w:p>
    <w:p>
      <w:pPr>
        <w:spacing w:before="280" w:after="120"/>
        <w:pBdr>
          <w:bottom w:val="single" w:sz="6" w:space="1" w:color="2E75B6"/>
        </w:pBdr>
      </w:pPr>
      <w:r>
        <w:rPr>
          <w:b/>
          <w:color w:val="1F4E79"/>
          <w:sz w:val="28"/>
        </w:rPr>
        <w:t>Section 10: Adtech / Digital Sales Campaigns (ESO – Non-Specialist)</w:t>
      </w:r>
    </w:p>
    <w:p>
      <w:pPr>
        <w:spacing w:before="40" w:after="80"/>
      </w:pPr>
      <w:r>
        <w:rPr>
          <w:b w:val="0"/>
          <w:i w:val="0"/>
          <w:sz w:val="20"/>
        </w:rPr>
        <w:t>Multiple versions of Adtech incentive programmes exist for standard ESOs. These reward sales of mobile advertising and digital products. Specialist Adtech ESO KPIs are in Section 11.</w:t>
      </w:r>
    </w:p>
    <w:p>
      <w:pPr>
        <w:spacing w:before="160" w:after="120"/>
      </w:pPr>
      <w:r>
        <w:rPr>
          <w:b/>
          <w:color w:val="2E75B6"/>
          <w:sz w:val="24"/>
        </w:rPr>
        <w:t>10.1 Adtech Campaign – Apr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New client acquisitions only (no re-sell to existing clients).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Slabs &amp;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10K – 18K BDT revenue → tiered slabs (approx. 10%–18% range)</w:t>
              <w:br/>
              <w:t>Exact slabs per SRF: 10K/12K/15K/18K revenue → 1,500/2,250/3,000/4,500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4,500 (18K+ revenue tier)</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Top 3 Recognition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Top 3 ESOs nationally: 1st BDT 40,000 / 2nd BDT 35,000 / 3rd BDT 25,000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10.2 Adtech Campaign – Jul 2025 Revision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July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Change from Apr 2025</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New-client restriction removed; all Adtech revenue counts.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Same slab structure as Apr 2025 (10K/12K/15K/18K → 1,500/2,250/3,000/4,500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Top 3 Recognition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Same award structure maintained.</w:t>
            </w:r>
          </w:p>
        </w:tc>
      </w:tr>
    </w:tbl>
    <w:p/>
    <w:p>
      <w:pPr>
        <w:spacing w:before="160" w:after="120"/>
      </w:pPr>
      <w:r>
        <w:rPr>
          <w:b/>
          <w:color w:val="2E75B6"/>
          <w:sz w:val="24"/>
        </w:rPr>
        <w:t>10.3 Adtech Campaign – Q1 FY26 (Feb 2026 Extended)</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 (Q1 FY26)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New Slab Added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&gt; 50,000 BDT revenue → 20% commission (new upper tier)</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Existing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10K/12K/15K/18K/50K BDT → 1,500/2,250/3,000/4,500/20%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10.4 Digital Products Campaign – Jul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July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Structure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4-tier multi-product digital sales target.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 Tiers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Tier 1 → BDT 1,500</w:t>
              <w:br/>
              <w:t>Tier 2 → BDT 2,000</w:t>
              <w:br/>
              <w:t>Tier 3 → BDT 2,500</w:t>
              <w:br/>
              <w:t>Tier 4 → BDT 3,000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Products Covered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Mobile Advertising, Hisabkhata, Fire Insurance, and other digital products.</w:t>
            </w:r>
          </w:p>
        </w:tc>
      </w:tr>
    </w:tbl>
    <w:p/>
    <w:p>
      <w:pPr>
        <w:spacing w:before="160" w:after="120"/>
      </w:pPr>
      <w:r>
        <w:rPr>
          <w:b/>
          <w:color w:val="2E75B6"/>
          <w:sz w:val="24"/>
        </w:rPr>
        <w:t>10.5 Digital Products – Sep 2025 Version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September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Hisabkhata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30 qty × BDT 40 = BDT 1,200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Fire Insurance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15 qty × BDT 120 = BDT 1,800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Combined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4,000 (Hisabkhata + Fire Insurance combined)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0" w:after="0"/>
      </w:pPr>
      <w:r>
        <w:br w:type="page"/>
      </w:r>
    </w:p>
    <w:p>
      <w:pPr>
        <w:spacing w:before="280" w:after="120"/>
        <w:pBdr>
          <w:bottom w:val="single" w:sz="6" w:space="1" w:color="2E75B6"/>
        </w:pBdr>
      </w:pPr>
      <w:r>
        <w:rPr>
          <w:b/>
          <w:color w:val="1F4E79"/>
          <w:sz w:val="28"/>
        </w:rPr>
        <w:t>Section 11: ESO Adtech KPI (Specialist)</w:t>
      </w:r>
    </w:p>
    <w:p>
      <w:pPr>
        <w:spacing w:before="40" w:after="80"/>
      </w:pPr>
      <w:r>
        <w:rPr>
          <w:b w:val="0"/>
          <w:i w:val="0"/>
          <w:sz w:val="20"/>
        </w:rPr>
        <w:t>Specialist Adtech ESOs have a dedicated KPI structure separate from general ESO digital sales. Two versions exist.</w:t>
      </w:r>
    </w:p>
    <w:p>
      <w:pPr>
        <w:spacing w:before="160" w:after="120"/>
      </w:pPr>
      <w:r>
        <w:rPr>
          <w:b/>
          <w:color w:val="2E75B6"/>
          <w:sz w:val="24"/>
        </w:rPr>
        <w:t>11.1 Adtech ESOs KPI – Oct 2025</w:t>
      </w:r>
    </w:p>
    <w:tbl>
      <w:tblGrid>
        <w:gridCol w:w="2200"/>
        <w:gridCol w:w="2200"/>
        <w:gridCol w:w="1800"/>
        <w:gridCol w:w="2600"/>
      </w:tblGrid>
      <w:tblPr>
        <w:jc w:val="left"/>
        <w:tblLook w:firstColumn="1" w:firstRow="1" w:lastColumn="0" w:lastRow="0" w:noHBand="0" w:noVBand="1" w:val="04A0"/>
        <w:tblW w:w="8800" w:type="dxa"/>
      </w:tblPr>
      <w:tblGrid>
        <w:gridCol w:w="2256"/>
        <w:gridCol w:w="2256"/>
        <w:gridCol w:w="2256"/>
        <w:gridCol w:w="2256"/>
      </w:tblGrid>
      <w:tr>
        <w:tc>
          <w:tcPr>
            <w:tcW w:type="dxa" w:w="2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Product / Component</w:t>
            </w:r>
          </w:p>
        </w:tc>
        <w:tc>
          <w:tcPr>
            <w:tcW w:type="dxa" w:w="2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c>
          <w:tcPr>
            <w:tcW w:type="dxa" w:w="26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(MAd)</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BDT 50,000 revenue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7,000</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Primary component</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FFL</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500% growth prorated</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BDT 2,000 at 500%</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M-Connex</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As per schedule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Incl.</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Grouped with FFL/other</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CRBT / SMS Broadcast</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As per schedule</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Incl.</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Grouped</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ERP Solutions</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BDT 20,000 revenue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ERP-specific target</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Conveyance</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 90% overall achievement</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5,200</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Disbursed if 90%+ achieved</w:t>
            </w:r>
          </w:p>
        </w:tc>
      </w:tr>
    </w:tbl>
    <w:p/>
    <w:p>
      <w:pPr>
        <w:spacing w:before="160" w:after="120"/>
      </w:pPr>
      <w:r>
        <w:rPr>
          <w:b/>
          <w:color w:val="2E75B6"/>
          <w:sz w:val="24"/>
        </w:rPr>
        <w:t>11.2 ESO AdTech KPI – Feb 2026 (Standalone)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10,000 minimum revenue (excl. VAT/TAX/SD).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Slabs &amp;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10K – 15K BDT → BDT 3,000</w:t>
              <w:br/>
              <w:t>15K – 20K BDT → BDT 4,000</w:t>
              <w:br/>
              <w:t>20K – 25K BDT → BDT 5,000</w:t>
              <w:br/>
              <w:t>&gt; 25K BDT → 20% of revenue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Quarterly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Commission computed and disbursed on a quarterly basis.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Basis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Excluding VAT, TAX, and Supplementary Duty (SD).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Feb 2026 standalone AdTech KPI uses a progressive slab including a 20% open-ended commission above 25K BDT – the most generous tier to date.</w:t>
      </w:r>
    </w:p>
    <w:p>
      <w:pPr>
        <w:spacing w:before="0" w:after="0"/>
      </w:pPr>
      <w:r>
        <w:br w:type="page"/>
      </w:r>
    </w:p>
    <w:p>
      <w:pPr>
        <w:spacing w:before="280" w:after="120"/>
        <w:pBdr>
          <w:bottom w:val="single" w:sz="6" w:space="1" w:color="2E75B6"/>
        </w:pBdr>
      </w:pPr>
      <w:r>
        <w:rPr>
          <w:b/>
          <w:color w:val="1F4E79"/>
          <w:sz w:val="28"/>
        </w:rPr>
        <w:t>Section 12: ICT Product Sales Campaigns</w:t>
      </w:r>
    </w:p>
    <w:p>
      <w:pPr>
        <w:spacing w:before="40" w:after="80"/>
      </w:pPr>
      <w:r>
        <w:rPr>
          <w:b w:val="0"/>
          <w:i w:val="0"/>
          <w:sz w:val="20"/>
        </w:rPr>
        <w:t>ICT (Information &amp; Communication Technology) sales programmes incentivise ESOs to sell enterprise digital products. Multiple versions and product scopes exist.</w:t>
      </w:r>
    </w:p>
    <w:p>
      <w:pPr>
        <w:spacing w:before="160" w:after="120"/>
      </w:pPr>
      <w:r>
        <w:rPr>
          <w:b/>
          <w:color w:val="2E75B6"/>
          <w:sz w:val="24"/>
        </w:rPr>
        <w:t>12.1 ICT Campaign – Q1–Q3 FY25 (Apr–Dec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Focused Product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revenue BDT 2,500 from focused ICT product.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Focused Payout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2,500 BDT → 700 Tk</w:t>
              <w:br/>
              <w:t>3,000 BDT → 900 Tk</w:t>
              <w:br/>
              <w:t>4,000 BDT → 1,200 Tk</w:t>
              <w:br/>
              <w:t>5,000 BDT → 1,500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Mobile Ad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10K BDT → 1,500 Tk</w:t>
              <w:br/>
              <w:t>20K BDT → 2,250 Tk</w:t>
              <w:br/>
              <w:t>30K BDT → 3,000 Tk</w:t>
              <w:br/>
              <w:t>40K BDT → 4,500 Tk</w:t>
              <w:br/>
              <w:t>50K BDT → 6,000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12.2 ICT Product Sales – Feb 2026 (FFL / M-Connex / CRBT / SMS Broadcast)</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Products Covered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FFL (Free For Life), M-Connex, CRBT, SMS Broadcast Panel.</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20% of revenue amount.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 Cap</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2,000 per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Business Team shared report (B2B DWH).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0" w:after="0"/>
      </w:pPr>
      <w:r>
        <w:br w:type="page"/>
      </w:r>
    </w:p>
    <w:p>
      <w:pPr>
        <w:spacing w:before="280" w:after="120"/>
        <w:pBdr>
          <w:bottom w:val="single" w:sz="6" w:space="1" w:color="2E75B6"/>
        </w:pBdr>
      </w:pPr>
      <w:r>
        <w:rPr>
          <w:b/>
          <w:color w:val="1F4E79"/>
          <w:sz w:val="28"/>
        </w:rPr>
        <w:t>Section 13: IOT Product Sales (Feb 2026)</w:t>
      </w:r>
    </w:p>
    <w:p>
      <w:pPr>
        <w:spacing w:before="40" w:after="80"/>
      </w:pPr>
      <w:r>
        <w:rPr>
          <w:b w:val="0"/>
          <w:i w:val="0"/>
          <w:sz w:val="20"/>
        </w:rPr>
        <w:t>New programme from Feb 2026 covering Internet-of-Things (IoT) hardware products sold through SME ESOs.</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Products Covered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Safehub, Wearables, and other available IoT products.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 of the product price (on revenue from IoT product sales).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 Cap</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1,000 per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Business Team shared data.</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 Condition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FCD during promotion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IoT product sales are tracked and commissioned separately from device (FWA/VTS/Handset) and ICT software product programmes.</w:t>
      </w:r>
    </w:p>
    <w:p>
      <w:pPr>
        <w:spacing w:before="0" w:after="0"/>
      </w:pPr>
      <w:r>
        <w:br w:type="page"/>
      </w:r>
    </w:p>
    <w:p>
      <w:pPr>
        <w:spacing w:before="280" w:after="120"/>
        <w:pBdr>
          <w:bottom w:val="single" w:sz="6" w:space="1" w:color="2E75B6"/>
        </w:pBdr>
      </w:pPr>
      <w:r>
        <w:rPr>
          <w:b/>
          <w:color w:val="1F4E79"/>
          <w:sz w:val="28"/>
        </w:rPr>
        <w:t>Section 14: Other ICT Product Sales (Feb 2026)</w:t>
      </w:r>
    </w:p>
    <w:p>
      <w:pPr>
        <w:spacing w:before="40" w:after="80"/>
      </w:pPr>
      <w:r>
        <w:rPr>
          <w:b w:val="0"/>
          <w:i w:val="0"/>
          <w:sz w:val="20"/>
        </w:rPr>
        <w:t>Covers enterprise software / SaaS products that do not fall under the standard ICT (FFL/M-Connex) or IoT categories.</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 (until further notice)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Products Covered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ERP, DigiGO, HRIS, SFA, MDM, and other enterprise software.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20,000 minimum revenue to qualify for payout.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upon meeting the BDT 20,000 revenue target.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Source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Business Team shared data.</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This programme incentivises enterprise SaaS adoption. The flat 3,000 Tk reward structure differs from the 20% revenue commission used in ICT (FFL/M-Connex) and IoT products.</w:t>
      </w:r>
    </w:p>
    <w:p>
      <w:pPr>
        <w:spacing w:before="0" w:after="0"/>
      </w:pPr>
      <w:r>
        <w:br w:type="page"/>
      </w:r>
    </w:p>
    <w:p>
      <w:pPr>
        <w:spacing w:before="280" w:after="120"/>
        <w:pBdr>
          <w:bottom w:val="single" w:sz="6" w:space="1" w:color="2E75B6"/>
        </w:pBdr>
      </w:pPr>
      <w:r>
        <w:rPr>
          <w:b/>
          <w:color w:val="1F4E79"/>
          <w:sz w:val="28"/>
        </w:rPr>
        <w:t>Section 15: Bundle Drive Campaigns</w:t>
      </w:r>
    </w:p>
    <w:p>
      <w:pPr>
        <w:spacing w:before="40" w:after="80"/>
      </w:pPr>
      <w:r>
        <w:rPr>
          <w:b w:val="0"/>
          <w:i w:val="0"/>
          <w:sz w:val="20"/>
        </w:rPr>
        <w:t>Bundle Drive programmes incentivise ESOs to grow bundle recharge revenue across their subscriber base. Three versions ran across the period.</w:t>
      </w:r>
    </w:p>
    <w:p>
      <w:pPr>
        <w:spacing w:before="160" w:after="120"/>
      </w:pPr>
      <w:r>
        <w:rPr>
          <w:b/>
          <w:color w:val="2E75B6"/>
          <w:sz w:val="24"/>
        </w:rPr>
        <w:t>15.1 Bundle Drive – Oct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October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Bundles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15 specific bundle types defined in the SRF (Mix, Data, Voice bundles).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Base Reference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M1–M6 average bundle revenue per ESO.</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Range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80%–200% of base → prorated payout.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6,000 at 100% achievement.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15.2 Bundle Drive – Dec 2025 / Jan 2026</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December 2025 (continued Jan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Bundles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Same 15 specific bundle types.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Base Reference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M1–M6 average bundle revenue (same methodology).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Range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80%–200% prorated.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6,000 at 100%.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15.3 Bundle Drive – Feb 2026 (Growth-Based)</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February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Eligible Bundles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All available bundles (expanded from 15 specific types).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Target Methodology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Growth-based target (% increase over prior period baseline).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Growth Slabs &amp;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20% growth → BDT 3,000</w:t>
              <w:br/>
              <w:t>25% growth → BDT 4,000</w:t>
              <w:br/>
              <w:t>30% growth → BDT 5,000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Feb 2026 Bundle Drive shifts from base-period revenue matching to growth-rate incentive, and expands eligibility to all bundles.</w:t>
      </w:r>
    </w:p>
    <w:p>
      <w:pPr>
        <w:spacing w:before="0" w:after="0"/>
      </w:pPr>
      <w:r>
        <w:br w:type="page"/>
      </w:r>
    </w:p>
    <w:p>
      <w:pPr>
        <w:spacing w:before="280" w:after="120"/>
        <w:pBdr>
          <w:bottom w:val="single" w:sz="6" w:space="1" w:color="2E75B6"/>
        </w:pBdr>
      </w:pPr>
      <w:r>
        <w:rPr>
          <w:b/>
          <w:color w:val="1F4E79"/>
          <w:sz w:val="28"/>
        </w:rPr>
        <w:t>Section 16: Baby Care Bundle Daily Campaign</w:t>
      </w:r>
    </w:p>
    <w:p>
      <w:pPr>
        <w:spacing w:before="40" w:after="80"/>
      </w:pPr>
      <w:r>
        <w:rPr>
          <w:b w:val="0"/>
          <w:i w:val="0"/>
          <w:sz w:val="20"/>
        </w:rPr>
        <w:t>Introduced Dec 2025. A daily allowance programme tied to Baby Care bundle activation and sustenance over a 120-day tracking window.</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December 2025 (ongoing into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Tracking Window</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120-day base period per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Excluded ESOs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ESO I-TOP UP sellers are excluded from this programme.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Slabs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995 BDT/day → Daily Allowance BDT 200</w:t>
              <w:br/>
              <w:t>1,592 BDT/day → Daily Allowance BDT 300</w:t>
              <w:br/>
              <w:t>1,990 BDT/day → Daily Allowance BDT 400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Daily Allowance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 / 300 / 400 per day based on revenue slab achieved.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Calculation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Daily revenue from Baby Care bundles in the ESO's portfolio × applicable slab.</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Baby Care Bundle is unique in using a daily allowance model rather than a monthly payout, with a 120-day tracking window per bundle activation.</w:t>
      </w:r>
    </w:p>
    <w:p>
      <w:pPr>
        <w:spacing w:before="0" w:after="0"/>
      </w:pPr>
      <w:r>
        <w:br w:type="page"/>
      </w:r>
    </w:p>
    <w:p>
      <w:pPr>
        <w:spacing w:before="280" w:after="120"/>
        <w:pBdr>
          <w:bottom w:val="single" w:sz="6" w:space="1" w:color="2E75B6"/>
        </w:pBdr>
      </w:pPr>
      <w:r>
        <w:rPr>
          <w:b/>
          <w:color w:val="1F4E79"/>
          <w:sz w:val="28"/>
        </w:rPr>
        <w:t>Section 17: Productivity Campaigns</w:t>
      </w:r>
    </w:p>
    <w:p>
      <w:pPr>
        <w:spacing w:before="40" w:after="80"/>
      </w:pPr>
      <w:r>
        <w:rPr>
          <w:b w:val="0"/>
          <w:i w:val="0"/>
          <w:sz w:val="20"/>
        </w:rPr>
        <w:t>Short-cycle campaigns that reward consistent daily/10-day/5-day GA achievements. Three distinct structures exist.</w:t>
      </w:r>
    </w:p>
    <w:p>
      <w:pPr>
        <w:spacing w:before="160" w:after="120"/>
      </w:pPr>
      <w:r>
        <w:rPr>
          <w:b/>
          <w:color w:val="2E75B6"/>
          <w:sz w:val="24"/>
        </w:rPr>
        <w:t>17.1 10-Day Productivity – Sep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September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Structure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Two 10-day periods within the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Period 1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40 GA in the first 10 days of the month → BDT 1,500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Period 2 Target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40 GA in the next 10 days → BDT 1,500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(if both periods achieved).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17.2 5-Day Productivity – Mar 2026</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March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Structure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Three 5-day periods within the month.</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Target per Period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30 GA per 5-day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Payout per Period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1,500 per qualifying 5-day period.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4,500 (if all three 5-day periods achieved).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17.3 Daily Per-GA Productivity – Jan 2026</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January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Daily Threshold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4 GA per working day to qualify for that day's payout.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Working Days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15 working days within the month must achieve threshold.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Per-GA Tiered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Rates increase with daily GA volume (approx. BDT 25–70 per GA depending on daily count).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Daily Per-GA campaign uniquely requires both a minimum daily threshold AND minimum working day count, preventing spike-and-abandon tactics.</w:t>
      </w:r>
    </w:p>
    <w:p>
      <w:pPr>
        <w:spacing w:before="0" w:after="0"/>
      </w:pPr>
      <w:r>
        <w:br w:type="page"/>
      </w:r>
    </w:p>
    <w:p>
      <w:pPr>
        <w:spacing w:before="280" w:after="120"/>
        <w:pBdr>
          <w:bottom w:val="single" w:sz="6" w:space="1" w:color="2E75B6"/>
        </w:pBdr>
      </w:pPr>
      <w:r>
        <w:rPr>
          <w:b/>
          <w:color w:val="1F4E79"/>
          <w:sz w:val="28"/>
        </w:rPr>
        <w:t>Section 18: OTF Product Commission (FRC 251 – Jan 2026)</w:t>
      </w:r>
    </w:p>
    <w:p>
      <w:pPr>
        <w:spacing w:before="40" w:after="80"/>
      </w:pPr>
      <w:r>
        <w:rPr>
          <w:b w:val="0"/>
          <w:i w:val="0"/>
          <w:sz w:val="20"/>
        </w:rPr>
        <w:t>A one-time free recharge (OTF) incentive programme for connections made with FRC 251 Tk in specific Zones.</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January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Applicable Zones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Chittagong Zone and Cumilla Zone ONLY.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FRC Condition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First Recharge of exactly BDT 251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OTF Amount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51 Tk OTF credited T+1 of FRC.</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AIT Applicability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AIT (Advance Income Tax) is NOT applicable on this OTF.</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This is a geo-restricted OTF programme – only Chittagong and Cumilla ESOs are eligible. The 251 Tk FRC threshold is below the standard 350 Tk GA qualifying threshold; it does not count as a GA qualifying recharge for commission purposes.</w:t>
      </w:r>
    </w:p>
    <w:p>
      <w:pPr>
        <w:spacing w:before="0" w:after="0"/>
      </w:pPr>
      <w:r>
        <w:br w:type="page"/>
      </w:r>
    </w:p>
    <w:p>
      <w:pPr>
        <w:spacing w:before="280" w:after="120"/>
        <w:pBdr>
          <w:bottom w:val="single" w:sz="6" w:space="1" w:color="2E75B6"/>
        </w:pBdr>
      </w:pPr>
      <w:r>
        <w:rPr>
          <w:b/>
          <w:color w:val="1F4E79"/>
          <w:sz w:val="28"/>
        </w:rPr>
        <w:t>Section 19: Special Sales Programmes</w:t>
      </w:r>
    </w:p>
    <w:p>
      <w:pPr>
        <w:spacing w:before="160" w:after="120"/>
      </w:pPr>
      <w:r>
        <w:rPr>
          <w:b/>
          <w:color w:val="2E75B6"/>
          <w:sz w:val="24"/>
        </w:rPr>
        <w:t>19.1 FWA Router Drive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Fixed Wireless Access (FWA) Router Drive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 per router unit sold.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Device Model</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ZTE K10 package (and equivalent FWA packages).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Activation during promotion period; FCD-based.</w:t>
            </w:r>
          </w:p>
        </w:tc>
      </w:tr>
    </w:tbl>
    <w:p/>
    <w:p>
      <w:pPr>
        <w:spacing w:before="160" w:after="120"/>
      </w:pPr>
      <w:r>
        <w:rPr>
          <w:b/>
          <w:color w:val="2E75B6"/>
          <w:sz w:val="24"/>
        </w:rPr>
        <w:t>19.2 VTS (Vehicle Tracking System) Drive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VTS Drive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Commission Rate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500 per VTS unit sold (flat).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Conditions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Standard activation and SAF conditions apply.</w:t>
            </w:r>
          </w:p>
        </w:tc>
      </w:tr>
    </w:tbl>
    <w:p/>
    <w:p>
      <w:pPr>
        <w:spacing w:before="160" w:after="120"/>
      </w:pPr>
      <w:r>
        <w:rPr>
          <w:b/>
          <w:color w:val="2E75B6"/>
          <w:sz w:val="24"/>
        </w:rPr>
        <w:t>19.3 TECHVAN Handset Sales Incentive (Mar 2026)</w:t>
      </w:r>
    </w:p>
    <w:p>
      <w:pPr>
        <w:spacing w:before="40" w:after="80"/>
      </w:pPr>
      <w:r>
        <w:rPr>
          <w:b w:val="0"/>
          <w:i w:val="0"/>
          <w:sz w:val="20"/>
        </w:rPr>
        <w:t>See Section 7.4 for full TECHVAN Handset KPI conditions. Summary:</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March 2026</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 Units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15 devices (threshold for per-device bonus trigger)</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Per-Device Bonus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 per device above 15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New Sale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Repurchase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2,000 (if ≥ 80% of last month sales repurchased)</w:t>
            </w:r>
          </w:p>
        </w:tc>
      </w:tr>
    </w:tbl>
    <w:p/>
    <w:p>
      <w:pPr>
        <w:spacing w:before="160" w:after="120"/>
      </w:pPr>
      <w:r>
        <w:rPr>
          <w:b/>
          <w:color w:val="2E75B6"/>
          <w:sz w:val="24"/>
        </w:rPr>
        <w:t>19.4 Toffee App Installation Commission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Toffee App Installation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Base Commission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 per installation.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Usage Bonus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 per installation IF the user watches ≥ 20 minutes of content within the first 7 days of installation.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Max per Install</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20 per qualifying installation (10 base + 10 usage bonus).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19.5 Insurance Product Sales</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Insurance Bundle Sales Commission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Slab 1</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8,010 total insurance revenue → BDT 1,500 commission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Slab 2</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10,860 total insurance revenue → BDT 2,000 commission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Qualifying Products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Insurance bundles with FRC 163 / 193 / 267 Tk</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0" w:after="0"/>
      </w:pPr>
      <w:r>
        <w:br w:type="page"/>
      </w:r>
    </w:p>
    <w:p>
      <w:pPr>
        <w:spacing w:before="280" w:after="120"/>
        <w:pBdr>
          <w:bottom w:val="single" w:sz="6" w:space="1" w:color="2E75B6"/>
        </w:pBdr>
      </w:pPr>
      <w:r>
        <w:rPr>
          <w:b/>
          <w:color w:val="1F4E79"/>
          <w:sz w:val="28"/>
        </w:rPr>
        <w:t>Section 20: POC Account Onboarding Commission</w:t>
      </w:r>
    </w:p>
    <w:p>
      <w:pPr>
        <w:spacing w:before="40" w:after="80"/>
      </w:pPr>
      <w:r>
        <w:rPr>
          <w:b w:val="0"/>
          <w:i w:val="0"/>
          <w:sz w:val="20"/>
        </w:rPr>
        <w:t>Rewards ESOs for onboarding new Point-of-Contact (POC) enterprise accounts that generate revenue.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POC Account Onboarding</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BTRC Requirement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Account must be BTRC approved.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Recharge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BDT 100 recharge by the POC account.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CDR Requirement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Call Detail Record (CDR) must exist for the account.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Slabs &amp;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Revenue BDT 10,000 → BDT 1,000</w:t>
              <w:br/>
              <w:t>Revenue BDT 15,000 → BDT 2,000</w:t>
              <w:br/>
              <w:t>Revenue BDT 20,000 → BDT 3,000</w:t>
              <w:br/>
              <w:t>Revenue BDT 25,000 → BDT 4,000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Max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4,000 (at BDT 25,000+ revenue from the POC account)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POC Onboarding requires three simultaneous qualifications: BTRC approval, minimum recharge of 100 Tk, and an active CDR – all must be met before the revenue slab commission applies.</w:t>
      </w:r>
    </w:p>
    <w:p>
      <w:pPr>
        <w:spacing w:before="0" w:after="0"/>
      </w:pPr>
      <w:r>
        <w:br w:type="page"/>
      </w:r>
    </w:p>
    <w:p>
      <w:pPr>
        <w:spacing w:before="280" w:after="120"/>
        <w:pBdr>
          <w:bottom w:val="single" w:sz="6" w:space="1" w:color="2E75B6"/>
        </w:pBdr>
      </w:pPr>
      <w:r>
        <w:rPr>
          <w:b/>
          <w:color w:val="1F4E79"/>
          <w:sz w:val="28"/>
        </w:rPr>
        <w:t>Section 21: Winback &amp; Reactivation Campaigns</w:t>
      </w:r>
    </w:p>
    <w:p>
      <w:pPr>
        <w:spacing w:before="40" w:after="80"/>
      </w:pPr>
      <w:r>
        <w:rPr>
          <w:b w:val="0"/>
          <w:i w:val="0"/>
          <w:sz w:val="20"/>
        </w:rPr>
        <w:t>Incentivise ESOs to re-engage lapsed or churned subscribers.</w:t>
      </w:r>
    </w:p>
    <w:p>
      <w:pPr>
        <w:spacing w:before="160" w:after="120"/>
      </w:pPr>
      <w:r>
        <w:rPr>
          <w:b/>
          <w:color w:val="2E75B6"/>
          <w:sz w:val="24"/>
        </w:rPr>
        <w:t>21.1 Winback Campaign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Winback – Lapsed Subscriber Recovery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Base Methodology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Decay base calculated over 12 months of lapsed connections.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per Connection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BDT 50 recharge per winback connection to qualify.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 – Lower</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12,000 qualifying winback revenue → BDT 3,000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 – Upper</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15,000 qualifying winback revenue → BDT 4,000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160" w:after="120"/>
      </w:pPr>
      <w:r>
        <w:rPr>
          <w:b/>
          <w:color w:val="2E75B6"/>
          <w:sz w:val="24"/>
        </w:rPr>
        <w:t>21.2 Reactivation Campaign</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Reactivation – Disconnected Subscriber Recovery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 – Lower</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7,000 qualifying reactivation revenue → BDT 1,500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Revenue Slab – Upper</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9,000 qualifying reactivation revenue → BDT 2,000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Winback and Reactivation are separate programmes: Winback targets long-lapsed connections (12-month decay window) with higher payouts; Reactivation targets recently disconnected subscribers with lower revenue thresholds.</w:t>
      </w:r>
    </w:p>
    <w:p>
      <w:pPr>
        <w:spacing w:before="0" w:after="0"/>
      </w:pPr>
      <w:r>
        <w:br w:type="page"/>
      </w:r>
    </w:p>
    <w:p>
      <w:pPr>
        <w:spacing w:before="280" w:after="120"/>
        <w:pBdr>
          <w:bottom w:val="single" w:sz="6" w:space="1" w:color="2E75B6"/>
        </w:pBdr>
      </w:pPr>
      <w:r>
        <w:rPr>
          <w:b/>
          <w:color w:val="1F4E79"/>
          <w:sz w:val="28"/>
        </w:rPr>
        <w:t>Section 22: CluB35 / CluB50 Elite Recognition Programme</w:t>
      </w:r>
    </w:p>
    <w:p>
      <w:pPr>
        <w:spacing w:before="40" w:after="80"/>
      </w:pPr>
      <w:r>
        <w:rPr>
          <w:b w:val="0"/>
          <w:i w:val="0"/>
          <w:sz w:val="20"/>
        </w:rPr>
        <w:t>National recognition awards for the best-performing ESOs. The programme evolved from CluB35 (Apr 2025) to CluB50 (Oct 2025).</w:t>
      </w:r>
    </w:p>
    <w:p>
      <w:pPr>
        <w:spacing w:before="160" w:after="120"/>
      </w:pPr>
      <w:r>
        <w:rPr>
          <w:b/>
          <w:color w:val="2E75B6"/>
          <w:sz w:val="24"/>
        </w:rPr>
        <w:t>22.1 CluB35 – Apr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April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Selection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Top 35 ESOs nationally.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Selection Criterion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Highest Adtech / Mobile Ad sales revenue.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Minimum Qualification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Minimum BDT 30,000 Adtech/MAd revenue.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Award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recognition payment.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Tie-Break</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GA count (higher GA wins the tie).</w:t>
            </w:r>
          </w:p>
        </w:tc>
      </w:tr>
    </w:tbl>
    <w:p/>
    <w:p>
      <w:pPr>
        <w:spacing w:before="160" w:after="120"/>
      </w:pPr>
      <w:r>
        <w:rPr>
          <w:b/>
          <w:color w:val="2E75B6"/>
          <w:sz w:val="24"/>
        </w:rPr>
        <w:t>22.2 CluB50 – Oct 2025</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Effective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1st October 2025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Selection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Top 50 ESOs nationally (expanded from 35).</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150% combined achievement across: GA + Digital/Adtech + Survival + Bundle Drive.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Award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recognition payment.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Tie-Break</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Bundle Drive achievement (higher bundle drive wins).</w:t>
            </w:r>
          </w:p>
        </w:tc>
      </w:tr>
    </w:tbl>
    <w:p/>
    <w:p>
      <w:pPr>
        <w:spacing w:before="40" w:after="80"/>
        <w:ind w:left="283"/>
      </w:pPr>
      <w:r>
        <w:rPr>
          <w:i/>
          <w:color w:val="595959"/>
          <w:sz w:val="18"/>
        </w:rPr>
        <w:t>📌 CluB50 replaced CluB35 with a broader eligibility pool and a multi-KPI gate instead of single Adtech focus. The tie-break changed from GA to Bundle Drive.</w:t>
      </w:r>
    </w:p>
    <w:p>
      <w:pPr>
        <w:spacing w:before="0" w:after="0"/>
      </w:pPr>
      <w:r>
        <w:br w:type="page"/>
      </w:r>
    </w:p>
    <w:p>
      <w:pPr>
        <w:spacing w:before="280" w:after="120"/>
        <w:pBdr>
          <w:bottom w:val="single" w:sz="6" w:space="1" w:color="2E75B6"/>
        </w:pBdr>
      </w:pPr>
      <w:r>
        <w:rPr>
          <w:b/>
          <w:color w:val="1F4E79"/>
          <w:sz w:val="28"/>
        </w:rPr>
        <w:t>Section 23: Performance Retention Programme</w:t>
      </w:r>
    </w:p>
    <w:p>
      <w:pPr>
        <w:spacing w:before="40" w:after="80"/>
      </w:pPr>
      <w:r>
        <w:rPr>
          <w:b w:val="0"/>
          <w:i w:val="0"/>
          <w:sz w:val="20"/>
        </w:rPr>
        <w:t>Retention-focused incentive for high-performing ESOs within their CAM group. Rewards all-round KPI excellence.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Programme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Performance Retention Programme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Eligibility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Top 3 ESOs per CAM group (Channel Account Manager).</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Gate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100% achievement across all applicable KPIs.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KPIs Considered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GA + Portfolio Revenue + Survival Rate + Device Sales.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Award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3,000 per qualifying ESO.</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Tie-Break (evolving)</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Apr 2025: GA count</w:t>
              <w:br/>
              <w:t>Jul 2025: Portfolio Revenue</w:t>
              <w:br/>
              <w:t>Oct 2025+: Bundle Drive achievement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40" w:after="80"/>
        <w:ind w:left="283"/>
      </w:pPr>
      <w:r>
        <w:rPr>
          <w:i/>
          <w:color w:val="595959"/>
          <w:sz w:val="18"/>
        </w:rPr>
        <w:t>📌 The tie-break criterion has changed three times (GA → Portfolio → Bundle Drive), reflecting the channel's shifting strategic priorities over the year.</w:t>
      </w:r>
    </w:p>
    <w:p>
      <w:pPr>
        <w:spacing w:before="0" w:after="0"/>
      </w:pPr>
      <w:r>
        <w:br w:type="page"/>
      </w:r>
    </w:p>
    <w:p>
      <w:pPr>
        <w:spacing w:before="280" w:after="120"/>
        <w:pBdr>
          <w:bottom w:val="single" w:sz="6" w:space="1" w:color="2E75B6"/>
        </w:pBdr>
      </w:pPr>
      <w:r>
        <w:rPr>
          <w:b/>
          <w:color w:val="1F4E79"/>
          <w:sz w:val="28"/>
        </w:rPr>
        <w:t>Section 24: ESO Coordinator Variable KPIs</w:t>
      </w:r>
    </w:p>
    <w:p>
      <w:pPr>
        <w:spacing w:before="40" w:after="80"/>
      </w:pPr>
      <w:r>
        <w:rPr>
          <w:b w:val="0"/>
          <w:i w:val="0"/>
          <w:sz w:val="20"/>
        </w:rPr>
        <w:t>Coordinators supervise groups of ESOs and earn variable KPI commission based on team performance. Three versions of the Coordinator KPI structure exist.</w:t>
      </w:r>
    </w:p>
    <w:p>
      <w:pPr>
        <w:spacing w:before="160" w:after="120"/>
      </w:pPr>
      <w:r>
        <w:rPr>
          <w:b/>
          <w:color w:val="2E75B6"/>
          <w:sz w:val="24"/>
        </w:rPr>
        <w:t>24.1 Coordinator Variable KPI – Apr 2025 (Version 1)</w:t>
      </w:r>
    </w:p>
    <w:tbl>
      <w:tblGrid>
        <w:gridCol w:w="2800"/>
        <w:gridCol w:w="1200"/>
        <w:gridCol w:w="48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KPI Component</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Weight</w:t>
            </w:r>
          </w:p>
        </w:tc>
        <w:tc>
          <w:tcPr>
            <w:tcW w:type="dxa" w:w="47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Condition / Notes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Gross Add (GA)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GA vs. target</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Portfolio Revenue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M1–M12 portfolio target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POC Onboarding</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Revenue-tiered slabs (as Section 20)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Adtech / Mobile Ad Sales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Revenue slabs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M1+M2 ≥ 85%</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Head Count (HC)</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headcount vs. plan</w:t>
            </w:r>
          </w:p>
        </w:tc>
      </w:tr>
    </w:tbl>
    <w:p/>
    <w:p>
      <w:pPr>
        <w:spacing w:before="160" w:after="120"/>
      </w:pPr>
      <w:r>
        <w:rPr>
          <w:b/>
          <w:color w:val="2E75B6"/>
          <w:sz w:val="24"/>
        </w:rPr>
        <w:t>24.2 Coordinator Variable KPI – Apr 2025 (Version 2)</w:t>
      </w:r>
    </w:p>
    <w:p>
      <w:pPr>
        <w:spacing w:before="40" w:after="80"/>
      </w:pPr>
      <w:r>
        <w:rPr>
          <w:b w:val="0"/>
          <w:i w:val="0"/>
          <w:sz w:val="20"/>
        </w:rPr>
        <w:t>Minor wording revision to Version 1; POC slab description at the top tier adjusted. All weights and components remain identical.</w:t>
      </w:r>
    </w:p>
    <w:p>
      <w:pPr>
        <w:spacing w:before="160" w:after="120"/>
      </w:pPr>
      <w:r>
        <w:rPr>
          <w:b/>
          <w:color w:val="2E75B6"/>
          <w:sz w:val="24"/>
        </w:rPr>
        <w:t>24.3 Coordinator Variable KPI – Sep 2025</w:t>
      </w:r>
    </w:p>
    <w:tbl>
      <w:tblGrid>
        <w:gridCol w:w="2800"/>
        <w:gridCol w:w="1200"/>
        <w:gridCol w:w="48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KPI Component</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Weight</w:t>
            </w:r>
          </w:p>
        </w:tc>
        <w:tc>
          <w:tcPr>
            <w:tcW w:type="dxa" w:w="47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Condition / Notes</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Gross Add (GA)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Increased weight (was 15%)</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POC Onboarding</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10%</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Reduced weight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 Mobile Ad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Reduced weight</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Unchanged</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Head Count (HC)</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Reduced weight</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Device Sales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New component – team device target</w:t>
            </w:r>
          </w:p>
        </w:tc>
      </w:tr>
    </w:tbl>
    <w:p/>
    <w:p>
      <w:pPr>
        <w:spacing w:before="40" w:after="80"/>
        <w:ind w:left="283"/>
      </w:pPr>
      <w:r>
        <w:rPr>
          <w:i/>
          <w:color w:val="595959"/>
          <w:sz w:val="18"/>
        </w:rPr>
        <w:t>📌 Sep 2025 rebalancing: GA doubled to 30%, Device Sales added at 20%, Adtech and POC reduced to 10% each.</w:t>
      </w:r>
    </w:p>
    <w:p>
      <w:pPr>
        <w:spacing w:before="0" w:after="0"/>
      </w:pPr>
      <w:r>
        <w:br w:type="page"/>
      </w:r>
    </w:p>
    <w:p>
      <w:pPr>
        <w:spacing w:before="280" w:after="120"/>
        <w:pBdr>
          <w:bottom w:val="single" w:sz="6" w:space="1" w:color="2E75B6"/>
        </w:pBdr>
      </w:pPr>
      <w:r>
        <w:rPr>
          <w:b/>
          <w:color w:val="1F4E79"/>
          <w:sz w:val="28"/>
        </w:rPr>
        <w:t>Section 25: ESM KPI – Connectivity</w:t>
      </w:r>
    </w:p>
    <w:p>
      <w:pPr>
        <w:spacing w:before="40" w:after="80"/>
      </w:pPr>
      <w:r>
        <w:rPr>
          <w:b w:val="0"/>
          <w:i w:val="0"/>
          <w:sz w:val="20"/>
        </w:rPr>
        <w:t>Enterprise Sales Manager (ESM) KPI for connectivity/acquisition performance. Two versions exist.</w:t>
      </w:r>
    </w:p>
    <w:p>
      <w:pPr>
        <w:spacing w:before="160" w:after="120"/>
      </w:pPr>
      <w:r>
        <w:rPr>
          <w:b/>
          <w:color w:val="2E75B6"/>
          <w:sz w:val="24"/>
        </w:rPr>
        <w:t>25.1 ESM KPI Connectivity – Oct 2025 / Feb 2026</w:t>
      </w:r>
    </w:p>
    <w:tbl>
      <w:tblGrid>
        <w:gridCol w:w="2400"/>
        <w:gridCol w:w="1200"/>
        <w:gridCol w:w="2800"/>
        <w:gridCol w:w="2400"/>
      </w:tblGrid>
      <w:tblPr>
        <w:jc w:val="left"/>
        <w:tblLook w:firstColumn="1" w:firstRow="1" w:lastColumn="0" w:lastRow="0" w:noHBand="0" w:noVBand="1" w:val="04A0"/>
        <w:tblW w:w="8800" w:type="dxa"/>
      </w:tblPr>
      <w:tblGrid>
        <w:gridCol w:w="2256"/>
        <w:gridCol w:w="2256"/>
        <w:gridCol w:w="2256"/>
        <w:gridCol w:w="2256"/>
      </w:tblGrid>
      <w:tr>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Weight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Gross Add (GA)</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GA vs. target</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5,000 (at 100%)</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M1+M2 ≥ 85%</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Bundle Drive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bundle revenue target</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w:t>
            </w:r>
          </w:p>
        </w:tc>
      </w:tr>
    </w:tbl>
    <w:p/>
    <w:p>
      <w:pPr>
        <w:spacing w:before="160" w:after="120"/>
      </w:pPr>
      <w:r>
        <w:rPr>
          <w:b/>
          <w:color w:val="2E75B6"/>
          <w:sz w:val="24"/>
        </w:rPr>
        <w:t>25.2 ESM KPI Connectivity – Mar 2026 Revision</w:t>
      </w:r>
    </w:p>
    <w:tbl>
      <w:tblGrid>
        <w:gridCol w:w="2400"/>
        <w:gridCol w:w="1200"/>
        <w:gridCol w:w="2800"/>
        <w:gridCol w:w="2400"/>
      </w:tblGrid>
      <w:tblPr>
        <w:jc w:val="left"/>
        <w:tblLook w:firstColumn="1" w:firstRow="1" w:lastColumn="0" w:lastRow="0" w:noHBand="0" w:noVBand="1" w:val="04A0"/>
        <w:tblW w:w="8800" w:type="dxa"/>
      </w:tblPr>
      <w:tblGrid>
        <w:gridCol w:w="2256"/>
        <w:gridCol w:w="2256"/>
        <w:gridCol w:w="2256"/>
        <w:gridCol w:w="2256"/>
      </w:tblGrid>
      <w:tr>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Weight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Gross Add + Device Sales</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Combined GA + Device target</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5,000</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M1+M2 ≥ 85%</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ICT / IOT Products</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ICT+IOT revenue target</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w:t>
            </w:r>
          </w:p>
        </w:tc>
      </w:tr>
    </w:tbl>
    <w:p/>
    <w:p>
      <w:pPr>
        <w:spacing w:before="40" w:after="80"/>
        <w:ind w:left="283"/>
      </w:pPr>
      <w:r>
        <w:rPr>
          <w:i/>
          <w:color w:val="595959"/>
          <w:sz w:val="18"/>
        </w:rPr>
        <w:t>📌 Mar 2026 shift: Bundle Drive replaced by ICT/IOT; GA component now includes Device Sales.</w:t>
      </w:r>
    </w:p>
    <w:p>
      <w:pPr>
        <w:spacing w:before="0" w:after="0"/>
      </w:pPr>
      <w:r>
        <w:br w:type="page"/>
      </w:r>
    </w:p>
    <w:p>
      <w:pPr>
        <w:spacing w:before="280" w:after="120"/>
        <w:pBdr>
          <w:bottom w:val="single" w:sz="6" w:space="1" w:color="2E75B6"/>
        </w:pBdr>
      </w:pPr>
      <w:r>
        <w:rPr>
          <w:b/>
          <w:color w:val="1F4E79"/>
          <w:sz w:val="28"/>
        </w:rPr>
        <w:t>Section 26: ESM KPI – Adtech</w:t>
      </w:r>
    </w:p>
    <w:tbl>
      <w:tblGrid>
        <w:gridCol w:w="2400"/>
        <w:gridCol w:w="2800"/>
        <w:gridCol w:w="1800"/>
        <w:gridCol w:w="1800"/>
      </w:tblGrid>
      <w:tblPr>
        <w:jc w:val="left"/>
        <w:tblLook w:firstColumn="1" w:firstRow="1" w:lastColumn="0" w:lastRow="0" w:noHBand="0" w:noVBand="1" w:val="04A0"/>
        <w:tblW w:w="8800" w:type="dxa"/>
      </w:tblPr>
      <w:tblGrid>
        <w:gridCol w:w="2256"/>
        <w:gridCol w:w="2256"/>
        <w:gridCol w:w="2256"/>
        <w:gridCol w:w="2256"/>
      </w:tblGrid>
      <w:tr>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c>
          <w:tcPr>
            <w:tcW w:type="dxa" w:w="1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Notes</w:t>
            </w:r>
          </w:p>
        </w:tc>
      </w:tr>
      <w:tr>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 MAd Revenue</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Adtech revenue target</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7,000</w:t>
            </w:r>
          </w:p>
        </w:tc>
        <w:tc>
          <w:tcPr>
            <w:tcW w:type="dxa" w:w="225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Primary component (80% weight)</w:t>
            </w:r>
          </w:p>
        </w:tc>
      </w:tr>
      <w:tr>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ERP Group Revenue</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ERP revenue target</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3,000</w:t>
            </w:r>
          </w:p>
        </w:tc>
        <w:tc>
          <w:tcPr>
            <w:tcW w:type="dxa" w:w="2256"/>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Secondary component (20% weight)</w:t>
            </w:r>
          </w:p>
        </w:tc>
      </w:tr>
    </w:tbl>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Achievement Range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80%–200% prorated payout (same slab logic as ESO Adtech programmes).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10,000 (7,000 Adtech + 3,000 ERP) at 100%.</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0" w:after="0"/>
      </w:pPr>
      <w:r>
        <w:br w:type="page"/>
      </w:r>
    </w:p>
    <w:p>
      <w:pPr>
        <w:spacing w:before="280" w:after="120"/>
        <w:pBdr>
          <w:bottom w:val="single" w:sz="6" w:space="1" w:color="2E75B6"/>
        </w:pBdr>
      </w:pPr>
      <w:r>
        <w:rPr>
          <w:b/>
          <w:color w:val="1F4E79"/>
          <w:sz w:val="28"/>
        </w:rPr>
        <w:t>Section 27: ESM KPI – Device</w:t>
      </w:r>
    </w:p>
    <w:p>
      <w:pPr>
        <w:spacing w:before="40" w:after="80"/>
      </w:pPr>
      <w:r>
        <w:rPr>
          <w:b w:val="0"/>
          <w:i w:val="0"/>
          <w:sz w:val="20"/>
        </w:rPr>
        <w:t>ESM device KPI covers team-level hardware sales and multi-month repurchase performance.</w:t>
      </w:r>
    </w:p>
    <w:tbl>
      <w:tblGrid>
        <w:gridCol w:w="2800"/>
        <w:gridCol w:w="3200"/>
        <w:gridCol w:w="28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3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Device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device volume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6,000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M1 Device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90% of M1 devices repurchased</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4,000 (portion)</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M2 Device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85% of M2 devices repurchased</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included</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M3 Device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80% of M3 devices repurchased</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included</w:t>
            </w:r>
          </w:p>
        </w:tc>
      </w:tr>
    </w:tbl>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10,000 (6,000 device + 4,000 repurchase combined).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Repurchase Split</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M1: 90% target, M2: 85% target, M3: 80% target – each contributes to the combined 4,000 Tk repurchase component.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w:t>
            </w:r>
          </w:p>
        </w:tc>
      </w:tr>
    </w:tbl>
    <w:p/>
    <w:p>
      <w:pPr>
        <w:spacing w:before="0" w:after="0"/>
      </w:pPr>
      <w:r>
        <w:br w:type="page"/>
      </w:r>
    </w:p>
    <w:p>
      <w:pPr>
        <w:spacing w:before="280" w:after="120"/>
        <w:pBdr>
          <w:bottom w:val="single" w:sz="6" w:space="1" w:color="2E75B6"/>
        </w:pBdr>
      </w:pPr>
      <w:r>
        <w:rPr>
          <w:b/>
          <w:color w:val="1F4E79"/>
          <w:sz w:val="28"/>
        </w:rPr>
        <w:t>Section 28: ESO Coordinator KPI (Specialist – Oct 2025 / Mar 2026)</w:t>
      </w:r>
    </w:p>
    <w:p>
      <w:pPr>
        <w:spacing w:before="40" w:after="80"/>
      </w:pPr>
      <w:r>
        <w:rPr>
          <w:b w:val="0"/>
          <w:i w:val="0"/>
          <w:sz w:val="20"/>
        </w:rPr>
        <w:t>From Oct 2025, Coordinators managing specialist ESO teams (Adtech, Device) have dedicated KPIs separate from the general Variable KPI.</w:t>
      </w:r>
    </w:p>
    <w:p>
      <w:pPr>
        <w:spacing w:before="160" w:after="120"/>
      </w:pPr>
      <w:r>
        <w:rPr>
          <w:b/>
          <w:color w:val="2E75B6"/>
          <w:sz w:val="24"/>
        </w:rPr>
        <w:t>28.1 Coordinator KPI – Connectivity (Oct 2025)</w:t>
      </w:r>
    </w:p>
    <w:tbl>
      <w:tblGrid>
        <w:gridCol w:w="2800"/>
        <w:gridCol w:w="2800"/>
        <w:gridCol w:w="24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Weight / Target</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GA</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Core metric</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Part of 7,000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POC Onboarding</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Revenue-slab based</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Part of 7,000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Hisabkhata + Insurance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Qty/revenue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Part of 7,000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Head Count (HC)</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Team HC vs. plan</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Part of 7,000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M1+M2 ≥ 85%</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w:t>
            </w:r>
          </w:p>
        </w:tc>
      </w:tr>
    </w:tbl>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 (Oct 2025)</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7,000 (Connectivity) + BDT 3,000 (Survival) = BDT 10,000</w:t>
            </w:r>
          </w:p>
        </w:tc>
      </w:tr>
    </w:tbl>
    <w:p/>
    <w:p>
      <w:pPr>
        <w:spacing w:before="160" w:after="120"/>
      </w:pPr>
      <w:r>
        <w:rPr>
          <w:b/>
          <w:color w:val="2E75B6"/>
          <w:sz w:val="24"/>
        </w:rPr>
        <w:t>28.2 Coordinator KPI – Connectivity (Mar 2026)</w:t>
      </w:r>
    </w:p>
    <w:tbl>
      <w:tblGrid>
        <w:gridCol w:w="2800"/>
        <w:gridCol w:w="2800"/>
        <w:gridCol w:w="24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GA + Device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Combined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7,000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Survival Rate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 85% M1+M2</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ICT / IOT Products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Revenue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4,000</w:t>
            </w:r>
          </w:p>
        </w:tc>
      </w:tr>
    </w:tbl>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 (Mar 2026)</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14,000</w:t>
            </w:r>
          </w:p>
        </w:tc>
      </w:tr>
    </w:tbl>
    <w:p/>
    <w:p>
      <w:pPr>
        <w:spacing w:before="160" w:after="120"/>
      </w:pPr>
      <w:r>
        <w:rPr>
          <w:b/>
          <w:color w:val="2E75B6"/>
          <w:sz w:val="24"/>
        </w:rPr>
        <w:t>28.3 Coordinator KPI – Adtech (Oct 2025)</w:t>
      </w:r>
    </w:p>
    <w:tbl>
      <w:tblGrid>
        <w:gridCol w:w="2400"/>
        <w:gridCol w:w="4000"/>
        <w:gridCol w:w="2400"/>
      </w:tblGrid>
      <w:tblPr>
        <w:jc w:val="left"/>
        <w:tblLook w:firstColumn="1" w:firstRow="1" w:lastColumn="0" w:lastRow="0" w:noHBand="0" w:noVBand="1" w:val="04A0"/>
        <w:tblW w:w="8800" w:type="dxa"/>
      </w:tblPr>
      <w:tblGrid>
        <w:gridCol w:w="3009"/>
        <w:gridCol w:w="3009"/>
        <w:gridCol w:w="3009"/>
      </w:tblGrid>
      <w:tr>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3999"/>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Achievement Gate</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 MAd Revenue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 80% → BDT 8,000</w:t>
              <w:br/>
              <w:t>≥ 121% → BDT 10,000</w:t>
              <w:br/>
              <w:t>≥ 150% → BDT 12,000</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8,000–12,000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ERP Solutions</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Minimum BDT 20,000 revenue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Part of Adtech slab</w:t>
            </w:r>
          </w:p>
        </w:tc>
      </w:tr>
    </w:tbl>
    <w:p/>
    <w:p>
      <w:pPr>
        <w:spacing w:before="160" w:after="120"/>
      </w:pPr>
      <w:r>
        <w:rPr>
          <w:b/>
          <w:color w:val="2E75B6"/>
          <w:sz w:val="24"/>
        </w:rPr>
        <w:t>28.4 Coordinator KPI – Device (Oct 2025)</w:t>
      </w:r>
    </w:p>
    <w:tbl>
      <w:tblGrid>
        <w:gridCol w:w="2800"/>
        <w:gridCol w:w="2800"/>
        <w:gridCol w:w="2400"/>
      </w:tblGrid>
      <w:tblPr>
        <w:jc w:val="left"/>
        <w:tblLook w:firstColumn="1" w:firstRow="1" w:lastColumn="0" w:lastRow="0" w:noHBand="0" w:noVBand="1" w:val="04A0"/>
        <w:tblW w:w="8800" w:type="dxa"/>
      </w:tblPr>
      <w:tblGrid>
        <w:gridCol w:w="3009"/>
        <w:gridCol w:w="3009"/>
        <w:gridCol w:w="3009"/>
      </w:tblGrid>
      <w:tr>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Component</w:t>
            </w:r>
          </w:p>
        </w:tc>
        <w:tc>
          <w:tcPr>
            <w:tcW w:type="dxa" w:w="28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Target</w:t>
            </w:r>
          </w:p>
        </w:tc>
        <w:tc>
          <w:tcPr>
            <w:tcW w:type="dxa" w:w="2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Payout (BDT)</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Team Device Sales</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Volume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6,000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M1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90% target</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2,500</w:t>
            </w:r>
          </w:p>
        </w:tc>
      </w:tr>
      <w:tr>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M2 Repurchase</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85% target</w:t>
            </w:r>
          </w:p>
        </w:tc>
        <w:tc>
          <w:tcPr>
            <w:tcW w:type="dxa" w:w="300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1,500</w:t>
            </w:r>
          </w:p>
        </w:tc>
      </w:tr>
      <w:tr>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M3 Repurchase</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80% target</w:t>
            </w:r>
          </w:p>
        </w:tc>
        <w:tc>
          <w:tcPr>
            <w:tcW w:type="dxa" w:w="3009"/>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w:t>
            </w:r>
          </w:p>
        </w:tc>
      </w:tr>
    </w:tbl>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Total Payout (Device KPI)</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BDT 6,000 (Device) + BDT 6,000 (M1+M2+M3 Repurchase) = BDT 12,000</w:t>
            </w:r>
          </w:p>
        </w:tc>
      </w:tr>
    </w:tbl>
    <w:p/>
    <w:p>
      <w:pPr>
        <w:spacing w:before="0" w:after="0"/>
      </w:pPr>
      <w:r>
        <w:br w:type="page"/>
      </w:r>
    </w:p>
    <w:p>
      <w:pPr>
        <w:spacing w:before="280" w:after="120"/>
        <w:pBdr>
          <w:bottom w:val="single" w:sz="6" w:space="1" w:color="2E75B6"/>
        </w:pBdr>
      </w:pPr>
      <w:r>
        <w:rPr>
          <w:b/>
          <w:color w:val="1F4E79"/>
          <w:sz w:val="28"/>
        </w:rPr>
        <w:t>Section 29: Universal General Conditions</w:t>
      </w:r>
    </w:p>
    <w:p>
      <w:pPr>
        <w:spacing w:before="40" w:after="80"/>
      </w:pPr>
      <w:r>
        <w:rPr>
          <w:b w:val="0"/>
          <w:i w:val="0"/>
          <w:sz w:val="20"/>
        </w:rPr>
        <w:t>The following conditions appear consistently across virtually all 70 SRFs and govern eligibility for all commission programmes unless a specific SRF states otherwise.</w:t>
      </w:r>
    </w:p>
    <w:tbl>
      <w:tblGrid>
        <w:gridCol w:w="3200"/>
        <w:gridCol w:w="5600"/>
      </w:tblGrid>
      <w:tblPr>
        <w:jc w:val="left"/>
        <w:tblLook w:firstColumn="1" w:firstRow="1" w:lastColumn="0" w:lastRow="0" w:noHBand="0" w:noVBand="1" w:val="04A0"/>
        <w:tblW w:w="8800" w:type="dxa"/>
      </w:tblPr>
      <w:tblGrid>
        <w:gridCol w:w="4513"/>
        <w:gridCol w:w="4513"/>
      </w:tblGrid>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Activation Reference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FCD (First Call Date) during the promotion period. FAD or TABS as secondary references.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SAF DMS Post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Must be posted within 7 days of connection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SAF Vetting Date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Must be vetted by 14th of the month following activation.</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Valid Recharge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I-TOP UP only. OTF recharges excluded unless specifically included.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Disconnection Cutoff</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T-5: connections disconnected before T-5 of report generation date are excluded.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Lifting / Issue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N/A for most SME SRFs; where applicable, activation must occur within 180 days of lifting.</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Data Maturity</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T+1 days (report published the day after the reporting date).</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 Scope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All EquipIDs and Service Classes listed in Section 1.3 unless otherwise specified.</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Salescom to EV</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Yes – all reports are shared to EV (External Validation) system.</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Input Data Sources</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IT SC (Sales Commissioning), IT BI, DWH (Data Warehouse), DMS, POS.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Report Channel</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Disbursement reports (standard), with a Daily frequency for most programmes.</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Technical Build</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In-House IT development.</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Recipient Description</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SME Direct BDO / ESO (top-up seller category).</w:t>
            </w:r>
          </w:p>
        </w:tc>
      </w:tr>
      <w:tr>
        <w:tc>
          <w:tcPr>
            <w:tcW w:type="dxa" w:w="3200"/>
            <w:shd w:val="clear" w:color="auto" w:fill="D6E4F0"/>
            <w:tcBorders>
              <w:top w:val="single" w:sz="4" w:space="0" w:color="CCCCCC"/>
              <w:left w:val="single" w:sz="4" w:space="0" w:color="CCCCCC"/>
              <w:bottom w:val="single" w:sz="4" w:space="0" w:color="CCCCCC"/>
              <w:right w:val="single" w:sz="4" w:space="0" w:color="CCCCCC"/>
            </w:tcBorders>
          </w:tcPr>
          <w:p>
            <w:r>
              <w:rPr>
                <w:b/>
                <w:sz w:val="18"/>
              </w:rPr>
              <w:t>Product Type</w:t>
            </w:r>
          </w:p>
        </w:tc>
        <w:tc>
          <w:tcPr>
            <w:tcW w:type="dxa" w:w="5600"/>
            <w:shd w:val="clear" w:color="auto" w:fill="FFFFFF"/>
            <w:tcBorders>
              <w:top w:val="single" w:sz="4" w:space="0" w:color="CCCCCC"/>
              <w:left w:val="single" w:sz="4" w:space="0" w:color="CCCCCC"/>
              <w:bottom w:val="single" w:sz="4" w:space="0" w:color="CCCCCC"/>
              <w:right w:val="single" w:sz="4" w:space="0" w:color="CCCCCC"/>
            </w:tcBorders>
          </w:tcPr>
          <w:p>
            <w:r>
              <w:rPr>
                <w:sz w:val="18"/>
              </w:rPr>
              <w:t>EquipID &amp; Service Class driven (not purely prepaid or postpaid).</w:t>
            </w:r>
          </w:p>
        </w:tc>
      </w:tr>
    </w:tbl>
    <w:p/>
    <w:p>
      <w:pPr>
        <w:spacing w:before="0" w:after="0"/>
      </w:pPr>
      <w:r>
        <w:br w:type="page"/>
      </w:r>
    </w:p>
    <w:p>
      <w:pPr>
        <w:spacing w:before="280" w:after="120"/>
        <w:pBdr>
          <w:bottom w:val="single" w:sz="6" w:space="1" w:color="2E75B6"/>
        </w:pBdr>
      </w:pPr>
      <w:r>
        <w:rPr>
          <w:b/>
          <w:color w:val="1F4E79"/>
          <w:sz w:val="28"/>
        </w:rPr>
        <w:t>Appendix A: Campaign Quick Reference Matrix</w:t>
      </w:r>
    </w:p>
    <w:p>
      <w:pPr>
        <w:spacing w:before="40" w:after="80"/>
      </w:pPr>
      <w:r>
        <w:rPr>
          <w:b w:val="0"/>
          <w:i w:val="0"/>
          <w:sz w:val="20"/>
        </w:rPr>
        <w:t>All 70 SRFs indexed by programme name, recipient, effective date, payout, and document section reference.</w:t>
      </w:r>
    </w:p>
    <w:tbl>
      <w:tblGrid>
        <w:gridCol w:w="400"/>
        <w:gridCol w:w="3400"/>
        <w:gridCol w:w="1200"/>
        <w:gridCol w:w="900"/>
        <w:gridCol w:w="1200"/>
        <w:gridCol w:w="700"/>
      </w:tblGrid>
      <w:tblPr>
        <w:jc w:val="left"/>
        <w:tblLook w:firstColumn="1" w:firstRow="1" w:lastColumn="0" w:lastRow="0" w:noHBand="0" w:noVBand="1" w:val="04A0"/>
        <w:tblW w:w="8800" w:type="dxa"/>
      </w:tblPr>
      <w:tblGrid>
        <w:gridCol w:w="1504"/>
        <w:gridCol w:w="1504"/>
        <w:gridCol w:w="1504"/>
        <w:gridCol w:w="1504"/>
        <w:gridCol w:w="1504"/>
        <w:gridCol w:w="1504"/>
      </w:tblGrid>
      <w:tr>
        <w:tc>
          <w:tcPr>
            <w:tcW w:type="dxa" w:w="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w:t>
            </w:r>
          </w:p>
        </w:tc>
        <w:tc>
          <w:tcPr>
            <w:tcW w:type="dxa" w:w="34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Campaign / SRF Title</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Recipient</w:t>
            </w:r>
          </w:p>
        </w:tc>
        <w:tc>
          <w:tcPr>
            <w:tcW w:type="dxa" w:w="9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Eff. Date</w:t>
            </w:r>
          </w:p>
        </w:tc>
        <w:tc>
          <w:tcPr>
            <w:tcW w:type="dxa" w:w="12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Max Payout</w:t>
            </w:r>
          </w:p>
        </w:tc>
        <w:tc>
          <w:tcPr>
            <w:tcW w:type="dxa" w:w="700"/>
            <w:shd w:val="clear" w:color="auto" w:fill="1F4E79"/>
            <w:tcBorders>
              <w:top w:val="single" w:sz="4" w:space="0" w:color="FFFFFF"/>
              <w:left w:val="single" w:sz="4" w:space="0" w:color="FFFFFF"/>
              <w:bottom w:val="single" w:sz="4" w:space="0" w:color="FFFFFF"/>
              <w:right w:val="single" w:sz="4" w:space="0" w:color="FFFFFF"/>
            </w:tcBorders>
          </w:tcPr>
          <w:p>
            <w:pPr>
              <w:jc w:val="center"/>
            </w:pPr>
            <w:r>
              <w:rPr>
                <w:b/>
                <w:color w:val="FFFFFF"/>
                <w:sz w:val="18"/>
              </w:rPr>
              <w:t>Section</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GA Commission (Apr25 base)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ARPU Enhancement GA</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Jul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Additional</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4</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Survival Rate – Apr25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5.1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Survival Rate – Oct25 Revision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5.2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M1 Booster Campaign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Jul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6</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Device Sales KPI – Apr25/Jul25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7.1</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Device Sales KPI – Sep25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Sep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7.2</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8</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Device Sales KPI – Feb26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7.3</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Device KPI – Mar26 (TECHVAN+)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8,000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7.4</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10</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Device ESOs KPI – Oct25 Multi-Category</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Device ESO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20,600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8</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Portfolio Revenue Commission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3,500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9</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Adtech Campaign – Apr25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4,500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10.1</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Campaign – Jul25 Revision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Jul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4,500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10.2</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14</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Adtech Campaign – Q1 FY26 Extended</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 rev</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10.3</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Digital Products Campaign – Jul25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Jul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10.4</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Digital Products – Sep25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Sep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10.5</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ESOs KPI – Oct25 Specialist</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Adtech ESO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17,200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11.1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18</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 AdTech KPI – Feb26 Standalone</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 rev</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11.2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ICT Campaign – Q1–Q3 FY25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6,000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12.1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ICT Product Sales Feb26 (FFL/M-Connex/CRBT)</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12.2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IOT Product Sales – Feb26 (Safehub/Wearables)</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Other ICT Products Feb26 (ERP/DigiGO/HRIS)</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14</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Bundle Drive – Oct25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6,000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15.1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24</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Bundle Drive – Dec25/Jan26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Dec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6,000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15.2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Bundle Drive – Feb26 Growth-Based</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Feb 2026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15.3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Baby Care Bundle Daily Campaign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Dec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400 Tk/day</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16</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10-Day Productivity – Sep25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Sep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17.1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28</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5-Day Productivity – Mar26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4,500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17.2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Daily Per-GA Productivity – Jan26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Jan 2026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Variable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17.3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OTF FRC251 Commission – Jan26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Jan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51 Tk/conn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18</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FWA Router Drive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 Tk/unit</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19.1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VTS Drive</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500 Tk/unit</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19.2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TECHVAN Handset Sales – Mar26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19.3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34</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Toffee App Installation Commission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 Tk/inst</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19.4</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Insurance Product Sales Commission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2,000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19.5</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POC Account Onboarding</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20</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Winback Campaign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21.1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38</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Reactivation Campaign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Various</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2,000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21.2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CluB35 Elite Recognition</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22.1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40</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CluB50 Elite Recognition</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22.2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Performance Retention Programme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ESO/BDO</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3,000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 Variable KPI – Apr25 v1</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Variable</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24.1</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43</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 Variable KPI – Apr25 v2</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Apr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Variable</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24.2</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44</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 Variable KPI – Sep25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Sep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Variable</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24.3</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 KPI Connectivity – Oct25/Feb26</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25.1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ESM KPI Connectivity – Mar26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ESM</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10,000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25.2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47</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 KPI Adtech</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ESM</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26</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48</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ESM KPI Device</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ESM</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10,000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27</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49</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 KPI Connectivity – Oct25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10,000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28.1</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50</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 KPI Connectivity – Mar26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Mar 2026</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14,000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28.2</w:t>
            </w:r>
          </w:p>
        </w:tc>
      </w:tr>
      <w:tr>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51</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 KPI Adtech – Oct25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12,000 Tk</w:t>
            </w:r>
          </w:p>
        </w:tc>
        <w:tc>
          <w:tcPr>
            <w:tcW w:type="dxa" w:w="150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18"/>
              </w:rPr>
              <w:t>Sec. 28.3</w:t>
            </w:r>
          </w:p>
        </w:tc>
      </w:tr>
      <w:tr>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52</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 KPI Device – Oct25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Coordinator</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Oct 2025</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12,000 Tk</w:t>
            </w:r>
          </w:p>
        </w:tc>
        <w:tc>
          <w:tcPr>
            <w:tcW w:type="dxa" w:w="1504"/>
            <w:shd w:val="clear" w:color="auto" w:fill="F2F2F2"/>
            <w:tcBorders>
              <w:top w:val="single" w:sz="4" w:space="0" w:color="CCCCCC"/>
              <w:left w:val="single" w:sz="4" w:space="0" w:color="CCCCCC"/>
              <w:bottom w:val="single" w:sz="4" w:space="0" w:color="CCCCCC"/>
              <w:right w:val="single" w:sz="4" w:space="0" w:color="CCCCCC"/>
            </w:tcBorders>
          </w:tcPr>
          <w:p>
            <w:pPr>
              <w:jc w:val="left"/>
            </w:pPr>
            <w:r>
              <w:rPr>
                <w:sz w:val="18"/>
              </w:rPr>
              <w:t>Sec. 28.4</w:t>
            </w:r>
          </w:p>
        </w:tc>
      </w:tr>
    </w:tbl>
    <w:p/>
    <w:p>
      <w:pPr>
        <w:spacing w:before="40" w:after="80"/>
        <w:ind w:left="283"/>
      </w:pPr>
      <w:r>
        <w:rPr>
          <w:i/>
          <w:color w:val="595959"/>
          <w:sz w:val="18"/>
        </w:rPr>
        <w:t>📌 Total: 52 unique KPI programme entries from 70 SRFs (some SRFs cover multiple programmes; some programmes span multiple SRFs with minor revisions).</w:t>
      </w:r>
    </w:p>
    <w:sectPr w:rsidR="00FC693F" w:rsidRPr="0006063C" w:rsidSect="00034616">
      <w:pgSz w:w="11906" w:h="16838"/>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