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F4E79"/>
          <w:sz w:val="44"/>
        </w:rPr>
        <w:t>Shera Partner Campaign</w:t>
      </w:r>
    </w:p>
    <w:p>
      <w:pPr>
        <w:spacing w:before="80"/>
        <w:jc w:val="center"/>
      </w:pPr>
      <w:r>
        <w:rPr>
          <w:rFonts w:ascii="Calibri" w:hAnsi="Calibri"/>
          <w:b/>
          <w:i w:val="0"/>
          <w:color w:val="2E75B6"/>
          <w:sz w:val="36"/>
        </w:rPr>
        <w:t>Unique KPI Conditions</w:t>
      </w:r>
    </w:p>
    <w:p>
      <w:pPr>
        <w:jc w:val="center"/>
        <w:pBdr>
          <w:bottom w:val="single" w:sz="12" w:space="1" w:color="2E75B6"/>
        </w:pBdr>
        <w:spacing w:before="0" w:after="0"/>
      </w:pPr>
    </w:p>
    <w:p>
      <w:pPr>
        <w:spacing w:before="200"/>
        <w:jc w:val="center"/>
      </w:pPr>
      <w:r>
        <w:rPr>
          <w:rFonts w:ascii="Calibri" w:hAnsi="Calibri"/>
          <w:b w:val="0"/>
          <w:i/>
          <w:color w:val="595959"/>
          <w:sz w:val="21"/>
        </w:rPr>
        <w:t>Banglalink – Distributor Shera Partner | 7 SRFs | Mar 2025 – Aug 2025</w:t>
      </w:r>
    </w:p>
    <w:p/>
    <w:tbl>
      <w:tblPr>
        <w:tblLook w:firstColumn="1" w:firstRow="1" w:lastColumn="0" w:lastRow="0" w:noHBand="0" w:noVBand="1" w:val="04A0"/>
        <w:tblW w:w="8800" w:type="dxa"/>
      </w:tblPr>
      <w:tblGrid>
        <w:gridCol w:w="4513"/>
        <w:gridCol w:w="4513"/>
      </w:tblGrid>
      <w:tr>
        <w:tc>
          <w:tcPr>
            <w:shd w:val="clear" w:color="auto" w:fill="1F4E79"/>
            <w:tcW w:w="2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Attribute</w:t>
            </w:r>
          </w:p>
        </w:tc>
        <w:tc>
          <w:tcPr>
            <w:shd w:val="clear" w:color="auto" w:fill="1F4E79"/>
            <w:tcW w:w="6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Detail</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Coverage Period</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March 2025 – August 2025</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Total SRFs Covered</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7 Service Request Forms</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Channel</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Distributors (DH/DD)</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Requester Dept.</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Channel Planning</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KPIs Covered</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EV Secondary (C2C), SC Primary, Recharge, All Bundles, GA Excl. DRC, Retail SCR, RSO Productivity</w:t>
            </w:r>
          </w:p>
        </w:tc>
      </w:tr>
      <w:tr>
        <w:tc>
          <w:tcPr>
            <w:shd w:val="clear" w:color="auto" w:fill="D6E4F0"/>
            <w:tcW w:w="2600" w:type="dxa"/>
            <w:tcMar>
              <w:top w:w="60" w:type="dxa"/>
              <w:bottom w:w="60" w:type="dxa"/>
              <w:left w:w="100" w:type="dxa"/>
              <w:right w:w="100" w:type="dxa"/>
            </w:tcMar>
            <w:vAlign w:val="center"/>
          </w:tcPr>
          <w:p>
            <w:pPr>
              <w:jc w:val="left"/>
              <w:spacing w:before="0" w:after="0"/>
            </w:pPr>
            <w:r>
              <w:rPr>
                <w:rFonts w:ascii="Calibri" w:hAnsi="Calibri"/>
                <w:b/>
                <w:i w:val="0"/>
                <w:sz w:val="20"/>
              </w:rPr>
              <w:t>Document Purpose</w:t>
            </w:r>
          </w:p>
        </w:tc>
        <w:tc>
          <w:tcPr>
            <w:shd w:val="clear" w:color="auto" w:fill="D6E4F0"/>
            <w:tcW w:w="6200" w:type="dxa"/>
            <w:tcMar>
              <w:top w:w="60" w:type="dxa"/>
              <w:bottom w:w="60" w:type="dxa"/>
              <w:left w:w="100" w:type="dxa"/>
              <w:right w:w="100" w:type="dxa"/>
            </w:tcMar>
            <w:vAlign w:val="center"/>
          </w:tcPr>
          <w:p>
            <w:pPr>
              <w:jc w:val="left"/>
              <w:spacing w:before="0" w:after="0"/>
            </w:pPr>
            <w:r>
              <w:rPr>
                <w:rFonts w:ascii="Calibri" w:hAnsi="Calibri"/>
                <w:b w:val="0"/>
                <w:i w:val="0"/>
                <w:sz w:val="20"/>
              </w:rPr>
              <w:t>Catalogue all unique KPI conditions across all Shera Partner SRFs</w:t>
            </w:r>
          </w:p>
        </w:tc>
      </w:tr>
    </w:tbl>
    <w:p>
      <w:pPr>
        <w:spacing w:before="0" w:after="0"/>
      </w:pPr>
      <w:r>
        <w:br w:type="page"/>
      </w:r>
    </w:p>
    <w:p>
      <w:pPr>
        <w:spacing w:before="120" w:after="240"/>
        <w:jc w:val="center"/>
      </w:pPr>
      <w:r>
        <w:rPr>
          <w:rFonts w:ascii="Calibri" w:hAnsi="Calibri"/>
          <w:b/>
          <w:i w:val="0"/>
          <w:color w:val="1F4E79"/>
          <w:sz w:val="28"/>
        </w:rPr>
        <w:t>TABLE OF CONTENTS</w:t>
      </w:r>
    </w:p>
    <w:p>
      <w:pPr>
        <w:spacing w:before="40" w:after="40"/>
      </w:pPr>
      <w:hyperlink w:anchor="sec1">
        <w:r>
          <w:rPr>
            <w:rStyle w:val="Hyperlink"/>
            <w:sz w:val="20"/>
            <w:szCs w:val="20"/>
          </w:rPr>
          <w:t>Section 1:  Overview &amp; Campaign Taxonomy</w:t>
        </w:r>
      </w:hyperlink>
    </w:p>
    <w:p>
      <w:pPr>
        <w:spacing w:before="40" w:after="40"/>
      </w:pPr>
      <w:hyperlink w:anchor="sec2">
        <w:r>
          <w:rPr>
            <w:rStyle w:val="Hyperlink"/>
            <w:sz w:val="20"/>
            <w:szCs w:val="20"/>
          </w:rPr>
          <w:t>Section 2:  KPI Structure &amp; Weightages</w:t>
        </w:r>
      </w:hyperlink>
    </w:p>
    <w:p>
      <w:pPr>
        <w:spacing w:before="40" w:after="40"/>
      </w:pPr>
      <w:hyperlink w:anchor="sec3">
        <w:r>
          <w:rPr>
            <w:rStyle w:val="Hyperlink"/>
            <w:sz w:val="20"/>
            <w:szCs w:val="20"/>
          </w:rPr>
          <w:t>Section 3:  Dual Assessment Mechanism (EV vs SC)</w:t>
        </w:r>
      </w:hyperlink>
    </w:p>
    <w:p>
      <w:pPr>
        <w:spacing w:before="40" w:after="40"/>
      </w:pPr>
      <w:hyperlink w:anchor="sec4">
        <w:r>
          <w:rPr>
            <w:rStyle w:val="Hyperlink"/>
            <w:sz w:val="20"/>
            <w:szCs w:val="20"/>
          </w:rPr>
          <w:t>Section 4:  Individual KPI Evaluation – Recharge Failure Fallback</w:t>
        </w:r>
      </w:hyperlink>
    </w:p>
    <w:p>
      <w:pPr>
        <w:spacing w:before="40" w:after="40"/>
      </w:pPr>
      <w:hyperlink w:anchor="sec5">
        <w:r>
          <w:rPr>
            <w:rStyle w:val="Hyperlink"/>
            <w:sz w:val="20"/>
            <w:szCs w:val="20"/>
          </w:rPr>
          <w:t>Section 5:  GA (Gross Add) Conditions</w:t>
        </w:r>
      </w:hyperlink>
    </w:p>
    <w:p>
      <w:pPr>
        <w:spacing w:before="40" w:after="40"/>
      </w:pPr>
      <w:hyperlink w:anchor="sec6">
        <w:r>
          <w:rPr>
            <w:rStyle w:val="Hyperlink"/>
            <w:sz w:val="20"/>
            <w:szCs w:val="20"/>
          </w:rPr>
          <w:t>Section 6:  EV Secondary (C2C) Recharge Definition</w:t>
        </w:r>
      </w:hyperlink>
    </w:p>
    <w:p>
      <w:pPr>
        <w:spacing w:before="40" w:after="40"/>
      </w:pPr>
      <w:hyperlink w:anchor="sec7">
        <w:r>
          <w:rPr>
            <w:rStyle w:val="Hyperlink"/>
            <w:sz w:val="20"/>
            <w:szCs w:val="20"/>
          </w:rPr>
          <w:t>Section 7:  SC Primary (Lifting) Definition</w:t>
        </w:r>
      </w:hyperlink>
    </w:p>
    <w:p>
      <w:pPr>
        <w:spacing w:before="40" w:after="40"/>
      </w:pPr>
      <w:hyperlink w:anchor="sec8">
        <w:r>
          <w:rPr>
            <w:rStyle w:val="Hyperlink"/>
            <w:sz w:val="20"/>
            <w:szCs w:val="20"/>
          </w:rPr>
          <w:t>Section 8:  Bundle (C2S) Conditions</w:t>
        </w:r>
      </w:hyperlink>
    </w:p>
    <w:p>
      <w:pPr>
        <w:spacing w:before="40" w:after="40"/>
      </w:pPr>
      <w:hyperlink w:anchor="sec9">
        <w:r>
          <w:rPr>
            <w:rStyle w:val="Hyperlink"/>
            <w:sz w:val="20"/>
            <w:szCs w:val="20"/>
          </w:rPr>
          <w:t>Section 9:  Retail SCR Condition</w:t>
        </w:r>
      </w:hyperlink>
    </w:p>
    <w:p>
      <w:pPr>
        <w:spacing w:before="40" w:after="40"/>
      </w:pPr>
      <w:hyperlink w:anchor="sec10">
        <w:r>
          <w:rPr>
            <w:rStyle w:val="Hyperlink"/>
            <w:sz w:val="20"/>
            <w:szCs w:val="20"/>
          </w:rPr>
          <w:t>Section 10:  RSO Productivity Condition</w:t>
        </w:r>
      </w:hyperlink>
    </w:p>
    <w:p>
      <w:pPr>
        <w:spacing w:before="40" w:after="40"/>
      </w:pPr>
      <w:hyperlink w:anchor="sec11">
        <w:r>
          <w:rPr>
            <w:rStyle w:val="Hyperlink"/>
            <w:sz w:val="20"/>
            <w:szCs w:val="20"/>
          </w:rPr>
          <w:t>Section 11:  FF GA Participation Rules (Jul25)</w:t>
        </w:r>
      </w:hyperlink>
    </w:p>
    <w:p>
      <w:pPr>
        <w:spacing w:before="40" w:after="40"/>
      </w:pPr>
      <w:hyperlink w:anchor="sec12">
        <w:r>
          <w:rPr>
            <w:rStyle w:val="Hyperlink"/>
            <w:sz w:val="20"/>
            <w:szCs w:val="20"/>
          </w:rPr>
          <w:t>Section 12:  Cluster-Specific Campaign Modalities</w:t>
        </w:r>
      </w:hyperlink>
    </w:p>
    <w:p>
      <w:pPr>
        <w:spacing w:before="40" w:after="40"/>
      </w:pPr>
      <w:hyperlink w:anchor="sec13">
        <w:r>
          <w:rPr>
            <w:rStyle w:val="Hyperlink"/>
            <w:sz w:val="20"/>
            <w:szCs w:val="20"/>
          </w:rPr>
          <w:t>Section 13:  Universal General Conditions</w:t>
        </w:r>
      </w:hyperlink>
    </w:p>
    <w:p>
      <w:pPr>
        <w:spacing w:before="40" w:after="40"/>
      </w:pPr>
      <w:hyperlink w:anchor="sec14">
        <w:r>
          <w:rPr>
            <w:rStyle w:val="Hyperlink"/>
            <w:sz w:val="20"/>
            <w:szCs w:val="20"/>
          </w:rPr>
          <w:t>Section 14:  Maturity Date &amp; Data Source Variations</w:t>
        </w:r>
      </w:hyperlink>
    </w:p>
    <w:p>
      <w:pPr>
        <w:spacing w:before="40" w:after="40"/>
      </w:pPr>
      <w:hyperlink w:anchor="appA">
        <w:r>
          <w:rPr>
            <w:rStyle w:val="Hyperlink"/>
            <w:sz w:val="20"/>
            <w:szCs w:val="20"/>
          </w:rPr>
          <w:t>Section A:  Appendix A – Month-by-Month Variation Matrix</w:t>
        </w:r>
      </w:hyperlink>
    </w:p>
    <w:p>
      <w:pPr>
        <w:spacing w:before="0" w:after="0"/>
      </w:pPr>
      <w:r>
        <w:br w:type="page"/>
      </w:r>
    </w:p>
    <w:p>
      <w:bookmarkStart w:id="1" w:name="sec1"/>
      <w:pPr>
        <w:spacing w:before="240" w:after="80"/>
        <w:shd w:val="clear" w:color="auto" w:fill="1F4E79"/>
        <w:ind w:left="120"/>
      </w:pPr>
      <w:r>
        <w:rPr>
          <w:rFonts w:ascii="Calibri" w:hAnsi="Calibri"/>
          <w:b/>
          <w:i w:val="0"/>
          <w:color w:val="FFFFFF"/>
          <w:sz w:val="28"/>
        </w:rPr>
        <w:t>Section 1: Overview &amp; Campaign Taxonomy</w:t>
      </w:r>
      <w:bookmarkEnd w:id="1"/>
    </w:p>
    <w:p>
      <w:pPr>
        <w:spacing w:before="20" w:after="60"/>
      </w:pPr>
      <w:r>
        <w:rPr>
          <w:rFonts w:ascii="Calibri" w:hAnsi="Calibri"/>
          <w:b w:val="0"/>
          <w:i w:val="0"/>
          <w:sz w:val="21"/>
        </w:rPr>
        <w:t>The Shera Partner Campaign is a monthly distributor incentive program run by Banglalink's Channel Planning department. It rewards Distributor Houses (DHs/DDs) for multi-dimensional performance across seven KPI dimensions. Targets, weightages, and budget are shared by the B2C team per DH via separate Excel files.</w:t>
      </w:r>
    </w:p>
    <w:p>
      <w:pPr>
        <w:spacing w:before="120" w:after="80"/>
        <w:pBdr>
          <w:bottom w:val="single" w:sz="6" w:space="1" w:color="2E75B6"/>
        </w:pBdr>
      </w:pPr>
      <w:r>
        <w:rPr>
          <w:rFonts w:ascii="Calibri" w:hAnsi="Calibri"/>
          <w:b/>
          <w:i w:val="0"/>
          <w:color w:val="1F4E79"/>
          <w:sz w:val="24"/>
        </w:rPr>
        <w:t>1.1 SRF Summary</w:t>
      </w:r>
    </w:p>
    <w:tbl>
      <w:tblPr>
        <w:tblLook w:firstColumn="1" w:firstRow="1" w:lastColumn="0" w:lastRow="0" w:noHBand="0" w:noVBand="1" w:val="04A0"/>
        <w:tblW w:w="9200" w:type="dxa"/>
      </w:tblPr>
      <w:tblGrid>
        <w:gridCol w:w="1504"/>
        <w:gridCol w:w="1504"/>
        <w:gridCol w:w="1504"/>
        <w:gridCol w:w="1504"/>
        <w:gridCol w:w="1504"/>
        <w:gridCol w:w="1504"/>
      </w:tblGrid>
      <w:tr>
        <w:tc>
          <w:tcPr>
            <w:shd w:val="clear" w:color="auto" w:fill="1F4E79"/>
            <w:tcW w:w="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SRF Title</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Period</w:t>
            </w:r>
          </w:p>
        </w:tc>
        <w:tc>
          <w:tcPr>
            <w:shd w:val="clear" w:color="auto" w:fill="1F4E79"/>
            <w:tcW w:w="15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Cluster Split</w:t>
            </w:r>
          </w:p>
        </w:tc>
        <w:tc>
          <w:tcPr>
            <w:shd w:val="clear" w:color="auto" w:fill="1F4E79"/>
            <w:tcW w:w="15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Recharge Fail%</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Maturity</w:t>
            </w:r>
          </w:p>
        </w:tc>
      </w:tr>
      <w:tr>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1</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Mar25</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Mar 2025</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2 clusters (non-Central vs Central+Gazipur)</w:t>
            </w:r>
          </w:p>
        </w:tc>
        <w:tc>
          <w:tcPr>
            <w:shd w:val="clear" w:color="auto" w:fill="FFFFFF"/>
            <w:tcW w:w="1500" w:type="dxa"/>
            <w:tcMar>
              <w:top w:w="60" w:type="dxa"/>
              <w:bottom w:w="60" w:type="dxa"/>
              <w:left w:w="100" w:type="dxa"/>
              <w:right w:w="100" w:type="dxa"/>
            </w:tcMar>
            <w:vAlign w:val="center"/>
          </w:tcPr>
          <w:p>
            <w:pPr>
              <w:jc w:val="center"/>
              <w:spacing w:before="0" w:after="0"/>
            </w:pPr>
            <w:r>
              <w:rPr>
                <w:rFonts w:ascii="Calibri" w:hAnsi="Calibri"/>
                <w:b w:val="0"/>
                <w:i w:val="0"/>
                <w:sz w:val="20"/>
              </w:rPr>
              <w:t>95%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r>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2</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Apr25</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Apr 2025</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Single modality</w:t>
            </w:r>
          </w:p>
        </w:tc>
        <w:tc>
          <w:tcPr>
            <w:shd w:val="clear" w:color="auto" w:fill="F2F2F2"/>
            <w:tcW w:w="1500" w:type="dxa"/>
            <w:tcMar>
              <w:top w:w="60" w:type="dxa"/>
              <w:bottom w:w="60" w:type="dxa"/>
              <w:left w:w="100" w:type="dxa"/>
              <w:right w:w="100" w:type="dxa"/>
            </w:tcMar>
            <w:vAlign w:val="center"/>
          </w:tcPr>
          <w:p>
            <w:pPr>
              <w:jc w:val="center"/>
              <w:spacing w:before="0" w:after="0"/>
            </w:pPr>
            <w:r>
              <w:rPr>
                <w:rFonts w:ascii="Calibri" w:hAnsi="Calibri"/>
                <w:b w:val="0"/>
                <w:i w:val="0"/>
                <w:sz w:val="20"/>
              </w:rPr>
              <w:t>70%</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r>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3</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May25</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May 2025</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Single modality</w:t>
            </w:r>
          </w:p>
        </w:tc>
        <w:tc>
          <w:tcPr>
            <w:shd w:val="clear" w:color="auto" w:fill="FFFFFF"/>
            <w:tcW w:w="1500" w:type="dxa"/>
            <w:tcMar>
              <w:top w:w="60" w:type="dxa"/>
              <w:bottom w:w="60" w:type="dxa"/>
              <w:left w:w="100" w:type="dxa"/>
              <w:right w:w="100" w:type="dxa"/>
            </w:tcMar>
            <w:vAlign w:val="center"/>
          </w:tcPr>
          <w:p>
            <w:pPr>
              <w:jc w:val="center"/>
              <w:spacing w:before="0" w:after="0"/>
            </w:pPr>
            <w:r>
              <w:rPr>
                <w:rFonts w:ascii="Calibri" w:hAnsi="Calibri"/>
                <w:b w:val="0"/>
                <w:i w:val="0"/>
                <w:sz w:val="20"/>
              </w:rPr>
              <w:t>70%</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3rd following month</w:t>
            </w:r>
          </w:p>
        </w:tc>
      </w:tr>
      <w:tr>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4</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GA May25</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May 2025</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GA+RSO Productivity only (no EV/SC/Bundle)</w:t>
            </w:r>
          </w:p>
        </w:tc>
        <w:tc>
          <w:tcPr>
            <w:shd w:val="clear" w:color="auto" w:fill="F2F2F2"/>
            <w:tcW w:w="1500" w:type="dxa"/>
            <w:tcMar>
              <w:top w:w="60" w:type="dxa"/>
              <w:bottom w:w="60" w:type="dxa"/>
              <w:left w:w="100" w:type="dxa"/>
              <w:right w:w="100" w:type="dxa"/>
            </w:tcMar>
            <w:vAlign w:val="center"/>
          </w:tcPr>
          <w:p>
            <w:pPr>
              <w:jc w:val="center"/>
              <w:spacing w:before="0" w:after="0"/>
            </w:pPr>
            <w:r>
              <w:rPr>
                <w:rFonts w:ascii="Calibri" w:hAnsi="Calibri"/>
                <w:b w:val="0"/>
                <w:i w:val="0"/>
                <w:sz w:val="20"/>
              </w:rPr>
              <w:t>N/A</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r>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5</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Jun25</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Jun 2025</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3 clusters (Except Cent+West / Central / West)</w:t>
            </w:r>
          </w:p>
        </w:tc>
        <w:tc>
          <w:tcPr>
            <w:shd w:val="clear" w:color="auto" w:fill="FFFFFF"/>
            <w:tcW w:w="1500" w:type="dxa"/>
            <w:tcMar>
              <w:top w:w="60" w:type="dxa"/>
              <w:bottom w:w="60" w:type="dxa"/>
              <w:left w:w="100" w:type="dxa"/>
              <w:right w:w="100" w:type="dxa"/>
            </w:tcMar>
            <w:vAlign w:val="center"/>
          </w:tcPr>
          <w:p>
            <w:pPr>
              <w:jc w:val="center"/>
              <w:spacing w:before="0" w:after="0"/>
            </w:pPr>
            <w:r>
              <w:rPr>
                <w:rFonts w:ascii="Calibri" w:hAnsi="Calibri"/>
                <w:b w:val="0"/>
                <w:i w:val="0"/>
                <w:sz w:val="20"/>
              </w:rPr>
              <w:t>95%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r>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6</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Jul25</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Jul 2025</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Single + 7 special DHs</w:t>
            </w:r>
          </w:p>
        </w:tc>
        <w:tc>
          <w:tcPr>
            <w:shd w:val="clear" w:color="auto" w:fill="F2F2F2"/>
            <w:tcW w:w="1500" w:type="dxa"/>
            <w:tcMar>
              <w:top w:w="60" w:type="dxa"/>
              <w:bottom w:w="60" w:type="dxa"/>
              <w:left w:w="100" w:type="dxa"/>
              <w:right w:w="100" w:type="dxa"/>
            </w:tcMar>
            <w:vAlign w:val="center"/>
          </w:tcPr>
          <w:p>
            <w:pPr>
              <w:jc w:val="center"/>
              <w:spacing w:before="0" w:after="0"/>
            </w:pPr>
            <w:r>
              <w:rPr>
                <w:rFonts w:ascii="Calibri" w:hAnsi="Calibri"/>
                <w:b w:val="0"/>
                <w:i w:val="0"/>
                <w:sz w:val="20"/>
              </w:rPr>
              <w:t>85%</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r>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7</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Shera Partner Aug25</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Aug 2025</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2 clusters (NE+N+E vs Central+West)</w:t>
            </w:r>
          </w:p>
        </w:tc>
        <w:tc>
          <w:tcPr>
            <w:shd w:val="clear" w:color="auto" w:fill="FFFFFF"/>
            <w:tcW w:w="1500" w:type="dxa"/>
            <w:tcMar>
              <w:top w:w="60" w:type="dxa"/>
              <w:bottom w:w="60" w:type="dxa"/>
              <w:left w:w="100" w:type="dxa"/>
              <w:right w:w="100" w:type="dxa"/>
            </w:tcMar>
            <w:vAlign w:val="center"/>
          </w:tcPr>
          <w:p>
            <w:pPr>
              <w:jc w:val="center"/>
              <w:spacing w:before="0" w:after="0"/>
            </w:pPr>
            <w:r>
              <w:rPr>
                <w:rFonts w:ascii="Calibri" w:hAnsi="Calibri"/>
                <w:b w:val="0"/>
                <w:i w:val="0"/>
                <w:sz w:val="20"/>
              </w:rPr>
              <w:t>85%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8th following month</w:t>
            </w:r>
          </w:p>
        </w:tc>
      </w:tr>
    </w:tbl>
    <w:p>
      <w:pPr>
        <w:spacing w:before="120" w:after="80"/>
        <w:pBdr>
          <w:bottom w:val="single" w:sz="6" w:space="1" w:color="2E75B6"/>
        </w:pBdr>
      </w:pPr>
      <w:r>
        <w:rPr>
          <w:rFonts w:ascii="Calibri" w:hAnsi="Calibri"/>
          <w:b/>
          <w:i w:val="0"/>
          <w:color w:val="1F4E79"/>
          <w:sz w:val="24"/>
        </w:rPr>
        <w:t>1.2 KPI Dimensions (Standard Campaign)</w:t>
      </w:r>
    </w:p>
    <w:p>
      <w:pPr>
        <w:pStyle w:val="ListBullet"/>
        <w:spacing w:before="20" w:after="40"/>
        <w:ind w:left="283"/>
      </w:pPr>
      <w:r>
        <w:rPr>
          <w:rFonts w:ascii="Calibri" w:hAnsi="Calibri"/>
          <w:b w:val="0"/>
          <w:i w:val="0"/>
          <w:sz w:val="21"/>
        </w:rPr>
        <w:t>EV Secondary (C2C) – RSO to Retailer EV recharge (R2RT + D2RT + OTF + DTR)</w:t>
      </w:r>
    </w:p>
    <w:p>
      <w:pPr>
        <w:pStyle w:val="ListBullet"/>
        <w:spacing w:before="20" w:after="40"/>
        <w:ind w:left="283"/>
      </w:pPr>
      <w:r>
        <w:rPr>
          <w:rFonts w:ascii="Calibri" w:hAnsi="Calibri"/>
          <w:b w:val="0"/>
          <w:i w:val="0"/>
          <w:sz w:val="21"/>
        </w:rPr>
        <w:t>SC Primary – SIM Card primary sales = DD lifting from BL</w:t>
      </w:r>
    </w:p>
    <w:p>
      <w:pPr>
        <w:pStyle w:val="ListBullet"/>
        <w:spacing w:before="20" w:after="40"/>
        <w:ind w:left="283"/>
      </w:pPr>
      <w:r>
        <w:rPr>
          <w:rFonts w:ascii="Calibri" w:hAnsi="Calibri"/>
          <w:b w:val="0"/>
          <w:i w:val="0"/>
          <w:sz w:val="21"/>
        </w:rPr>
        <w:t>Recharge (EV + SC combined) – Cumulative EV and SC</w:t>
      </w:r>
    </w:p>
    <w:p>
      <w:pPr>
        <w:pStyle w:val="ListBullet"/>
        <w:spacing w:before="20" w:after="40"/>
        <w:ind w:left="283"/>
      </w:pPr>
      <w:r>
        <w:rPr>
          <w:rFonts w:ascii="Calibri" w:hAnsi="Calibri"/>
          <w:b w:val="0"/>
          <w:i w:val="0"/>
          <w:sz w:val="21"/>
        </w:rPr>
        <w:t>All Bundle Sales – Data + Voice + MXB C2S (excluding SC)</w:t>
      </w:r>
    </w:p>
    <w:p>
      <w:pPr>
        <w:pStyle w:val="ListBullet"/>
        <w:spacing w:before="20" w:after="40"/>
        <w:ind w:left="283"/>
      </w:pPr>
      <w:r>
        <w:rPr>
          <w:rFonts w:ascii="Calibri" w:hAnsi="Calibri"/>
          <w:b w:val="0"/>
          <w:i w:val="0"/>
          <w:sz w:val="21"/>
        </w:rPr>
        <w:t>GA Excluding DRC – Gross Add, excluding Direct Retailer Connect (DRC)</w:t>
      </w:r>
    </w:p>
    <w:p>
      <w:pPr>
        <w:pStyle w:val="ListBullet"/>
        <w:spacing w:before="20" w:after="40"/>
        <w:ind w:left="283"/>
      </w:pPr>
      <w:r>
        <w:rPr>
          <w:rFonts w:ascii="Calibri" w:hAnsi="Calibri"/>
          <w:b w:val="0"/>
          <w:i w:val="0"/>
          <w:sz w:val="21"/>
        </w:rPr>
        <w:t>Retail SCR – Scratch Card Ratio (shared by B2C)</w:t>
      </w:r>
    </w:p>
    <w:p>
      <w:pPr>
        <w:pStyle w:val="ListBullet"/>
        <w:spacing w:before="20" w:after="40"/>
        <w:ind w:left="283"/>
      </w:pPr>
      <w:r>
        <w:rPr>
          <w:rFonts w:ascii="Calibri" w:hAnsi="Calibri"/>
          <w:b w:val="0"/>
          <w:i w:val="0"/>
          <w:sz w:val="21"/>
        </w:rPr>
        <w:t>RSO Productivity – RSO-level performance metric</w:t>
      </w:r>
    </w:p>
    <w:p>
      <w:pPr>
        <w:spacing w:before="60" w:after="60"/>
        <w:ind w:left="170"/>
        <w:shd w:val="clear" w:color="auto" w:fill="FFF2CC"/>
      </w:pPr>
      <w:r>
        <w:rPr>
          <w:rFonts w:ascii="Calibri" w:hAnsi="Calibri"/>
          <w:b w:val="0"/>
          <w:i/>
          <w:color w:val="595959"/>
          <w:sz w:val="20"/>
        </w:rPr>
        <w:t>May25 GA-only SRF covers only GA Excl. DRC and RSO Productivity — the remaining 5 KPIs are not part of that SRF.</w:t>
      </w:r>
    </w:p>
    <w:p>
      <w:pPr>
        <w:spacing w:before="0" w:after="0"/>
      </w:pPr>
      <w:r>
        <w:br w:type="page"/>
      </w:r>
    </w:p>
    <w:p>
      <w:bookmarkStart w:id="2" w:name="sec2"/>
      <w:pPr>
        <w:spacing w:before="240" w:after="80"/>
        <w:shd w:val="clear" w:color="auto" w:fill="1F4E79"/>
        <w:ind w:left="120"/>
      </w:pPr>
      <w:r>
        <w:rPr>
          <w:rFonts w:ascii="Calibri" w:hAnsi="Calibri"/>
          <w:b/>
          <w:i w:val="0"/>
          <w:color w:val="FFFFFF"/>
          <w:sz w:val="28"/>
        </w:rPr>
        <w:t>Section 2: KPI Structure &amp; Weightages</w:t>
      </w:r>
      <w:bookmarkEnd w:id="2"/>
    </w:p>
    <w:p>
      <w:pPr>
        <w:spacing w:before="20" w:after="60"/>
      </w:pPr>
      <w:r>
        <w:rPr>
          <w:rFonts w:ascii="Calibri" w:hAnsi="Calibri"/>
          <w:b w:val="0"/>
          <w:i w:val="0"/>
          <w:sz w:val="21"/>
        </w:rPr>
        <w:t>The Shera Partner campaign evaluates performance using a weighted multi-KPI structure. Exact weightages per KPI per DH are set by the B2C team and shared via Excel. However, two weightages are explicitly stated in the SRFs for the individual KPI fallback mechanism:</w:t>
      </w:r>
    </w:p>
    <w:p>
      <w:pPr>
        <w:spacing w:before="120" w:after="80"/>
        <w:pBdr>
          <w:bottom w:val="single" w:sz="6" w:space="1" w:color="2E75B6"/>
        </w:pBdr>
      </w:pPr>
      <w:r>
        <w:rPr>
          <w:rFonts w:ascii="Calibri" w:hAnsi="Calibri"/>
          <w:b/>
          <w:i w:val="0"/>
          <w:color w:val="1F4E79"/>
          <w:sz w:val="24"/>
        </w:rPr>
        <w:t>2.1 Explicitly Stated Weightages (Individual KPI Assessment)</w:t>
      </w:r>
    </w:p>
    <w:tbl>
      <w:tblPr>
        <w:tblLook w:firstColumn="1" w:firstRow="1" w:lastColumn="0" w:lastRow="0" w:noHBand="0" w:noVBand="1" w:val="04A0"/>
        <w:tblW w:w="9000" w:type="dxa"/>
      </w:tblPr>
      <w:tblGrid>
        <w:gridCol w:w="1805"/>
        <w:gridCol w:w="1805"/>
        <w:gridCol w:w="1805"/>
        <w:gridCol w:w="1805"/>
        <w:gridCol w:w="1805"/>
      </w:tblGrid>
      <w:tr>
        <w:tc>
          <w:tcPr>
            <w:shd w:val="clear" w:color="auto" w:fill="1F4E79"/>
            <w:tcW w:w="1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KPI</w:t>
            </w:r>
          </w:p>
        </w:tc>
        <w:tc>
          <w:tcPr>
            <w:shd w:val="clear" w:color="auto" w:fill="1F4E79"/>
            <w:tcW w:w="2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Mar25</w:t>
            </w:r>
          </w:p>
        </w:tc>
        <w:tc>
          <w:tcPr>
            <w:shd w:val="clear" w:color="auto" w:fill="1F4E79"/>
            <w:tcW w:w="1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Apr25</w:t>
            </w:r>
          </w:p>
        </w:tc>
        <w:tc>
          <w:tcPr>
            <w:shd w:val="clear" w:color="auto" w:fill="1F4E79"/>
            <w:tcW w:w="1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May25–Aug25</w:t>
            </w:r>
          </w:p>
        </w:tc>
        <w:tc>
          <w:tcPr>
            <w:shd w:val="clear" w:color="auto" w:fill="1F4E79"/>
            <w:tcW w:w="1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Notes</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C2C (EV Secondary)</w:t>
            </w:r>
          </w:p>
        </w:tc>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FFFFF"/>
            <w:tcW w:w="18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FFFFF"/>
            <w:tcW w:w="18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val="0"/>
                <w:i w:val="0"/>
                <w:sz w:val="20"/>
              </w:rPr>
              <w:t>Reduced from 35% to 30% from May25</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SC Primary</w:t>
            </w:r>
          </w:p>
        </w:tc>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2F2F2"/>
            <w:tcW w:w="18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2F2F2"/>
            <w:tcW w:w="18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val="0"/>
                <w:i w:val="0"/>
                <w:sz w:val="20"/>
              </w:rPr>
              <w:t>Consistent across all months</w:t>
            </w:r>
          </w:p>
        </w:tc>
      </w:tr>
    </w:tbl>
    <w:p>
      <w:pPr>
        <w:spacing w:before="20" w:after="60"/>
      </w:pPr>
      <w:r>
        <w:rPr>
          <w:rFonts w:ascii="Calibri" w:hAnsi="Calibri"/>
          <w:b w:val="0"/>
          <w:i/>
          <w:color w:val="595959"/>
          <w:sz w:val="21"/>
        </w:rPr>
        <w:t>All other KPI weightages (Bundle, GA, Retail SCR, RSO Productivity, Recharge) vary by DH and are shared by B2C team in target files.</w:t>
      </w:r>
    </w:p>
    <w:p>
      <w:pPr>
        <w:spacing w:before="120" w:after="80"/>
        <w:pBdr>
          <w:bottom w:val="single" w:sz="6" w:space="1" w:color="2E75B6"/>
        </w:pBdr>
      </w:pPr>
      <w:r>
        <w:rPr>
          <w:rFonts w:ascii="Calibri" w:hAnsi="Calibri"/>
          <w:b/>
          <w:i w:val="0"/>
          <w:color w:val="1F4E79"/>
          <w:sz w:val="24"/>
        </w:rPr>
        <w:t>2.2 General Campaign Rules</w:t>
      </w:r>
    </w:p>
    <w:p>
      <w:pPr>
        <w:pStyle w:val="ListBullet"/>
        <w:spacing w:before="20" w:after="40"/>
        <w:ind w:left="283"/>
      </w:pPr>
      <w:r>
        <w:rPr>
          <w:rFonts w:ascii="Calibri" w:hAnsi="Calibri"/>
          <w:b w:val="0"/>
          <w:i w:val="0"/>
          <w:sz w:val="21"/>
        </w:rPr>
        <w:t>KPI weightage may vary from DD to DD (individualised targets)</w:t>
      </w:r>
    </w:p>
    <w:p>
      <w:pPr>
        <w:pStyle w:val="ListBullet"/>
        <w:spacing w:before="20" w:after="40"/>
        <w:ind w:left="283"/>
      </w:pPr>
      <w:r>
        <w:rPr>
          <w:rFonts w:ascii="Calibri" w:hAnsi="Calibri"/>
          <w:b w:val="0"/>
          <w:i w:val="0"/>
          <w:sz w:val="21"/>
        </w:rPr>
        <w:t>Month-end RDB (of the respective month) is the agent reference database</w:t>
      </w:r>
    </w:p>
    <w:p>
      <w:pPr>
        <w:pStyle w:val="ListBullet"/>
        <w:spacing w:before="20" w:after="40"/>
        <w:ind w:left="283"/>
      </w:pPr>
      <w:r>
        <w:rPr>
          <w:rFonts w:ascii="Calibri" w:hAnsi="Calibri"/>
          <w:b w:val="0"/>
          <w:i w:val="0"/>
          <w:sz w:val="21"/>
        </w:rPr>
        <w:t>DH-wise budget shared by B2C team</w:t>
      </w:r>
    </w:p>
    <w:p>
      <w:pPr>
        <w:pStyle w:val="ListBullet"/>
        <w:spacing w:before="20" w:after="40"/>
        <w:ind w:left="283"/>
      </w:pPr>
      <w:r>
        <w:rPr>
          <w:rFonts w:ascii="Calibri" w:hAnsi="Calibri"/>
          <w:b w:val="0"/>
          <w:i w:val="0"/>
          <w:sz w:val="21"/>
        </w:rPr>
        <w:t>Retail SCR shared separately by B2C team</w:t>
      </w:r>
    </w:p>
    <w:p>
      <w:pPr>
        <w:pStyle w:val="ListBullet"/>
        <w:spacing w:before="20" w:after="40"/>
        <w:ind w:left="283"/>
      </w:pPr>
      <w:r>
        <w:rPr>
          <w:rFonts w:ascii="Calibri" w:hAnsi="Calibri"/>
          <w:b w:val="0"/>
          <w:i w:val="0"/>
          <w:sz w:val="21"/>
        </w:rPr>
        <w:t>Rounding: General mathematical rounding (below 0.5 rounds down; ≥0.5 rounds up)</w:t>
      </w:r>
    </w:p>
    <w:p>
      <w:pPr>
        <w:spacing w:before="0" w:after="0"/>
      </w:pPr>
      <w:r>
        <w:br w:type="page"/>
      </w:r>
    </w:p>
    <w:p>
      <w:bookmarkStart w:id="3" w:name="sec3"/>
      <w:pPr>
        <w:spacing w:before="240" w:after="80"/>
        <w:shd w:val="clear" w:color="auto" w:fill="1F4E79"/>
        <w:ind w:left="120"/>
      </w:pPr>
      <w:r>
        <w:rPr>
          <w:rFonts w:ascii="Calibri" w:hAnsi="Calibri"/>
          <w:b/>
          <w:i w:val="0"/>
          <w:color w:val="FFFFFF"/>
          <w:sz w:val="28"/>
        </w:rPr>
        <w:t>Section 3: Dual Assessment Mechanism (EV vs SC)</w:t>
      </w:r>
      <w:bookmarkEnd w:id="3"/>
    </w:p>
    <w:p>
      <w:pPr>
        <w:spacing w:before="20" w:after="60"/>
      </w:pPr>
      <w:r>
        <w:rPr>
          <w:rFonts w:ascii="Calibri" w:hAnsi="Calibri"/>
          <w:b w:val="0"/>
          <w:i w:val="0"/>
          <w:sz w:val="21"/>
        </w:rPr>
        <w:t>A key and unique feature of the Shera Partner campaign: EV Secondary and SC Primary are evaluated both separately and cumulatively for every DH. The DH receives the higher payout from the two methods.</w:t>
      </w:r>
    </w:p>
    <w:p>
      <w:pPr>
        <w:spacing w:before="120" w:after="80"/>
        <w:pBdr>
          <w:bottom w:val="single" w:sz="6" w:space="1" w:color="2E75B6"/>
        </w:pBdr>
      </w:pPr>
      <w:r>
        <w:rPr>
          <w:rFonts w:ascii="Calibri" w:hAnsi="Calibri"/>
          <w:b/>
          <w:i w:val="0"/>
          <w:color w:val="1F4E79"/>
          <w:sz w:val="24"/>
        </w:rPr>
        <w:t>3.1 How Dual Assessment Works</w:t>
      </w:r>
    </w:p>
    <w:tbl>
      <w:tblPr>
        <w:tblLook w:firstColumn="1" w:firstRow="1" w:lastColumn="0" w:lastRow="0" w:noHBand="0" w:noVBand="1" w:val="04A0"/>
        <w:tblW w:w="9000" w:type="dxa"/>
      </w:tblPr>
      <w:tblGrid>
        <w:gridCol w:w="3009"/>
        <w:gridCol w:w="3009"/>
        <w:gridCol w:w="3009"/>
      </w:tblGrid>
      <w:tr>
        <w:tc>
          <w:tcPr>
            <w:shd w:val="clear" w:color="auto" w:fill="1F4E79"/>
            <w:tcW w:w="9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Step</w:t>
            </w:r>
          </w:p>
        </w:tc>
        <w:tc>
          <w:tcPr>
            <w:shd w:val="clear" w:color="auto" w:fill="1F4E79"/>
            <w:tcW w:w="35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Assessment Method</w:t>
            </w:r>
          </w:p>
        </w:tc>
        <w:tc>
          <w:tcPr>
            <w:shd w:val="clear" w:color="auto" w:fill="1F4E79"/>
            <w:tcW w:w="4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Outcome</w:t>
            </w:r>
          </w:p>
        </w:tc>
      </w:tr>
      <w:tr>
        <w:tc>
          <w:tcPr>
            <w:shd w:val="clear" w:color="auto" w:fill="FFFFFF"/>
            <w:tcW w:w="900" w:type="dxa"/>
            <w:tcMar>
              <w:top w:w="60" w:type="dxa"/>
              <w:bottom w:w="60" w:type="dxa"/>
              <w:left w:w="100" w:type="dxa"/>
              <w:right w:w="100" w:type="dxa"/>
            </w:tcMar>
            <w:vAlign w:val="center"/>
          </w:tcPr>
          <w:p>
            <w:pPr>
              <w:jc w:val="center"/>
              <w:spacing w:before="0" w:after="0"/>
            </w:pPr>
            <w:r>
              <w:rPr>
                <w:rFonts w:ascii="Calibri" w:hAnsi="Calibri"/>
                <w:b w:val="0"/>
                <w:i w:val="0"/>
                <w:sz w:val="20"/>
              </w:rPr>
              <w:t>1</w:t>
            </w:r>
          </w:p>
        </w:tc>
        <w:tc>
          <w:tcPr>
            <w:shd w:val="clear" w:color="auto" w:fill="FFFFFF"/>
            <w:tcW w:w="3500" w:type="dxa"/>
            <w:tcMar>
              <w:top w:w="60" w:type="dxa"/>
              <w:bottom w:w="60" w:type="dxa"/>
              <w:left w:w="100" w:type="dxa"/>
              <w:right w:w="100" w:type="dxa"/>
            </w:tcMar>
            <w:vAlign w:val="center"/>
          </w:tcPr>
          <w:p>
            <w:pPr>
              <w:jc w:val="left"/>
              <w:spacing w:before="0" w:after="0"/>
            </w:pPr>
            <w:r>
              <w:rPr>
                <w:rFonts w:ascii="Calibri" w:hAnsi="Calibri"/>
                <w:b w:val="0"/>
                <w:i w:val="0"/>
                <w:sz w:val="20"/>
              </w:rPr>
              <w:t>Cumulative Assessment: EV + SC combined performance against combined target</w:t>
            </w:r>
          </w:p>
        </w:tc>
        <w:tc>
          <w:tcPr>
            <w:shd w:val="clear" w:color="auto" w:fill="FFFFFF"/>
            <w:tcW w:w="4600" w:type="dxa"/>
            <w:tcMar>
              <w:top w:w="60" w:type="dxa"/>
              <w:bottom w:w="60" w:type="dxa"/>
              <w:left w:w="100" w:type="dxa"/>
              <w:right w:w="100" w:type="dxa"/>
            </w:tcMar>
            <w:vAlign w:val="center"/>
          </w:tcPr>
          <w:p>
            <w:pPr>
              <w:jc w:val="left"/>
              <w:spacing w:before="0" w:after="0"/>
            </w:pPr>
            <w:r>
              <w:rPr>
                <w:rFonts w:ascii="Calibri" w:hAnsi="Calibri"/>
                <w:b w:val="0"/>
                <w:i w:val="0"/>
                <w:sz w:val="20"/>
              </w:rPr>
              <w:t>Earn incentive based on combined achievement (e.g., BDT 10K)</w:t>
            </w:r>
          </w:p>
        </w:tc>
      </w:tr>
      <w:tr>
        <w:tc>
          <w:tcPr>
            <w:shd w:val="clear" w:color="auto" w:fill="F2F2F2"/>
            <w:tcW w:w="900" w:type="dxa"/>
            <w:tcMar>
              <w:top w:w="60" w:type="dxa"/>
              <w:bottom w:w="60" w:type="dxa"/>
              <w:left w:w="100" w:type="dxa"/>
              <w:right w:w="100" w:type="dxa"/>
            </w:tcMar>
            <w:vAlign w:val="center"/>
          </w:tcPr>
          <w:p>
            <w:pPr>
              <w:jc w:val="center"/>
              <w:spacing w:before="0" w:after="0"/>
            </w:pPr>
            <w:r>
              <w:rPr>
                <w:rFonts w:ascii="Calibri" w:hAnsi="Calibri"/>
                <w:b w:val="0"/>
                <w:i w:val="0"/>
                <w:sz w:val="20"/>
              </w:rPr>
              <w:t>2</w:t>
            </w:r>
          </w:p>
        </w:tc>
        <w:tc>
          <w:tcPr>
            <w:shd w:val="clear" w:color="auto" w:fill="F2F2F2"/>
            <w:tcW w:w="3500" w:type="dxa"/>
            <w:tcMar>
              <w:top w:w="60" w:type="dxa"/>
              <w:bottom w:w="60" w:type="dxa"/>
              <w:left w:w="100" w:type="dxa"/>
              <w:right w:w="100" w:type="dxa"/>
            </w:tcMar>
            <w:vAlign w:val="center"/>
          </w:tcPr>
          <w:p>
            <w:pPr>
              <w:jc w:val="left"/>
              <w:spacing w:before="0" w:after="0"/>
            </w:pPr>
            <w:r>
              <w:rPr>
                <w:rFonts w:ascii="Calibri" w:hAnsi="Calibri"/>
                <w:b w:val="0"/>
                <w:i w:val="0"/>
                <w:sz w:val="20"/>
              </w:rPr>
              <w:t>Separate Assessment: EV and SC individually against their respective targets</w:t>
            </w:r>
          </w:p>
        </w:tc>
        <w:tc>
          <w:tcPr>
            <w:shd w:val="clear" w:color="auto" w:fill="F2F2F2"/>
            <w:tcW w:w="4600" w:type="dxa"/>
            <w:tcMar>
              <w:top w:w="60" w:type="dxa"/>
              <w:bottom w:w="60" w:type="dxa"/>
              <w:left w:w="100" w:type="dxa"/>
              <w:right w:w="100" w:type="dxa"/>
            </w:tcMar>
            <w:vAlign w:val="center"/>
          </w:tcPr>
          <w:p>
            <w:pPr>
              <w:jc w:val="left"/>
              <w:spacing w:before="0" w:after="0"/>
            </w:pPr>
            <w:r>
              <w:rPr>
                <w:rFonts w:ascii="Calibri" w:hAnsi="Calibri"/>
                <w:b w:val="0"/>
                <w:i w:val="0"/>
                <w:sz w:val="20"/>
              </w:rPr>
              <w:t>Earn incentive based on separate achievement (e.g., BDT 15K)</w:t>
            </w:r>
          </w:p>
        </w:tc>
      </w:tr>
      <w:tr>
        <w:tc>
          <w:tcPr>
            <w:shd w:val="clear" w:color="auto" w:fill="FFFFFF"/>
            <w:tcW w:w="900" w:type="dxa"/>
            <w:tcMar>
              <w:top w:w="60" w:type="dxa"/>
              <w:bottom w:w="60" w:type="dxa"/>
              <w:left w:w="100" w:type="dxa"/>
              <w:right w:w="100" w:type="dxa"/>
            </w:tcMar>
            <w:vAlign w:val="center"/>
          </w:tcPr>
          <w:p>
            <w:pPr>
              <w:jc w:val="center"/>
              <w:spacing w:before="0" w:after="0"/>
            </w:pPr>
            <w:r>
              <w:rPr>
                <w:rFonts w:ascii="Calibri" w:hAnsi="Calibri"/>
                <w:b w:val="0"/>
                <w:i w:val="0"/>
                <w:sz w:val="20"/>
              </w:rPr>
              <w:t>3</w:t>
            </w:r>
          </w:p>
        </w:tc>
        <w:tc>
          <w:tcPr>
            <w:shd w:val="clear" w:color="auto" w:fill="FFFFFF"/>
            <w:tcW w:w="3500" w:type="dxa"/>
            <w:tcMar>
              <w:top w:w="60" w:type="dxa"/>
              <w:bottom w:w="60" w:type="dxa"/>
              <w:left w:w="100" w:type="dxa"/>
              <w:right w:w="100" w:type="dxa"/>
            </w:tcMar>
            <w:vAlign w:val="center"/>
          </w:tcPr>
          <w:p>
            <w:pPr>
              <w:jc w:val="left"/>
              <w:spacing w:before="0" w:after="0"/>
            </w:pPr>
            <w:r>
              <w:rPr>
                <w:rFonts w:ascii="Calibri" w:hAnsi="Calibri"/>
                <w:b w:val="0"/>
                <w:i w:val="0"/>
                <w:sz w:val="20"/>
              </w:rPr>
              <w:t>Final Award: Compare both amounts</w:t>
            </w:r>
          </w:p>
        </w:tc>
        <w:tc>
          <w:tcPr>
            <w:shd w:val="clear" w:color="auto" w:fill="FFFFFF"/>
            <w:tcW w:w="4600" w:type="dxa"/>
            <w:tcMar>
              <w:top w:w="60" w:type="dxa"/>
              <w:bottom w:w="60" w:type="dxa"/>
              <w:left w:w="100" w:type="dxa"/>
              <w:right w:w="100" w:type="dxa"/>
            </w:tcMar>
            <w:vAlign w:val="center"/>
          </w:tcPr>
          <w:p>
            <w:pPr>
              <w:jc w:val="left"/>
              <w:spacing w:before="0" w:after="0"/>
            </w:pPr>
            <w:r>
              <w:rPr>
                <w:rFonts w:ascii="Calibri" w:hAnsi="Calibri"/>
                <w:b w:val="0"/>
                <w:i w:val="0"/>
                <w:sz w:val="20"/>
              </w:rPr>
              <w:t>DH is paid the higher amount (BDT 15K in the example)</w:t>
            </w:r>
          </w:p>
        </w:tc>
      </w:tr>
    </w:tbl>
    <w:p>
      <w:pPr>
        <w:spacing w:before="60" w:after="60"/>
        <w:ind w:left="170"/>
        <w:shd w:val="clear" w:color="auto" w:fill="E2EFDA"/>
      </w:pPr>
      <w:r>
        <w:rPr>
          <w:rFonts w:ascii="Calibri" w:hAnsi="Calibri"/>
          <w:b w:val="0"/>
          <w:i/>
          <w:color w:val="595959"/>
          <w:sz w:val="20"/>
        </w:rPr>
        <w:t>EXAMPLE from SRFs: If a DH earns BDT 10K for cumulative assessment and BDT 15K for separate assessment, the DH is paid BDT 15K (the higher amount). This mechanism ensures DHs are never penalised for strong single-KPI performance.</w:t>
      </w:r>
    </w:p>
    <w:p>
      <w:pPr>
        <w:pStyle w:val="ListBullet"/>
        <w:spacing w:before="20" w:after="40"/>
        <w:ind w:left="283"/>
      </w:pPr>
      <w:r>
        <w:rPr>
          <w:rFonts w:ascii="Calibri" w:hAnsi="Calibri"/>
          <w:b w:val="0"/>
          <w:i w:val="0"/>
          <w:sz w:val="21"/>
        </w:rPr>
        <w:t>This dual assessment applies consistently across ALL months (Mar25–Aug25) for the full Shera Partner campaign</w:t>
      </w:r>
    </w:p>
    <w:p>
      <w:pPr>
        <w:pStyle w:val="ListBullet"/>
        <w:spacing w:before="20" w:after="40"/>
        <w:ind w:left="283"/>
      </w:pPr>
      <w:r>
        <w:rPr>
          <w:rFonts w:ascii="Calibri" w:hAnsi="Calibri"/>
          <w:b w:val="0"/>
          <w:i w:val="0"/>
          <w:sz w:val="21"/>
        </w:rPr>
        <w:t>The May25 GA-only SRF does not have EV/SC, so dual assessment is not applicable there</w:t>
      </w:r>
    </w:p>
    <w:p>
      <w:pPr>
        <w:spacing w:before="0" w:after="0"/>
      </w:pPr>
      <w:r>
        <w:br w:type="page"/>
      </w:r>
    </w:p>
    <w:p>
      <w:bookmarkStart w:id="4" w:name="sec4"/>
      <w:pPr>
        <w:spacing w:before="240" w:after="80"/>
        <w:shd w:val="clear" w:color="auto" w:fill="1F4E79"/>
        <w:ind w:left="120"/>
      </w:pPr>
      <w:r>
        <w:rPr>
          <w:rFonts w:ascii="Calibri" w:hAnsi="Calibri"/>
          <w:b/>
          <w:i w:val="0"/>
          <w:color w:val="FFFFFF"/>
          <w:sz w:val="28"/>
        </w:rPr>
        <w:t>Section 4: Individual KPI Evaluation – Recharge Failure Fallback</w:t>
      </w:r>
      <w:bookmarkEnd w:id="4"/>
    </w:p>
    <w:p>
      <w:pPr>
        <w:spacing w:before="20" w:after="60"/>
      </w:pPr>
      <w:r>
        <w:rPr>
          <w:rFonts w:ascii="Calibri" w:hAnsi="Calibri"/>
          <w:b w:val="0"/>
          <w:i w:val="0"/>
          <w:sz w:val="21"/>
        </w:rPr>
        <w:t>When a DH fails to achieve the minimum Recharge target threshold, the normal combined assessment is bypassed and EV (C2C) and SC are individually evaluated using fixed weightages. This is the most varied condition across SRFs.</w:t>
      </w:r>
    </w:p>
    <w:p>
      <w:pPr>
        <w:spacing w:before="120" w:after="80"/>
        <w:pBdr>
          <w:bottom w:val="single" w:sz="6" w:space="1" w:color="2E75B6"/>
        </w:pBdr>
      </w:pPr>
      <w:r>
        <w:rPr>
          <w:rFonts w:ascii="Calibri" w:hAnsi="Calibri"/>
          <w:b/>
          <w:i w:val="0"/>
          <w:color w:val="1F4E79"/>
          <w:sz w:val="24"/>
        </w:rPr>
        <w:t>4.1 Trigger Thresholds by Month</w:t>
      </w:r>
    </w:p>
    <w:tbl>
      <w:tblPr>
        <w:tblLook w:firstColumn="1" w:firstRow="1" w:lastColumn="0" w:lastRow="0" w:noHBand="0" w:noVBand="1" w:val="04A0"/>
        <w:tblW w:w="9000" w:type="dxa"/>
      </w:tblPr>
      <w:tblGrid>
        <w:gridCol w:w="2256"/>
        <w:gridCol w:w="2256"/>
        <w:gridCol w:w="2256"/>
        <w:gridCol w:w="2256"/>
      </w:tblGrid>
      <w:tr>
        <w:tc>
          <w:tcPr>
            <w:shd w:val="clear" w:color="auto" w:fill="1F4E79"/>
            <w:tcW w:w="14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Month</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Recharge Fail Trigger</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C2C Weightage</w:t>
            </w:r>
          </w:p>
        </w:tc>
        <w:tc>
          <w:tcPr>
            <w:shd w:val="clear" w:color="auto" w:fill="1F4E79"/>
            <w:tcW w:w="3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SC Weightage</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Mar25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95% of Recharge target</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FFFFF"/>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Apr25</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70% of Recharge target</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2F2F2"/>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May25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70% of Recharge target</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30% (changed from 35%)</w:t>
            </w:r>
          </w:p>
        </w:tc>
        <w:tc>
          <w:tcPr>
            <w:shd w:val="clear" w:color="auto" w:fill="FFFFFF"/>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Jun25</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95% of Recharge target</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2F2F2"/>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Jul25</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85% of Recharge target</w:t>
            </w:r>
          </w:p>
        </w:tc>
        <w:tc>
          <w:tcPr>
            <w:shd w:val="clear" w:color="auto" w:fill="FFFFFF"/>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FFFFF"/>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Aug25</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&lt; 85% of Recharge target</w:t>
            </w:r>
          </w:p>
        </w:tc>
        <w:tc>
          <w:tcPr>
            <w:shd w:val="clear" w:color="auto" w:fill="F2F2F2"/>
            <w:tcW w:w="22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2F2F2"/>
            <w:tcW w:w="3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r>
    </w:tbl>
    <w:p>
      <w:pPr>
        <w:spacing w:before="60" w:after="60"/>
        <w:ind w:left="170"/>
        <w:shd w:val="clear" w:color="auto" w:fill="FFF2CC"/>
      </w:pPr>
      <w:r>
        <w:rPr>
          <w:rFonts w:ascii="Calibri" w:hAnsi="Calibri"/>
          <w:b w:val="0"/>
          <w:i/>
          <w:color w:val="595959"/>
          <w:sz w:val="20"/>
        </w:rPr>
        <w:t>KEY EVOLUTION: The recharge fail trigger changed across months: 95% (Mar) → 70% (Apr/May) → 95% (Jun) → 85% (Jul/Aug). The C2C weightage dropped from 35% to 30% from May25. SC weightage stayed at 10% throughout.</w:t>
      </w:r>
    </w:p>
    <w:p>
      <w:pPr>
        <w:spacing w:before="120" w:after="80"/>
        <w:pBdr>
          <w:bottom w:val="single" w:sz="6" w:space="1" w:color="2E75B6"/>
        </w:pBdr>
      </w:pPr>
      <w:r>
        <w:rPr>
          <w:rFonts w:ascii="Calibri" w:hAnsi="Calibri"/>
          <w:b/>
          <w:i w:val="0"/>
          <w:color w:val="1F4E79"/>
          <w:sz w:val="24"/>
        </w:rPr>
        <w:t>4.2 Individual KPI Assessment Rules</w:t>
      </w:r>
    </w:p>
    <w:p>
      <w:pPr>
        <w:spacing w:before="20" w:after="60"/>
      </w:pPr>
      <w:r>
        <w:rPr>
          <w:rFonts w:ascii="Calibri" w:hAnsi="Calibri"/>
          <w:b/>
          <w:i w:val="0"/>
          <w:sz w:val="21"/>
        </w:rPr>
        <w:t>When individual KPI assessment is triggered, BOTH of the following must be true to earn individual KPI payout:</w:t>
      </w:r>
    </w:p>
    <w:p>
      <w:pPr>
        <w:pStyle w:val="ListBullet"/>
        <w:spacing w:before="20" w:after="40"/>
        <w:ind w:left="283"/>
      </w:pPr>
      <w:r>
        <w:rPr>
          <w:rFonts w:ascii="Calibri" w:hAnsi="Calibri"/>
          <w:b w:val="0"/>
          <w:i w:val="0"/>
          <w:sz w:val="21"/>
        </w:rPr>
        <w:t>The DH must achieve 100% of the specific KPI's target (C2C OR SC – whichever is being claimed)</w:t>
      </w:r>
    </w:p>
    <w:p>
      <w:pPr>
        <w:pStyle w:val="ListBullet"/>
        <w:spacing w:before="20" w:after="40"/>
        <w:ind w:left="283"/>
      </w:pPr>
      <w:r>
        <w:rPr>
          <w:rFonts w:ascii="Calibri" w:hAnsi="Calibri"/>
          <w:b w:val="0"/>
          <w:i w:val="0"/>
          <w:sz w:val="21"/>
        </w:rPr>
        <w:t>The DH must also achieve a minimum cross-achievement percentage of the OTHER KPI</w:t>
      </w:r>
    </w:p>
    <w:p>
      <w:pPr>
        <w:spacing w:before="120" w:after="80"/>
        <w:pBdr>
          <w:bottom w:val="single" w:sz="6" w:space="1" w:color="2E75B6"/>
        </w:pBdr>
      </w:pPr>
      <w:r>
        <w:rPr>
          <w:rFonts w:ascii="Calibri" w:hAnsi="Calibri"/>
          <w:b/>
          <w:i w:val="0"/>
          <w:color w:val="1F4E79"/>
          <w:sz w:val="24"/>
        </w:rPr>
        <w:t>4.3 Minimum Cross-Achievement Requirement by Month</w:t>
      </w:r>
    </w:p>
    <w:tbl>
      <w:tblPr>
        <w:tblLook w:firstColumn="1" w:firstRow="1" w:lastColumn="0" w:lastRow="0" w:noHBand="0" w:noVBand="1" w:val="04A0"/>
        <w:tblW w:w="9200" w:type="dxa"/>
      </w:tblPr>
      <w:tblGrid>
        <w:gridCol w:w="2256"/>
        <w:gridCol w:w="2256"/>
        <w:gridCol w:w="2256"/>
        <w:gridCol w:w="2256"/>
      </w:tblGrid>
      <w:tr>
        <w:tc>
          <w:tcPr>
            <w:shd w:val="clear" w:color="auto" w:fill="1F4E79"/>
            <w:tcW w:w="14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Month</w:t>
            </w:r>
          </w:p>
        </w:tc>
        <w:tc>
          <w:tcPr>
            <w:shd w:val="clear" w:color="auto" w:fill="1F4E79"/>
            <w:tcW w:w="2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For C2C KPI (need SC%)</w:t>
            </w:r>
          </w:p>
        </w:tc>
        <w:tc>
          <w:tcPr>
            <w:shd w:val="clear" w:color="auto" w:fill="1F4E79"/>
            <w:tcW w:w="2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For SC KPI (need C2C%)</w:t>
            </w:r>
          </w:p>
        </w:tc>
        <w:tc>
          <w:tcPr>
            <w:shd w:val="clear" w:color="auto" w:fill="1F4E79"/>
            <w:tcW w:w="2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Notes</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Mar25</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90%</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90%</w:t>
            </w:r>
          </w:p>
        </w:tc>
        <w:tc>
          <w:tcPr>
            <w:shd w:val="clear" w:color="auto" w:fill="FFFFFF"/>
            <w:tcW w:w="2600" w:type="dxa"/>
            <w:tcMar>
              <w:top w:w="60" w:type="dxa"/>
              <w:bottom w:w="60" w:type="dxa"/>
              <w:left w:w="100" w:type="dxa"/>
              <w:right w:w="100" w:type="dxa"/>
            </w:tcMar>
            <w:vAlign w:val="center"/>
          </w:tcPr>
          <w:p>
            <w:pPr>
              <w:jc w:val="left"/>
              <w:spacing w:before="0" w:after="0"/>
            </w:pPr>
            <w:r>
              <w:rPr>
                <w:rFonts w:ascii="Calibri" w:hAnsi="Calibri"/>
                <w:b w:val="0"/>
                <w:i w:val="0"/>
                <w:sz w:val="20"/>
              </w:rPr>
              <w:t>Symmetric: same % for both</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Apr25</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70%</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70%</w:t>
            </w:r>
          </w:p>
        </w:tc>
        <w:tc>
          <w:tcPr>
            <w:shd w:val="clear" w:color="auto" w:fill="F2F2F2"/>
            <w:tcW w:w="2600" w:type="dxa"/>
            <w:tcMar>
              <w:top w:w="60" w:type="dxa"/>
              <w:bottom w:w="60" w:type="dxa"/>
              <w:left w:w="100" w:type="dxa"/>
              <w:right w:w="100" w:type="dxa"/>
            </w:tcMar>
            <w:vAlign w:val="center"/>
          </w:tcPr>
          <w:p>
            <w:pPr>
              <w:jc w:val="left"/>
              <w:spacing w:before="0" w:after="0"/>
            </w:pPr>
            <w:r>
              <w:rPr>
                <w:rFonts w:ascii="Calibri" w:hAnsi="Calibri"/>
                <w:b w:val="0"/>
                <w:i w:val="0"/>
                <w:sz w:val="20"/>
              </w:rPr>
              <w:t>Symmetric: same % for both</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May25</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85%</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85%</w:t>
            </w:r>
          </w:p>
        </w:tc>
        <w:tc>
          <w:tcPr>
            <w:shd w:val="clear" w:color="auto" w:fill="FFFFFF"/>
            <w:tcW w:w="2600" w:type="dxa"/>
            <w:tcMar>
              <w:top w:w="60" w:type="dxa"/>
              <w:bottom w:w="60" w:type="dxa"/>
              <w:left w:w="100" w:type="dxa"/>
              <w:right w:w="100" w:type="dxa"/>
            </w:tcMar>
            <w:vAlign w:val="center"/>
          </w:tcPr>
          <w:p>
            <w:pPr>
              <w:jc w:val="left"/>
              <w:spacing w:before="0" w:after="0"/>
            </w:pPr>
            <w:r>
              <w:rPr>
                <w:rFonts w:ascii="Calibri" w:hAnsi="Calibri"/>
                <w:b w:val="0"/>
                <w:i w:val="0"/>
                <w:sz w:val="20"/>
              </w:rPr>
              <w:t>Raised from Apr25 70% to 85%</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Jun25</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85%</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85%</w:t>
            </w:r>
          </w:p>
        </w:tc>
        <w:tc>
          <w:tcPr>
            <w:shd w:val="clear" w:color="auto" w:fill="F2F2F2"/>
            <w:tcW w:w="2600" w:type="dxa"/>
            <w:tcMar>
              <w:top w:w="60" w:type="dxa"/>
              <w:bottom w:w="60" w:type="dxa"/>
              <w:left w:w="100" w:type="dxa"/>
              <w:right w:w="100" w:type="dxa"/>
            </w:tcMar>
            <w:vAlign w:val="center"/>
          </w:tcPr>
          <w:p>
            <w:pPr>
              <w:jc w:val="left"/>
              <w:spacing w:before="0" w:after="0"/>
            </w:pPr>
            <w:r>
              <w:rPr>
                <w:rFonts w:ascii="Calibri" w:hAnsi="Calibri"/>
                <w:b w:val="0"/>
                <w:i w:val="0"/>
                <w:sz w:val="20"/>
              </w:rPr>
              <w:t>Same as May25</w:t>
            </w:r>
          </w:p>
        </w:tc>
      </w:tr>
      <w:tr>
        <w:tc>
          <w:tcPr>
            <w:shd w:val="clear" w:color="auto" w:fill="FFFFFF"/>
            <w:tcW w:w="1400" w:type="dxa"/>
            <w:tcMar>
              <w:top w:w="60" w:type="dxa"/>
              <w:bottom w:w="60" w:type="dxa"/>
              <w:left w:w="100" w:type="dxa"/>
              <w:right w:w="100" w:type="dxa"/>
            </w:tcMar>
            <w:vAlign w:val="center"/>
          </w:tcPr>
          <w:p>
            <w:pPr>
              <w:jc w:val="left"/>
              <w:spacing w:before="0" w:after="0"/>
            </w:pPr>
            <w:r>
              <w:rPr>
                <w:rFonts w:ascii="Calibri" w:hAnsi="Calibri"/>
                <w:b/>
                <w:i w:val="0"/>
                <w:sz w:val="20"/>
              </w:rPr>
              <w:t>Jul25</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80%</w:t>
            </w:r>
          </w:p>
        </w:tc>
        <w:tc>
          <w:tcPr>
            <w:shd w:val="clear" w:color="auto" w:fill="FFFFFF"/>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80%</w:t>
            </w:r>
          </w:p>
        </w:tc>
        <w:tc>
          <w:tcPr>
            <w:shd w:val="clear" w:color="auto" w:fill="FFFFFF"/>
            <w:tcW w:w="2600" w:type="dxa"/>
            <w:tcMar>
              <w:top w:w="60" w:type="dxa"/>
              <w:bottom w:w="60" w:type="dxa"/>
              <w:left w:w="100" w:type="dxa"/>
              <w:right w:w="100" w:type="dxa"/>
            </w:tcMar>
            <w:vAlign w:val="center"/>
          </w:tcPr>
          <w:p>
            <w:pPr>
              <w:jc w:val="left"/>
              <w:spacing w:before="0" w:after="0"/>
            </w:pPr>
            <w:r>
              <w:rPr>
                <w:rFonts w:ascii="Calibri" w:hAnsi="Calibri"/>
                <w:b w:val="0"/>
                <w:i w:val="0"/>
                <w:sz w:val="20"/>
              </w:rPr>
              <w:t>Slightly relaxed from Jun25 85%</w:t>
            </w:r>
          </w:p>
        </w:tc>
      </w:tr>
      <w:tr>
        <w:tc>
          <w:tcPr>
            <w:shd w:val="clear" w:color="auto" w:fill="F2F2F2"/>
            <w:tcW w:w="1400" w:type="dxa"/>
            <w:tcMar>
              <w:top w:w="60" w:type="dxa"/>
              <w:bottom w:w="60" w:type="dxa"/>
              <w:left w:w="100" w:type="dxa"/>
              <w:right w:w="100" w:type="dxa"/>
            </w:tcMar>
            <w:vAlign w:val="center"/>
          </w:tcPr>
          <w:p>
            <w:pPr>
              <w:jc w:val="left"/>
              <w:spacing w:before="0" w:after="0"/>
            </w:pPr>
            <w:r>
              <w:rPr>
                <w:rFonts w:ascii="Calibri" w:hAnsi="Calibri"/>
                <w:b/>
                <w:i w:val="0"/>
                <w:sz w:val="20"/>
              </w:rPr>
              <w:t>Aug25</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SC ≥ 75%</w:t>
            </w:r>
          </w:p>
        </w:tc>
        <w:tc>
          <w:tcPr>
            <w:shd w:val="clear" w:color="auto" w:fill="F2F2F2"/>
            <w:tcW w:w="2600" w:type="dxa"/>
            <w:tcMar>
              <w:top w:w="60" w:type="dxa"/>
              <w:bottom w:w="60" w:type="dxa"/>
              <w:left w:w="100" w:type="dxa"/>
              <w:right w:w="100" w:type="dxa"/>
            </w:tcMar>
            <w:vAlign w:val="center"/>
          </w:tcPr>
          <w:p>
            <w:pPr>
              <w:jc w:val="center"/>
              <w:spacing w:before="0" w:after="0"/>
            </w:pPr>
            <w:r>
              <w:rPr>
                <w:rFonts w:ascii="Calibri" w:hAnsi="Calibri"/>
                <w:b w:val="0"/>
                <w:i w:val="0"/>
                <w:sz w:val="20"/>
              </w:rPr>
              <w:t>C2C ≥ 75%</w:t>
            </w:r>
          </w:p>
        </w:tc>
        <w:tc>
          <w:tcPr>
            <w:shd w:val="clear" w:color="auto" w:fill="F2F2F2"/>
            <w:tcW w:w="2600" w:type="dxa"/>
            <w:tcMar>
              <w:top w:w="60" w:type="dxa"/>
              <w:bottom w:w="60" w:type="dxa"/>
              <w:left w:w="100" w:type="dxa"/>
              <w:right w:w="100" w:type="dxa"/>
            </w:tcMar>
            <w:vAlign w:val="center"/>
          </w:tcPr>
          <w:p>
            <w:pPr>
              <w:jc w:val="left"/>
              <w:spacing w:before="0" w:after="0"/>
            </w:pPr>
            <w:r>
              <w:rPr>
                <w:rFonts w:ascii="Calibri" w:hAnsi="Calibri"/>
                <w:b w:val="0"/>
                <w:i w:val="0"/>
                <w:sz w:val="20"/>
              </w:rPr>
              <w:t>Further relaxed from Jul25 80%</w:t>
            </w:r>
          </w:p>
        </w:tc>
      </w:tr>
    </w:tbl>
    <w:p>
      <w:pPr>
        <w:spacing w:before="120" w:after="80"/>
        <w:pBdr>
          <w:bottom w:val="single" w:sz="6" w:space="1" w:color="2E75B6"/>
        </w:pBdr>
      </w:pPr>
      <w:r>
        <w:rPr>
          <w:rFonts w:ascii="Calibri" w:hAnsi="Calibri"/>
          <w:b/>
          <w:i w:val="0"/>
          <w:color w:val="1F4E79"/>
          <w:sz w:val="24"/>
        </w:rPr>
        <w:t>4.4 Illustrated Examples (from SRFs)</w:t>
      </w:r>
    </w:p>
    <w:p>
      <w:pPr>
        <w:spacing w:before="20" w:after="60"/>
      </w:pPr>
      <w:r>
        <w:rPr>
          <w:rFonts w:ascii="Calibri" w:hAnsi="Calibri"/>
          <w:b/>
          <w:i w:val="0"/>
          <w:sz w:val="21"/>
        </w:rPr>
        <w:t>Mar25 Example (95% recharge threshold; 90% cross-achievement needed):</w:t>
      </w:r>
    </w:p>
    <w:tbl>
      <w:tblPr>
        <w:tblLook w:firstColumn="1" w:firstRow="1" w:lastColumn="0" w:lastRow="0" w:noHBand="0" w:noVBand="1" w:val="04A0"/>
        <w:tblW w:w="9200" w:type="dxa"/>
      </w:tblPr>
      <w:tblGrid>
        <w:gridCol w:w="1289"/>
        <w:gridCol w:w="1289"/>
        <w:gridCol w:w="1289"/>
        <w:gridCol w:w="1289"/>
        <w:gridCol w:w="1289"/>
        <w:gridCol w:w="1289"/>
        <w:gridCol w:w="1289"/>
      </w:tblGrid>
      <w:tr>
        <w:tc>
          <w:tcPr>
            <w:shd w:val="clear" w:color="auto" w:fill="1F4E79"/>
            <w:tcW w:w="7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DH</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C2C Tgt</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C2C Ach%</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SC Tgt</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SC Ach%</w:t>
            </w:r>
          </w:p>
        </w:tc>
        <w:tc>
          <w:tcPr>
            <w:shd w:val="clear" w:color="auto" w:fill="1F4E79"/>
            <w:tcW w:w="15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Eligible Slab</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Reason</w:t>
            </w:r>
          </w:p>
        </w:tc>
      </w:tr>
      <w:tr>
        <w:tc>
          <w:tcPr>
            <w:shd w:val="clear" w:color="auto" w:fill="FFFFFF"/>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90%</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100% C2C KPI (35%)</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C2C 100% &amp; SC ≥ 90% → eligible</w:t>
            </w:r>
          </w:p>
        </w:tc>
      </w:tr>
      <w:tr>
        <w:tc>
          <w:tcPr>
            <w:shd w:val="clear" w:color="auto" w:fill="F2F2F2"/>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50%</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Not eligible</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C2C 100% but SC &lt; 90%</w:t>
            </w:r>
          </w:p>
        </w:tc>
      </w:tr>
      <w:tr>
        <w:tc>
          <w:tcPr>
            <w:shd w:val="clear" w:color="auto" w:fill="FFFFFF"/>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90%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100% SC KPI (10%)</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SC 100% &amp; C2C ≥ 90% → eligible</w:t>
            </w:r>
          </w:p>
        </w:tc>
      </w:tr>
      <w:tr>
        <w:tc>
          <w:tcPr>
            <w:shd w:val="clear" w:color="auto" w:fill="F2F2F2"/>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85%</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Not eligible</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SC 100% but C2C &lt; 90%</w:t>
            </w:r>
          </w:p>
        </w:tc>
      </w:tr>
    </w:tbl>
    <w:p>
      <w:pPr>
        <w:spacing w:before="20" w:after="60"/>
      </w:pPr>
      <w:r>
        <w:rPr>
          <w:rFonts w:ascii="Calibri" w:hAnsi="Calibri"/>
          <w:b/>
          <w:i w:val="0"/>
          <w:sz w:val="21"/>
        </w:rPr>
        <w:t>Aug25 Example (85% recharge threshold; 75% cross-achievement needed):</w:t>
      </w:r>
    </w:p>
    <w:tbl>
      <w:tblPr>
        <w:tblLook w:firstColumn="1" w:firstRow="1" w:lastColumn="0" w:lastRow="0" w:noHBand="0" w:noVBand="1" w:val="04A0"/>
        <w:tblW w:w="9200" w:type="dxa"/>
      </w:tblPr>
      <w:tblGrid>
        <w:gridCol w:w="1289"/>
        <w:gridCol w:w="1289"/>
        <w:gridCol w:w="1289"/>
        <w:gridCol w:w="1289"/>
        <w:gridCol w:w="1289"/>
        <w:gridCol w:w="1289"/>
        <w:gridCol w:w="1289"/>
      </w:tblGrid>
      <w:tr>
        <w:tc>
          <w:tcPr>
            <w:shd w:val="clear" w:color="auto" w:fill="1F4E79"/>
            <w:tcW w:w="7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DH</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C2C Tgt</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C2C Ach%</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SC Tgt</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SC Ach%</w:t>
            </w:r>
          </w:p>
        </w:tc>
        <w:tc>
          <w:tcPr>
            <w:shd w:val="clear" w:color="auto" w:fill="1F4E79"/>
            <w:tcW w:w="15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Eligible Slab</w:t>
            </w:r>
          </w:p>
        </w:tc>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Reason</w:t>
            </w:r>
          </w:p>
        </w:tc>
      </w:tr>
      <w:tr>
        <w:tc>
          <w:tcPr>
            <w:shd w:val="clear" w:color="auto" w:fill="FFFFFF"/>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75%</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100% C2C KPI (30%)</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C2C 100% &amp; SC ≥ 75% → eligible</w:t>
            </w:r>
          </w:p>
        </w:tc>
      </w:tr>
      <w:tr>
        <w:tc>
          <w:tcPr>
            <w:shd w:val="clear" w:color="auto" w:fill="F2F2F2"/>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50%</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Not eligible</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C2C 100% but SC &lt; 75%</w:t>
            </w:r>
          </w:p>
        </w:tc>
      </w:tr>
      <w:tr>
        <w:tc>
          <w:tcPr>
            <w:shd w:val="clear" w:color="auto" w:fill="FFFFFF"/>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90%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FFFFF"/>
            <w:tcW w:w="1500" w:type="dxa"/>
            <w:tcMar>
              <w:top w:w="60" w:type="dxa"/>
              <w:bottom w:w="60" w:type="dxa"/>
              <w:left w:w="100" w:type="dxa"/>
              <w:right w:w="100" w:type="dxa"/>
            </w:tcMar>
            <w:vAlign w:val="center"/>
          </w:tcPr>
          <w:p>
            <w:pPr>
              <w:jc w:val="left"/>
              <w:spacing w:before="0" w:after="0"/>
            </w:pPr>
            <w:r>
              <w:rPr>
                <w:rFonts w:ascii="Calibri" w:hAnsi="Calibri"/>
                <w:b w:val="0"/>
                <w:i w:val="0"/>
                <w:sz w:val="20"/>
              </w:rPr>
              <w:t>100% SC KPI (10%)</w:t>
            </w:r>
          </w:p>
        </w:tc>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val="0"/>
                <w:i w:val="0"/>
                <w:sz w:val="20"/>
              </w:rPr>
              <w:t>SC 100% &amp; C2C ≥ 75% → eligible</w:t>
            </w:r>
          </w:p>
        </w:tc>
      </w:tr>
      <w:tr>
        <w:tc>
          <w:tcPr>
            <w:shd w:val="clear" w:color="auto" w:fill="F2F2F2"/>
            <w:tcW w:w="700" w:type="dxa"/>
            <w:tcMar>
              <w:top w:w="60" w:type="dxa"/>
              <w:bottom w:w="60" w:type="dxa"/>
              <w:left w:w="100" w:type="dxa"/>
              <w:right w:w="100" w:type="dxa"/>
            </w:tcMar>
            <w:vAlign w:val="center"/>
          </w:tcPr>
          <w:p>
            <w:pPr>
              <w:jc w:val="center"/>
              <w:spacing w:before="0" w:after="0"/>
            </w:pPr>
            <w:r>
              <w:rPr>
                <w:rFonts w:ascii="Calibri" w:hAnsi="Calibri"/>
                <w:b w:val="0"/>
                <w:i w:val="0"/>
                <w:sz w:val="20"/>
              </w:rPr>
              <w:t>B</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73%</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100%</w:t>
            </w:r>
          </w:p>
        </w:tc>
        <w:tc>
          <w:tcPr>
            <w:shd w:val="clear" w:color="auto" w:fill="F2F2F2"/>
            <w:tcW w:w="1500" w:type="dxa"/>
            <w:tcMar>
              <w:top w:w="60" w:type="dxa"/>
              <w:bottom w:w="60" w:type="dxa"/>
              <w:left w:w="100" w:type="dxa"/>
              <w:right w:w="100" w:type="dxa"/>
            </w:tcMar>
            <w:vAlign w:val="center"/>
          </w:tcPr>
          <w:p>
            <w:pPr>
              <w:jc w:val="left"/>
              <w:spacing w:before="0" w:after="0"/>
            </w:pPr>
            <w:r>
              <w:rPr>
                <w:rFonts w:ascii="Calibri" w:hAnsi="Calibri"/>
                <w:b w:val="0"/>
                <w:i w:val="0"/>
                <w:sz w:val="20"/>
              </w:rPr>
              <w:t>Not eligible</w:t>
            </w:r>
          </w:p>
        </w:tc>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val="0"/>
                <w:i w:val="0"/>
                <w:sz w:val="20"/>
              </w:rPr>
              <w:t>SC 100% but C2C &lt; 75%</w:t>
            </w:r>
          </w:p>
        </w:tc>
      </w:tr>
    </w:tbl>
    <w:p>
      <w:pPr>
        <w:spacing w:before="60" w:after="60"/>
        <w:ind w:left="170"/>
        <w:shd w:val="clear" w:color="auto" w:fill="D6E4F0"/>
      </w:pPr>
      <w:r>
        <w:rPr>
          <w:rFonts w:ascii="Calibri" w:hAnsi="Calibri"/>
          <w:b w:val="0"/>
          <w:i/>
          <w:color w:val="595959"/>
          <w:sz w:val="20"/>
        </w:rPr>
        <w:t>Individual KPI assessment only applies when the Recharge KPI falls below its trigger threshold. If Recharge is above threshold, normal combined/dual assessment applies and individual KPI rules are irrelevant.</w:t>
      </w:r>
    </w:p>
    <w:p>
      <w:pPr>
        <w:spacing w:before="0" w:after="0"/>
      </w:pPr>
      <w:r>
        <w:br w:type="page"/>
      </w:r>
    </w:p>
    <w:p>
      <w:bookmarkStart w:id="5" w:name="sec5"/>
      <w:pPr>
        <w:spacing w:before="240" w:after="80"/>
        <w:shd w:val="clear" w:color="auto" w:fill="1F4E79"/>
        <w:ind w:left="120"/>
      </w:pPr>
      <w:r>
        <w:rPr>
          <w:rFonts w:ascii="Calibri" w:hAnsi="Calibri"/>
          <w:b/>
          <w:i w:val="0"/>
          <w:color w:val="FFFFFF"/>
          <w:sz w:val="28"/>
        </w:rPr>
        <w:t>Section 5: GA (Gross Add) Conditions</w:t>
      </w:r>
      <w:bookmarkEnd w:id="5"/>
    </w:p>
    <w:p>
      <w:pPr>
        <w:spacing w:before="20" w:after="60"/>
      </w:pPr>
      <w:r>
        <w:rPr>
          <w:rFonts w:ascii="Calibri" w:hAnsi="Calibri"/>
          <w:b w:val="0"/>
          <w:i w:val="0"/>
          <w:sz w:val="21"/>
        </w:rPr>
        <w:t>GA (Gross Add) is one of the seven Shera Partner KPIs. It uses the standard Banglalink GA definition with specific exclusions.</w:t>
      </w:r>
    </w:p>
    <w:p>
      <w:pPr>
        <w:spacing w:before="120" w:after="80"/>
        <w:pBdr>
          <w:bottom w:val="single" w:sz="6" w:space="1" w:color="2E75B6"/>
        </w:pBdr>
      </w:pPr>
      <w:r>
        <w:rPr>
          <w:rFonts w:ascii="Calibri" w:hAnsi="Calibri"/>
          <w:b/>
          <w:i w:val="0"/>
          <w:color w:val="1F4E79"/>
          <w:sz w:val="24"/>
        </w:rPr>
        <w:t>5.1 GA Eligibility Rules</w:t>
      </w:r>
    </w:p>
    <w:p>
      <w:pPr>
        <w:pStyle w:val="ListBullet"/>
        <w:spacing w:before="20" w:after="40"/>
        <w:ind w:left="283"/>
      </w:pPr>
      <w:r>
        <w:rPr>
          <w:rFonts w:ascii="Calibri" w:hAnsi="Calibri"/>
          <w:b w:val="0"/>
          <w:i w:val="0"/>
          <w:sz w:val="21"/>
        </w:rPr>
        <w:t>Activation basis: FCD (First Call Date) — activation must occur within the campaign promotion period</w:t>
      </w:r>
    </w:p>
    <w:p>
      <w:pPr>
        <w:pStyle w:val="ListBullet"/>
        <w:spacing w:before="20" w:after="40"/>
        <w:ind w:left="283"/>
      </w:pPr>
      <w:r>
        <w:rPr>
          <w:rFonts w:ascii="Calibri" w:hAnsi="Calibri"/>
          <w:b w:val="0"/>
          <w:i w:val="0"/>
          <w:sz w:val="21"/>
        </w:rPr>
        <w:t>MNP Port-IN: Counted as a GA based on FCD</w:t>
      </w:r>
    </w:p>
    <w:p>
      <w:pPr>
        <w:pStyle w:val="ListBullet"/>
        <w:spacing w:before="20" w:after="40"/>
        <w:ind w:left="283"/>
      </w:pPr>
      <w:r>
        <w:rPr>
          <w:rFonts w:ascii="Calibri" w:hAnsi="Calibri"/>
          <w:b w:val="0"/>
          <w:i w:val="0"/>
          <w:sz w:val="21"/>
        </w:rPr>
        <w:t>ETSAF: 98% of all ETSAF (total against activations before disconnection) must be vetted and accepted by Banglalink within the 7th of the following month</w:t>
      </w:r>
    </w:p>
    <w:p>
      <w:pPr>
        <w:pStyle w:val="ListBullet"/>
        <w:spacing w:before="20" w:after="40"/>
        <w:ind w:left="283"/>
      </w:pPr>
      <w:r>
        <w:rPr>
          <w:rFonts w:ascii="Calibri" w:hAnsi="Calibri"/>
          <w:b w:val="0"/>
          <w:i w:val="0"/>
          <w:sz w:val="21"/>
        </w:rPr>
        <w:t>Disconnected numbers: Excluded from GA count (T-6 data cutoff between FCD and report generation date)</w:t>
      </w:r>
    </w:p>
    <w:p>
      <w:pPr>
        <w:pStyle w:val="ListBullet"/>
        <w:spacing w:before="20" w:after="40"/>
        <w:ind w:left="283"/>
      </w:pPr>
      <w:r>
        <w:rPr>
          <w:rFonts w:ascii="Calibri" w:hAnsi="Calibri"/>
          <w:b w:val="0"/>
          <w:i w:val="0"/>
          <w:sz w:val="21"/>
        </w:rPr>
        <w:t>DRC (Direct Retailer Connect) GA: Excluded from Shera Partner GA achievement; B2C team shares the DRC list separately</w:t>
      </w:r>
    </w:p>
    <w:p>
      <w:pPr>
        <w:pStyle w:val="ListBullet"/>
        <w:spacing w:before="20" w:after="40"/>
        <w:ind w:left="283"/>
      </w:pPr>
      <w:r>
        <w:rPr>
          <w:rFonts w:ascii="Calibri" w:hAnsi="Calibri"/>
          <w:b w:val="0"/>
          <w:i w:val="0"/>
          <w:sz w:val="21"/>
        </w:rPr>
        <w:t>Valid usage check: Outgoing call or internet usage in the calendar month for minimum 93% of counted GAs</w:t>
      </w:r>
    </w:p>
    <w:p>
      <w:pPr>
        <w:spacing w:before="120" w:after="80"/>
        <w:pBdr>
          <w:bottom w:val="single" w:sz="6" w:space="1" w:color="2E75B6"/>
        </w:pBdr>
      </w:pPr>
      <w:r>
        <w:rPr>
          <w:rFonts w:ascii="Calibri" w:hAnsi="Calibri"/>
          <w:b/>
          <w:i w:val="0"/>
          <w:color w:val="1F4E79"/>
          <w:sz w:val="24"/>
        </w:rPr>
        <w:t>5.2 What GA Counts Toward</w:t>
      </w:r>
    </w:p>
    <w:p>
      <w:pPr>
        <w:pStyle w:val="ListBullet"/>
        <w:spacing w:before="20" w:after="40"/>
        <w:ind w:left="283"/>
      </w:pPr>
      <w:r>
        <w:rPr>
          <w:rFonts w:ascii="Calibri" w:hAnsi="Calibri"/>
          <w:b w:val="0"/>
          <w:i w:val="0"/>
          <w:sz w:val="21"/>
        </w:rPr>
        <w:t>Product: Prepaid – itop'up, SC, Data Upsell, GA, Mix Bundle, Voice Bundle upsell</w:t>
      </w:r>
    </w:p>
    <w:p>
      <w:pPr>
        <w:pStyle w:val="ListBullet"/>
        <w:spacing w:before="20" w:after="40"/>
        <w:ind w:left="283"/>
      </w:pPr>
      <w:r>
        <w:rPr>
          <w:rFonts w:ascii="Calibri" w:hAnsi="Calibri"/>
          <w:b w:val="0"/>
          <w:i w:val="0"/>
          <w:sz w:val="21"/>
        </w:rPr>
        <w:t>Only non-DRC GAs counted in achievement (DRC list from B2C is the exclusion reference)</w:t>
      </w:r>
    </w:p>
    <w:p>
      <w:pPr>
        <w:spacing w:before="0" w:after="0"/>
      </w:pPr>
      <w:r>
        <w:br w:type="page"/>
      </w:r>
    </w:p>
    <w:p>
      <w:bookmarkStart w:id="6" w:name="sec6"/>
      <w:pPr>
        <w:spacing w:before="240" w:after="80"/>
        <w:shd w:val="clear" w:color="auto" w:fill="1F4E79"/>
        <w:ind w:left="120"/>
      </w:pPr>
      <w:r>
        <w:rPr>
          <w:rFonts w:ascii="Calibri" w:hAnsi="Calibri"/>
          <w:b/>
          <w:i w:val="0"/>
          <w:color w:val="FFFFFF"/>
          <w:sz w:val="28"/>
        </w:rPr>
        <w:t>Section 6: EV Secondary (C2C) Recharge Definition</w:t>
      </w:r>
      <w:bookmarkEnd w:id="6"/>
    </w:p>
    <w:p>
      <w:pPr>
        <w:spacing w:before="20" w:after="60"/>
      </w:pPr>
      <w:r>
        <w:rPr>
          <w:rFonts w:ascii="Calibri" w:hAnsi="Calibri"/>
          <w:b w:val="0"/>
          <w:i w:val="0"/>
          <w:sz w:val="21"/>
        </w:rPr>
        <w:t>EV Secondary is also referred to as C2C (Customer to Customer EV flow). Its definition expanded slightly from Jul25 onwards.</w:t>
      </w:r>
    </w:p>
    <w:p>
      <w:pPr>
        <w:spacing w:before="120" w:after="80"/>
        <w:pBdr>
          <w:bottom w:val="single" w:sz="6" w:space="1" w:color="2E75B6"/>
        </w:pBdr>
      </w:pPr>
      <w:r>
        <w:rPr>
          <w:rFonts w:ascii="Calibri" w:hAnsi="Calibri"/>
          <w:b/>
          <w:i w:val="0"/>
          <w:color w:val="1F4E79"/>
          <w:sz w:val="24"/>
        </w:rPr>
        <w:t>6.1 Mar25–Jun25 EV Secondary Definition</w:t>
      </w:r>
    </w:p>
    <w:tbl>
      <w:tblPr>
        <w:tblLook w:firstColumn="1" w:firstRow="1" w:lastColumn="0" w:lastRow="0" w:noHBand="0" w:noVBand="1" w:val="04A0"/>
        <w:tblW w:w="9200" w:type="dxa"/>
      </w:tblPr>
      <w:tblGrid>
        <w:gridCol w:w="4513"/>
        <w:gridCol w:w="4513"/>
      </w:tblGrid>
      <w:tr>
        <w:tc>
          <w:tcPr>
            <w:shd w:val="clear" w:color="auto" w:fill="1F4E79"/>
            <w:tcW w:w="2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Component</w:t>
            </w:r>
          </w:p>
        </w:tc>
        <w:tc>
          <w:tcPr>
            <w:shd w:val="clear" w:color="auto" w:fill="1F4E79"/>
            <w:tcW w:w="7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Description</w:t>
            </w:r>
          </w:p>
        </w:tc>
      </w:tr>
      <w:tr>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i w:val="0"/>
                <w:sz w:val="20"/>
              </w:rPr>
              <w:t>R2RT</w:t>
            </w:r>
          </w:p>
        </w:tc>
        <w:tc>
          <w:tcPr>
            <w:shd w:val="clear" w:color="auto" w:fill="FFFFFF"/>
            <w:tcW w:w="7000" w:type="dxa"/>
            <w:tcMar>
              <w:top w:w="60" w:type="dxa"/>
              <w:bottom w:w="60" w:type="dxa"/>
              <w:left w:w="100" w:type="dxa"/>
              <w:right w:w="100" w:type="dxa"/>
            </w:tcMar>
            <w:vAlign w:val="center"/>
          </w:tcPr>
          <w:p>
            <w:pPr>
              <w:jc w:val="left"/>
              <w:spacing w:before="0" w:after="0"/>
            </w:pPr>
            <w:r>
              <w:rPr>
                <w:rFonts w:ascii="Calibri" w:hAnsi="Calibri"/>
                <w:b w:val="0"/>
                <w:i w:val="0"/>
                <w:sz w:val="20"/>
              </w:rPr>
              <w:t>EV from SR (Sales Representative) to Retailer</w:t>
            </w:r>
          </w:p>
        </w:tc>
      </w:tr>
      <w:tr>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i w:val="0"/>
                <w:sz w:val="20"/>
              </w:rPr>
              <w:t>D2RT</w:t>
            </w:r>
          </w:p>
        </w:tc>
        <w:tc>
          <w:tcPr>
            <w:shd w:val="clear" w:color="auto" w:fill="F2F2F2"/>
            <w:tcW w:w="7000" w:type="dxa"/>
            <w:tcMar>
              <w:top w:w="60" w:type="dxa"/>
              <w:bottom w:w="60" w:type="dxa"/>
              <w:left w:w="100" w:type="dxa"/>
              <w:right w:w="100" w:type="dxa"/>
            </w:tcMar>
            <w:vAlign w:val="center"/>
          </w:tcPr>
          <w:p>
            <w:pPr>
              <w:jc w:val="left"/>
              <w:spacing w:before="0" w:after="0"/>
            </w:pPr>
            <w:r>
              <w:rPr>
                <w:rFonts w:ascii="Calibri" w:hAnsi="Calibri"/>
                <w:b w:val="0"/>
                <w:i w:val="0"/>
                <w:sz w:val="20"/>
              </w:rPr>
              <w:t>EV from Distributor to Retailer</w:t>
            </w:r>
          </w:p>
        </w:tc>
      </w:tr>
      <w:tr>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i w:val="0"/>
                <w:sz w:val="20"/>
              </w:rPr>
              <w:t>DTR</w:t>
            </w:r>
          </w:p>
        </w:tc>
        <w:tc>
          <w:tcPr>
            <w:shd w:val="clear" w:color="auto" w:fill="FFFFFF"/>
            <w:tcW w:w="7000" w:type="dxa"/>
            <w:tcMar>
              <w:top w:w="60" w:type="dxa"/>
              <w:bottom w:w="60" w:type="dxa"/>
              <w:left w:w="100" w:type="dxa"/>
              <w:right w:w="100" w:type="dxa"/>
            </w:tcMar>
            <w:vAlign w:val="center"/>
          </w:tcPr>
          <w:p>
            <w:pPr>
              <w:jc w:val="left"/>
              <w:spacing w:before="0" w:after="0"/>
            </w:pPr>
            <w:r>
              <w:rPr>
                <w:rFonts w:ascii="Calibri" w:hAnsi="Calibri"/>
                <w:b w:val="0"/>
                <w:i w:val="0"/>
                <w:sz w:val="20"/>
              </w:rPr>
              <w:t>Manual and Daily Commission from Salescom</w:t>
            </w:r>
          </w:p>
        </w:tc>
      </w:tr>
      <w:tr>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i w:val="0"/>
                <w:sz w:val="20"/>
              </w:rPr>
              <w:t>OTF</w:t>
            </w:r>
          </w:p>
        </w:tc>
        <w:tc>
          <w:tcPr>
            <w:shd w:val="clear" w:color="auto" w:fill="F2F2F2"/>
            <w:tcW w:w="7000" w:type="dxa"/>
            <w:tcMar>
              <w:top w:w="60" w:type="dxa"/>
              <w:bottom w:w="60" w:type="dxa"/>
              <w:left w:w="100" w:type="dxa"/>
              <w:right w:w="100" w:type="dxa"/>
            </w:tcMar>
            <w:vAlign w:val="center"/>
          </w:tcPr>
          <w:p>
            <w:pPr>
              <w:jc w:val="left"/>
              <w:spacing w:before="0" w:after="0"/>
            </w:pPr>
            <w:r>
              <w:rPr>
                <w:rFonts w:ascii="Calibri" w:hAnsi="Calibri"/>
                <w:b w:val="0"/>
                <w:i w:val="0"/>
                <w:sz w:val="20"/>
              </w:rPr>
              <w:t>EV OTF (Over-The-Floor) + IRIS OTF</w:t>
            </w:r>
          </w:p>
        </w:tc>
      </w:tr>
      <w:tr>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i w:val="0"/>
                <w:sz w:val="20"/>
              </w:rPr>
              <w:t>Scratch Card</w:t>
            </w:r>
          </w:p>
        </w:tc>
        <w:tc>
          <w:tcPr>
            <w:shd w:val="clear" w:color="auto" w:fill="FFFFFF"/>
            <w:tcW w:w="7000" w:type="dxa"/>
            <w:tcMar>
              <w:top w:w="60" w:type="dxa"/>
              <w:bottom w:w="60" w:type="dxa"/>
              <w:left w:w="100" w:type="dxa"/>
              <w:right w:w="100" w:type="dxa"/>
            </w:tcMar>
            <w:vAlign w:val="center"/>
          </w:tcPr>
          <w:p>
            <w:pPr>
              <w:jc w:val="left"/>
              <w:spacing w:before="0" w:after="0"/>
            </w:pPr>
            <w:r>
              <w:rPr>
                <w:rFonts w:ascii="Calibri" w:hAnsi="Calibri"/>
                <w:b w:val="0"/>
                <w:i w:val="0"/>
                <w:sz w:val="20"/>
              </w:rPr>
              <w:t>SC lifted from Warehouse to DD</w:t>
            </w:r>
          </w:p>
        </w:tc>
      </w:tr>
      <w:tr>
        <w:tc>
          <w:tcPr>
            <w:shd w:val="clear" w:color="auto" w:fill="F2F2F2"/>
            <w:tcW w:w="2200" w:type="dxa"/>
            <w:tcMar>
              <w:top w:w="60" w:type="dxa"/>
              <w:bottom w:w="60" w:type="dxa"/>
              <w:left w:w="100" w:type="dxa"/>
              <w:right w:w="100" w:type="dxa"/>
            </w:tcMar>
            <w:vAlign w:val="center"/>
          </w:tcPr>
          <w:p>
            <w:pPr>
              <w:jc w:val="left"/>
              <w:spacing w:before="0" w:after="0"/>
            </w:pPr>
            <w:r>
              <w:rPr>
                <w:rFonts w:ascii="Calibri" w:hAnsi="Calibri"/>
                <w:b/>
                <w:i w:val="0"/>
                <w:sz w:val="20"/>
              </w:rPr>
              <w:t>Less Withdrawal</w:t>
            </w:r>
          </w:p>
        </w:tc>
        <w:tc>
          <w:tcPr>
            <w:shd w:val="clear" w:color="auto" w:fill="F2F2F2"/>
            <w:tcW w:w="7000" w:type="dxa"/>
            <w:tcMar>
              <w:top w:w="60" w:type="dxa"/>
              <w:bottom w:w="60" w:type="dxa"/>
              <w:left w:w="100" w:type="dxa"/>
              <w:right w:w="100" w:type="dxa"/>
            </w:tcMar>
            <w:vAlign w:val="center"/>
          </w:tcPr>
          <w:p>
            <w:pPr>
              <w:jc w:val="left"/>
              <w:spacing w:before="0" w:after="0"/>
            </w:pPr>
            <w:r>
              <w:rPr>
                <w:rFonts w:ascii="Calibri" w:hAnsi="Calibri"/>
                <w:b w:val="0"/>
                <w:i w:val="0"/>
                <w:sz w:val="20"/>
              </w:rPr>
              <w:t>Withdrawal deducted as per usual process</w:t>
            </w:r>
          </w:p>
        </w:tc>
      </w:tr>
      <w:tr>
        <w:tc>
          <w:tcPr>
            <w:shd w:val="clear" w:color="auto" w:fill="FFFFFF"/>
            <w:tcW w:w="2200" w:type="dxa"/>
            <w:tcMar>
              <w:top w:w="60" w:type="dxa"/>
              <w:bottom w:w="60" w:type="dxa"/>
              <w:left w:w="100" w:type="dxa"/>
              <w:right w:w="100" w:type="dxa"/>
            </w:tcMar>
            <w:vAlign w:val="center"/>
          </w:tcPr>
          <w:p>
            <w:pPr>
              <w:jc w:val="left"/>
              <w:spacing w:before="0" w:after="0"/>
            </w:pPr>
            <w:r>
              <w:rPr>
                <w:rFonts w:ascii="Calibri" w:hAnsi="Calibri"/>
                <w:b/>
                <w:i w:val="0"/>
                <w:sz w:val="20"/>
              </w:rPr>
              <w:t>DRC EV Excluded</w:t>
            </w:r>
          </w:p>
        </w:tc>
        <w:tc>
          <w:tcPr>
            <w:shd w:val="clear" w:color="auto" w:fill="FFFFFF"/>
            <w:tcW w:w="7000" w:type="dxa"/>
            <w:tcMar>
              <w:top w:w="60" w:type="dxa"/>
              <w:bottom w:w="60" w:type="dxa"/>
              <w:left w:w="100" w:type="dxa"/>
              <w:right w:w="100" w:type="dxa"/>
            </w:tcMar>
            <w:vAlign w:val="center"/>
          </w:tcPr>
          <w:p>
            <w:pPr>
              <w:jc w:val="left"/>
              <w:spacing w:before="0" w:after="0"/>
            </w:pPr>
            <w:r>
              <w:rPr>
                <w:rFonts w:ascii="Calibri" w:hAnsi="Calibri"/>
                <w:b w:val="0"/>
                <w:i w:val="0"/>
                <w:sz w:val="20"/>
              </w:rPr>
              <w:t>DRC EV Secondary excluded from achievement; DRC list shared by B2C</w:t>
            </w:r>
          </w:p>
        </w:tc>
      </w:tr>
    </w:tbl>
    <w:p>
      <w:pPr>
        <w:spacing w:before="120" w:after="80"/>
        <w:pBdr>
          <w:bottom w:val="single" w:sz="6" w:space="1" w:color="2E75B6"/>
        </w:pBdr>
      </w:pPr>
      <w:r>
        <w:rPr>
          <w:rFonts w:ascii="Calibri" w:hAnsi="Calibri"/>
          <w:b/>
          <w:i w:val="0"/>
          <w:color w:val="1F4E79"/>
          <w:sz w:val="24"/>
        </w:rPr>
        <w:t>6.2 Jul25–Aug25 Additional Components</w:t>
      </w:r>
    </w:p>
    <w:p>
      <w:pPr>
        <w:spacing w:before="20" w:after="60"/>
      </w:pPr>
      <w:r>
        <w:rPr>
          <w:rFonts w:ascii="Calibri" w:hAnsi="Calibri"/>
          <w:b w:val="0"/>
          <w:i w:val="0"/>
          <w:sz w:val="21"/>
        </w:rPr>
        <w:t>From July 2025, two new elements were added to the EV Secondary definition:</w:t>
      </w:r>
    </w:p>
    <w:p>
      <w:pPr>
        <w:pStyle w:val="ListBullet"/>
        <w:spacing w:before="20" w:after="40"/>
        <w:ind w:left="283"/>
      </w:pPr>
      <w:r>
        <w:rPr>
          <w:rFonts w:ascii="Calibri" w:hAnsi="Calibri"/>
          <w:b w:val="0"/>
          <w:i w:val="0"/>
          <w:sz w:val="21"/>
        </w:rPr>
        <w:t>SUD12AGENT: Added as an additional EV recharge channel (EV includes R2RT + D2RT + SUD12AGENT + DTR + OTF)</w:t>
      </w:r>
    </w:p>
    <w:p>
      <w:pPr>
        <w:pStyle w:val="ListBullet"/>
        <w:spacing w:before="20" w:after="40"/>
        <w:ind w:left="283"/>
      </w:pPr>
      <w:r>
        <w:rPr>
          <w:rFonts w:ascii="Calibri" w:hAnsi="Calibri"/>
          <w:b w:val="0"/>
          <w:i w:val="0"/>
          <w:sz w:val="21"/>
        </w:rPr>
        <w:t>Digital Distribution Retailers: C2C from Digital Distribution Retailers is included; retailer list shared by B2C</w:t>
      </w:r>
    </w:p>
    <w:p>
      <w:pPr>
        <w:spacing w:before="60" w:after="60"/>
        <w:ind w:left="170"/>
        <w:shd w:val="clear" w:color="auto" w:fill="FFF2CC"/>
      </w:pPr>
      <w:r>
        <w:rPr>
          <w:rFonts w:ascii="Calibri" w:hAnsi="Calibri"/>
          <w:b w:val="0"/>
          <w:i/>
          <w:color w:val="595959"/>
          <w:sz w:val="20"/>
        </w:rPr>
        <w:t>SUD12AGENT and Digital Distribution Retailer C2C are Jul25+ additions. Prior SRFs (Mar25–Jun25) do not include these channels.</w:t>
      </w:r>
    </w:p>
    <w:p>
      <w:pPr>
        <w:spacing w:before="0" w:after="0"/>
      </w:pPr>
      <w:r>
        <w:br w:type="page"/>
      </w:r>
    </w:p>
    <w:p>
      <w:bookmarkStart w:id="7" w:name="sec7"/>
      <w:pPr>
        <w:spacing w:before="240" w:after="80"/>
        <w:shd w:val="clear" w:color="auto" w:fill="1F4E79"/>
        <w:ind w:left="120"/>
      </w:pPr>
      <w:r>
        <w:rPr>
          <w:rFonts w:ascii="Calibri" w:hAnsi="Calibri"/>
          <w:b/>
          <w:i w:val="0"/>
          <w:color w:val="FFFFFF"/>
          <w:sz w:val="28"/>
        </w:rPr>
        <w:t>Section 7: SC Primary (Lifting) Definition</w:t>
      </w:r>
      <w:bookmarkEnd w:id="7"/>
    </w:p>
    <w:p>
      <w:pPr>
        <w:spacing w:before="20" w:after="60"/>
      </w:pPr>
      <w:r>
        <w:rPr>
          <w:rFonts w:ascii="Calibri" w:hAnsi="Calibri"/>
          <w:b w:val="0"/>
          <w:i w:val="0"/>
          <w:sz w:val="21"/>
        </w:rPr>
        <w:t>SC Primary is defined consistently across all Shera Partner SRFs.</w:t>
      </w:r>
    </w:p>
    <w:p>
      <w:pPr>
        <w:pStyle w:val="ListBullet"/>
        <w:spacing w:before="20" w:after="40"/>
        <w:ind w:left="283"/>
      </w:pPr>
      <w:r>
        <w:rPr>
          <w:rFonts w:ascii="Calibri" w:hAnsi="Calibri"/>
          <w:b w:val="0"/>
          <w:i w:val="0"/>
          <w:sz w:val="21"/>
        </w:rPr>
        <w:t>SC Primary = DD (Distributor House) lifting from Banglalink (BL)</w:t>
      </w:r>
    </w:p>
    <w:p>
      <w:pPr>
        <w:pStyle w:val="ListBullet"/>
        <w:spacing w:before="20" w:after="40"/>
        <w:ind w:left="283"/>
      </w:pPr>
      <w:r>
        <w:rPr>
          <w:rFonts w:ascii="Calibri" w:hAnsi="Calibri"/>
          <w:b w:val="0"/>
          <w:i w:val="0"/>
          <w:sz w:val="21"/>
        </w:rPr>
        <w:t>Definition from General Conditions: 'Primary S.C means DD lifting'</w:t>
      </w:r>
    </w:p>
    <w:p>
      <w:pPr>
        <w:pStyle w:val="ListBullet"/>
        <w:spacing w:before="20" w:after="40"/>
        <w:ind w:left="283"/>
      </w:pPr>
      <w:r>
        <w:rPr>
          <w:rFonts w:ascii="Calibri" w:hAnsi="Calibri"/>
          <w:b w:val="0"/>
          <w:i w:val="0"/>
          <w:sz w:val="21"/>
        </w:rPr>
        <w:t>In Jul25–Aug25 SRFs: 'S.C means Retail lifting as per DMS entry' (slightly expanded to include DMS-recorded retail lifting)</w:t>
      </w:r>
    </w:p>
    <w:p>
      <w:pPr>
        <w:pStyle w:val="ListBullet"/>
        <w:spacing w:before="20" w:after="40"/>
        <w:ind w:left="283"/>
      </w:pPr>
      <w:r>
        <w:rPr>
          <w:rFonts w:ascii="Calibri" w:hAnsi="Calibri"/>
          <w:b w:val="0"/>
          <w:i w:val="0"/>
          <w:sz w:val="21"/>
        </w:rPr>
        <w:t>Recharge definition (combined): Recharge = EV + SC (combined for the Recharge KPI assessment)</w:t>
      </w:r>
    </w:p>
    <w:p>
      <w:pPr>
        <w:pStyle w:val="ListBullet"/>
        <w:spacing w:before="20" w:after="40"/>
        <w:ind w:left="283"/>
      </w:pPr>
      <w:r>
        <w:rPr>
          <w:rFonts w:ascii="Calibri" w:hAnsi="Calibri"/>
          <w:b w:val="0"/>
          <w:i w:val="0"/>
          <w:sz w:val="21"/>
        </w:rPr>
        <w:t>Lifting/Issue condition: Activated in General Conditions across all SRFs</w:t>
      </w:r>
    </w:p>
    <w:p>
      <w:pPr>
        <w:spacing w:before="0" w:after="0"/>
      </w:pPr>
      <w:r>
        <w:br w:type="page"/>
      </w:r>
    </w:p>
    <w:p>
      <w:bookmarkStart w:id="8" w:name="sec8"/>
      <w:pPr>
        <w:spacing w:before="240" w:after="80"/>
        <w:shd w:val="clear" w:color="auto" w:fill="1F4E79"/>
        <w:ind w:left="120"/>
      </w:pPr>
      <w:r>
        <w:rPr>
          <w:rFonts w:ascii="Calibri" w:hAnsi="Calibri"/>
          <w:b/>
          <w:i w:val="0"/>
          <w:color w:val="FFFFFF"/>
          <w:sz w:val="28"/>
        </w:rPr>
        <w:t>Section 8: Bundle (C2S) Conditions</w:t>
      </w:r>
      <w:bookmarkEnd w:id="8"/>
    </w:p>
    <w:p>
      <w:pPr>
        <w:spacing w:before="20" w:after="60"/>
      </w:pPr>
      <w:r>
        <w:rPr>
          <w:rFonts w:ascii="Calibri" w:hAnsi="Calibri"/>
          <w:b w:val="0"/>
          <w:i w:val="0"/>
          <w:sz w:val="21"/>
        </w:rPr>
        <w:t>Bundle KPI covers All Bundle Sales under the Shera Partner campaign. The definition is consistent across all SRFs.</w:t>
      </w:r>
    </w:p>
    <w:p>
      <w:pPr>
        <w:spacing w:before="120" w:after="80"/>
        <w:pBdr>
          <w:bottom w:val="single" w:sz="6" w:space="1" w:color="2E75B6"/>
        </w:pBdr>
      </w:pPr>
      <w:r>
        <w:rPr>
          <w:rFonts w:ascii="Calibri" w:hAnsi="Calibri"/>
          <w:b/>
          <w:i w:val="0"/>
          <w:color w:val="1F4E79"/>
          <w:sz w:val="24"/>
        </w:rPr>
        <w:t>8.1 Bundle Eligibility</w:t>
      </w:r>
    </w:p>
    <w:p>
      <w:pPr>
        <w:pStyle w:val="ListBullet"/>
        <w:spacing w:before="20" w:after="40"/>
        <w:ind w:left="283"/>
      </w:pPr>
      <w:r>
        <w:rPr>
          <w:rFonts w:ascii="Calibri" w:hAnsi="Calibri"/>
          <w:b w:val="0"/>
          <w:i w:val="0"/>
          <w:sz w:val="21"/>
        </w:rPr>
        <w:t>Bundle type: Data + Voice + MXB C2S (Customer to Subscriber direction)</w:t>
      </w:r>
    </w:p>
    <w:p>
      <w:pPr>
        <w:pStyle w:val="ListBullet"/>
        <w:spacing w:before="20" w:after="40"/>
        <w:ind w:left="283"/>
      </w:pPr>
      <w:r>
        <w:rPr>
          <w:rFonts w:ascii="Calibri" w:hAnsi="Calibri"/>
          <w:b w:val="0"/>
          <w:i w:val="0"/>
          <w:sz w:val="21"/>
        </w:rPr>
        <w:t>SIM Card (SC) bundles are EXCLUDED from the Bundle KPI count</w:t>
      </w:r>
    </w:p>
    <w:p>
      <w:pPr>
        <w:pStyle w:val="ListBullet"/>
        <w:spacing w:before="20" w:after="40"/>
        <w:ind w:left="283"/>
      </w:pPr>
      <w:r>
        <w:rPr>
          <w:rFonts w:ascii="Calibri" w:hAnsi="Calibri"/>
          <w:b w:val="0"/>
          <w:i w:val="0"/>
          <w:sz w:val="21"/>
        </w:rPr>
        <w:t>Denomination list (Deno list): Shared by B2C team; specific eligible bundle pack codes listed separately</w:t>
      </w:r>
    </w:p>
    <w:p>
      <w:pPr>
        <w:pStyle w:val="ListBullet"/>
        <w:spacing w:before="20" w:after="40"/>
        <w:ind w:left="283"/>
      </w:pPr>
      <w:r>
        <w:rPr>
          <w:rFonts w:ascii="Calibri" w:hAnsi="Calibri"/>
          <w:b w:val="0"/>
          <w:i w:val="0"/>
          <w:sz w:val="21"/>
        </w:rPr>
        <w:t>Full-month hit rule: If any denomination is sold on any day of the month, the full month's hits for that denomination are counted</w:t>
      </w:r>
    </w:p>
    <w:p>
      <w:pPr>
        <w:pStyle w:val="ListBullet"/>
        <w:spacing w:before="20" w:after="40"/>
        <w:ind w:left="283"/>
      </w:pPr>
      <w:r>
        <w:rPr>
          <w:rFonts w:ascii="Calibri" w:hAnsi="Calibri"/>
          <w:b w:val="0"/>
          <w:i w:val="0"/>
          <w:sz w:val="21"/>
        </w:rPr>
        <w:t>Rationale: Full-month rule eases reporting and payout calculation consistency</w:t>
      </w:r>
    </w:p>
    <w:p>
      <w:pPr>
        <w:spacing w:before="60" w:after="60"/>
        <w:ind w:left="170"/>
        <w:shd w:val="clear" w:color="auto" w:fill="D6E4F0"/>
      </w:pPr>
      <w:r>
        <w:rPr>
          <w:rFonts w:ascii="Calibri" w:hAnsi="Calibri"/>
          <w:b w:val="0"/>
          <w:i/>
          <w:color w:val="595959"/>
          <w:sz w:val="20"/>
        </w:rPr>
        <w:t>The 'full month hit' rule means that a deno introduced mid-month retroactively earns commission for the entire month, not just from the day of introduction. This is a campaign-specific rule unique to the bundle KPI.</w:t>
      </w:r>
    </w:p>
    <w:p>
      <w:pPr>
        <w:spacing w:before="0" w:after="0"/>
      </w:pPr>
      <w:r>
        <w:br w:type="page"/>
      </w:r>
    </w:p>
    <w:p>
      <w:bookmarkStart w:id="9" w:name="sec9"/>
      <w:pPr>
        <w:spacing w:before="240" w:after="80"/>
        <w:shd w:val="clear" w:color="auto" w:fill="1F4E79"/>
        <w:ind w:left="120"/>
      </w:pPr>
      <w:r>
        <w:rPr>
          <w:rFonts w:ascii="Calibri" w:hAnsi="Calibri"/>
          <w:b/>
          <w:i w:val="0"/>
          <w:color w:val="FFFFFF"/>
          <w:sz w:val="28"/>
        </w:rPr>
        <w:t>Section 9: Retail SCR Condition</w:t>
      </w:r>
      <w:bookmarkEnd w:id="9"/>
    </w:p>
    <w:p>
      <w:pPr>
        <w:spacing w:before="20" w:after="60"/>
      </w:pPr>
      <w:r>
        <w:rPr>
          <w:rFonts w:ascii="Calibri" w:hAnsi="Calibri"/>
          <w:b w:val="0"/>
          <w:i w:val="0"/>
          <w:sz w:val="21"/>
        </w:rPr>
        <w:t>Retail SCR = Retailer Scratch Card Ratio. This KPI measures scratch card sales penetration at the retailer level.</w:t>
      </w:r>
    </w:p>
    <w:p>
      <w:pPr>
        <w:pStyle w:val="ListBullet"/>
        <w:spacing w:before="20" w:after="40"/>
        <w:ind w:left="283"/>
      </w:pPr>
      <w:r>
        <w:rPr>
          <w:rFonts w:ascii="Calibri" w:hAnsi="Calibri"/>
          <w:b w:val="0"/>
          <w:i w:val="0"/>
          <w:sz w:val="21"/>
        </w:rPr>
        <w:t>Retail SCR targets and achievement data are shared by the B2C team (not computed from standard IT data)</w:t>
      </w:r>
    </w:p>
    <w:p>
      <w:pPr>
        <w:pStyle w:val="ListBullet"/>
        <w:spacing w:before="20" w:after="40"/>
        <w:ind w:left="283"/>
      </w:pPr>
      <w:r>
        <w:rPr>
          <w:rFonts w:ascii="Calibri" w:hAnsi="Calibri"/>
          <w:b w:val="0"/>
          <w:i w:val="0"/>
          <w:sz w:val="21"/>
        </w:rPr>
        <w:t>Exact SCR calculation formula and threshold not specified in SRF text (provided in B2C target files)</w:t>
      </w:r>
    </w:p>
    <w:p>
      <w:pPr>
        <w:pStyle w:val="ListBullet"/>
        <w:spacing w:before="20" w:after="40"/>
        <w:ind w:left="283"/>
      </w:pPr>
      <w:r>
        <w:rPr>
          <w:rFonts w:ascii="Calibri" w:hAnsi="Calibri"/>
          <w:b w:val="0"/>
          <w:i w:val="0"/>
          <w:sz w:val="21"/>
        </w:rPr>
        <w:t>SCR is one of the 7 weighted KPIs; its weightage varies by DH</w:t>
      </w:r>
    </w:p>
    <w:p>
      <w:pPr>
        <w:pStyle w:val="ListBullet"/>
        <w:spacing w:before="20" w:after="40"/>
        <w:ind w:left="283"/>
      </w:pPr>
      <w:r>
        <w:rPr>
          <w:rFonts w:ascii="Calibri" w:hAnsi="Calibri"/>
          <w:b w:val="0"/>
          <w:i w:val="0"/>
          <w:sz w:val="21"/>
        </w:rPr>
        <w:t>Aug25 adds a note: '85% Ach for Recharge &amp; bundle KPI slab DD list will be shared' — indicating that in Aug25, distributors achieving 85% on Recharge and Bundle are on a separate shared list</w:t>
      </w:r>
    </w:p>
    <w:p>
      <w:pPr>
        <w:spacing w:before="0" w:after="0"/>
      </w:pPr>
      <w:r>
        <w:br w:type="page"/>
      </w:r>
    </w:p>
    <w:p>
      <w:bookmarkStart w:id="10" w:name="sec10"/>
      <w:pPr>
        <w:spacing w:before="240" w:after="80"/>
        <w:shd w:val="clear" w:color="auto" w:fill="1F4E79"/>
        <w:ind w:left="120"/>
      </w:pPr>
      <w:r>
        <w:rPr>
          <w:rFonts w:ascii="Calibri" w:hAnsi="Calibri"/>
          <w:b/>
          <w:i w:val="0"/>
          <w:color w:val="FFFFFF"/>
          <w:sz w:val="28"/>
        </w:rPr>
        <w:t>Section 10: RSO Productivity Condition</w:t>
      </w:r>
      <w:bookmarkEnd w:id="10"/>
    </w:p>
    <w:p>
      <w:pPr>
        <w:spacing w:before="20" w:after="60"/>
      </w:pPr>
      <w:r>
        <w:rPr>
          <w:rFonts w:ascii="Calibri" w:hAnsi="Calibri"/>
          <w:b w:val="0"/>
          <w:i w:val="0"/>
          <w:sz w:val="21"/>
        </w:rPr>
        <w:t>RSO = Retail Sales Officer. RSO Productivity measures RSO-level sales efficiency.</w:t>
      </w:r>
    </w:p>
    <w:p>
      <w:pPr>
        <w:pStyle w:val="ListBullet"/>
        <w:spacing w:before="20" w:after="40"/>
        <w:ind w:left="283"/>
      </w:pPr>
      <w:r>
        <w:rPr>
          <w:rFonts w:ascii="Calibri" w:hAnsi="Calibri"/>
          <w:b w:val="0"/>
          <w:i w:val="0"/>
          <w:sz w:val="21"/>
        </w:rPr>
        <w:t>RSO Productivity is one of the 7 KPIs in the full Shera Partner campaign AND is included in the May25 GA-only SRF</w:t>
      </w:r>
    </w:p>
    <w:p>
      <w:pPr>
        <w:pStyle w:val="ListBullet"/>
        <w:spacing w:before="20" w:after="40"/>
        <w:ind w:left="283"/>
      </w:pPr>
      <w:r>
        <w:rPr>
          <w:rFonts w:ascii="Calibri" w:hAnsi="Calibri"/>
          <w:b w:val="0"/>
          <w:i w:val="0"/>
          <w:sz w:val="21"/>
        </w:rPr>
        <w:t>Specific RSO productivity calculation and threshold shared via B2C target files</w:t>
      </w:r>
    </w:p>
    <w:p>
      <w:pPr>
        <w:pStyle w:val="ListBullet"/>
        <w:spacing w:before="20" w:after="40"/>
        <w:ind w:left="283"/>
      </w:pPr>
      <w:r>
        <w:rPr>
          <w:rFonts w:ascii="Calibri" w:hAnsi="Calibri"/>
          <w:b w:val="0"/>
          <w:i w:val="0"/>
          <w:sz w:val="21"/>
        </w:rPr>
        <w:t>RSO Productivity weightage varies by DH</w:t>
      </w:r>
    </w:p>
    <w:p>
      <w:pPr>
        <w:spacing w:before="120" w:after="80"/>
        <w:pBdr>
          <w:bottom w:val="single" w:sz="6" w:space="1" w:color="2E75B6"/>
        </w:pBdr>
      </w:pPr>
      <w:r>
        <w:rPr>
          <w:rFonts w:ascii="Calibri" w:hAnsi="Calibri"/>
          <w:b/>
          <w:i w:val="0"/>
          <w:color w:val="1F4E79"/>
          <w:sz w:val="24"/>
        </w:rPr>
        <w:t>10.1 Jul25 RSO GA Participation Rules</w:t>
      </w:r>
    </w:p>
    <w:p>
      <w:pPr>
        <w:spacing w:before="20" w:after="60"/>
      </w:pPr>
      <w:r>
        <w:rPr>
          <w:rFonts w:ascii="Calibri" w:hAnsi="Calibri"/>
          <w:b w:val="0"/>
          <w:i w:val="0"/>
          <w:sz w:val="21"/>
        </w:rPr>
        <w:t>From Jul25, specific FF GA Participation rules were introduced (see also Section 11):</w:t>
      </w:r>
    </w:p>
    <w:p>
      <w:pPr>
        <w:pStyle w:val="ListBullet"/>
        <w:spacing w:before="20" w:after="40"/>
        <w:ind w:left="283"/>
      </w:pPr>
      <w:r>
        <w:rPr>
          <w:rFonts w:ascii="Calibri" w:hAnsi="Calibri"/>
          <w:b w:val="0"/>
          <w:i w:val="0"/>
          <w:sz w:val="21"/>
        </w:rPr>
        <w:t>DD FF Consideration: RSO + July'25 Allocated BP (Business Partner)</w:t>
      </w:r>
    </w:p>
    <w:p>
      <w:pPr>
        <w:pStyle w:val="ListBullet"/>
        <w:spacing w:before="20" w:after="40"/>
        <w:ind w:left="283"/>
      </w:pPr>
      <w:r>
        <w:rPr>
          <w:rFonts w:ascii="Calibri" w:hAnsi="Calibri"/>
          <w:b w:val="0"/>
          <w:i w:val="0"/>
          <w:sz w:val="21"/>
        </w:rPr>
        <w:t>RSO GA = RSO Specific Code GA + RSO Market GA</w:t>
      </w:r>
    </w:p>
    <w:p>
      <w:pPr>
        <w:pStyle w:val="ListBullet"/>
        <w:spacing w:before="20" w:after="40"/>
        <w:ind w:left="283"/>
      </w:pPr>
      <w:r>
        <w:rPr>
          <w:rFonts w:ascii="Calibri" w:hAnsi="Calibri"/>
          <w:b w:val="0"/>
          <w:i w:val="0"/>
          <w:sz w:val="21"/>
        </w:rPr>
        <w:t>BP GA = GA from BP Code</w:t>
      </w:r>
    </w:p>
    <w:p>
      <w:pPr>
        <w:pStyle w:val="ListBullet"/>
        <w:spacing w:before="20" w:after="40"/>
        <w:ind w:left="283"/>
      </w:pPr>
      <w:r>
        <w:rPr>
          <w:rFonts w:ascii="Calibri" w:hAnsi="Calibri"/>
          <w:b w:val="0"/>
          <w:i w:val="0"/>
          <w:sz w:val="21"/>
        </w:rPr>
        <w:t>Daily GA minimum: 1 GA/day considered for each RSO/BP</w:t>
      </w:r>
    </w:p>
    <w:p>
      <w:pPr>
        <w:pStyle w:val="ListBullet"/>
        <w:spacing w:before="20" w:after="40"/>
        <w:ind w:left="283"/>
      </w:pPr>
      <w:r>
        <w:rPr>
          <w:rFonts w:ascii="Calibri" w:hAnsi="Calibri"/>
          <w:b w:val="0"/>
          <w:i w:val="0"/>
          <w:sz w:val="21"/>
        </w:rPr>
        <w:t>Best 25 out of 31 days in July are considered for monthly performance (not all 31 days)</w:t>
      </w:r>
    </w:p>
    <w:p>
      <w:pPr>
        <w:spacing w:before="0" w:after="0"/>
      </w:pPr>
      <w:r>
        <w:br w:type="page"/>
      </w:r>
    </w:p>
    <w:p>
      <w:bookmarkStart w:id="11" w:name="sec11"/>
      <w:pPr>
        <w:spacing w:before="240" w:after="80"/>
        <w:shd w:val="clear" w:color="auto" w:fill="1F4E79"/>
        <w:ind w:left="120"/>
      </w:pPr>
      <w:r>
        <w:rPr>
          <w:rFonts w:ascii="Calibri" w:hAnsi="Calibri"/>
          <w:b/>
          <w:i w:val="0"/>
          <w:color w:val="FFFFFF"/>
          <w:sz w:val="28"/>
        </w:rPr>
        <w:t>Section 11: FF GA Participation Rules (Jul25)</w:t>
      </w:r>
      <w:bookmarkEnd w:id="11"/>
    </w:p>
    <w:p>
      <w:pPr>
        <w:spacing w:before="20" w:after="60"/>
      </w:pPr>
      <w:r>
        <w:rPr>
          <w:rFonts w:ascii="Calibri" w:hAnsi="Calibri"/>
          <w:b w:val="0"/>
          <w:i w:val="0"/>
          <w:sz w:val="21"/>
        </w:rPr>
        <w:t>Unique to July 2025. Field Force GA Participation rules were introduced to ensure consistent daily contribution from RSOs and Business Partners.</w:t>
      </w:r>
    </w:p>
    <w:p>
      <w:pPr>
        <w:spacing w:before="120" w:after="80"/>
        <w:pBdr>
          <w:bottom w:val="single" w:sz="6" w:space="1" w:color="2E75B6"/>
        </w:pBdr>
      </w:pPr>
      <w:r>
        <w:rPr>
          <w:rFonts w:ascii="Calibri" w:hAnsi="Calibri"/>
          <w:b/>
          <w:i w:val="0"/>
          <w:color w:val="1F4E79"/>
          <w:sz w:val="24"/>
        </w:rPr>
        <w:t>11.1 Jul25 FF GA Rules</w:t>
      </w:r>
    </w:p>
    <w:tbl>
      <w:tblPr>
        <w:tblLook w:firstColumn="1" w:firstRow="1" w:lastColumn="0" w:lastRow="0" w:noHBand="0" w:noVBand="1" w:val="04A0"/>
        <w:tblW w:w="9000" w:type="dxa"/>
      </w:tblPr>
      <w:tblGrid>
        <w:gridCol w:w="4513"/>
        <w:gridCol w:w="4513"/>
      </w:tblGrid>
      <w:tr>
        <w:tc>
          <w:tcPr>
            <w:shd w:val="clear" w:color="auto" w:fill="1F4E79"/>
            <w:tcW w:w="2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Rule</w:t>
            </w:r>
          </w:p>
        </w:tc>
        <w:tc>
          <w:tcPr>
            <w:shd w:val="clear" w:color="auto" w:fill="1F4E79"/>
            <w:tcW w:w="6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Condition</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DD FF Definition</w:t>
            </w:r>
          </w:p>
        </w:tc>
        <w:tc>
          <w:tcPr>
            <w:shd w:val="clear" w:color="auto" w:fill="FFFFFF"/>
            <w:tcW w:w="6200" w:type="dxa"/>
            <w:tcMar>
              <w:top w:w="60" w:type="dxa"/>
              <w:bottom w:w="60" w:type="dxa"/>
              <w:left w:w="100" w:type="dxa"/>
              <w:right w:w="100" w:type="dxa"/>
            </w:tcMar>
            <w:vAlign w:val="center"/>
          </w:tcPr>
          <w:p>
            <w:pPr>
              <w:jc w:val="left"/>
              <w:spacing w:before="0" w:after="0"/>
            </w:pPr>
            <w:r>
              <w:rPr>
                <w:rFonts w:ascii="Calibri" w:hAnsi="Calibri"/>
                <w:b w:val="0"/>
                <w:i w:val="0"/>
                <w:sz w:val="20"/>
              </w:rPr>
              <w:t>RSO + July'25 Allocated BP (Business Partner)</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Minimum Daily GA</w:t>
            </w:r>
          </w:p>
        </w:tc>
        <w:tc>
          <w:tcPr>
            <w:shd w:val="clear" w:color="auto" w:fill="F2F2F2"/>
            <w:tcW w:w="6200" w:type="dxa"/>
            <w:tcMar>
              <w:top w:w="60" w:type="dxa"/>
              <w:bottom w:w="60" w:type="dxa"/>
              <w:left w:w="100" w:type="dxa"/>
              <w:right w:w="100" w:type="dxa"/>
            </w:tcMar>
            <w:vAlign w:val="center"/>
          </w:tcPr>
          <w:p>
            <w:pPr>
              <w:jc w:val="left"/>
              <w:spacing w:before="0" w:after="0"/>
            </w:pPr>
            <w:r>
              <w:rPr>
                <w:rFonts w:ascii="Calibri" w:hAnsi="Calibri"/>
                <w:b w:val="0"/>
                <w:i w:val="0"/>
                <w:sz w:val="20"/>
              </w:rPr>
              <w:t>1 GA per day per RSO/BP</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RSO GA Composition</w:t>
            </w:r>
          </w:p>
        </w:tc>
        <w:tc>
          <w:tcPr>
            <w:shd w:val="clear" w:color="auto" w:fill="FFFFFF"/>
            <w:tcW w:w="6200" w:type="dxa"/>
            <w:tcMar>
              <w:top w:w="60" w:type="dxa"/>
              <w:bottom w:w="60" w:type="dxa"/>
              <w:left w:w="100" w:type="dxa"/>
              <w:right w:w="100" w:type="dxa"/>
            </w:tcMar>
            <w:vAlign w:val="center"/>
          </w:tcPr>
          <w:p>
            <w:pPr>
              <w:jc w:val="left"/>
              <w:spacing w:before="0" w:after="0"/>
            </w:pPr>
            <w:r>
              <w:rPr>
                <w:rFonts w:ascii="Calibri" w:hAnsi="Calibri"/>
                <w:b w:val="0"/>
                <w:i w:val="0"/>
                <w:sz w:val="20"/>
              </w:rPr>
              <w:t>RSO Specific Code GA + RSO Market GA (combined count)</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BP GA Composition</w:t>
            </w:r>
          </w:p>
        </w:tc>
        <w:tc>
          <w:tcPr>
            <w:shd w:val="clear" w:color="auto" w:fill="F2F2F2"/>
            <w:tcW w:w="6200" w:type="dxa"/>
            <w:tcMar>
              <w:top w:w="60" w:type="dxa"/>
              <w:bottom w:w="60" w:type="dxa"/>
              <w:left w:w="100" w:type="dxa"/>
              <w:right w:w="100" w:type="dxa"/>
            </w:tcMar>
            <w:vAlign w:val="center"/>
          </w:tcPr>
          <w:p>
            <w:pPr>
              <w:jc w:val="left"/>
              <w:spacing w:before="0" w:after="0"/>
            </w:pPr>
            <w:r>
              <w:rPr>
                <w:rFonts w:ascii="Calibri" w:hAnsi="Calibri"/>
                <w:b w:val="0"/>
                <w:i w:val="0"/>
                <w:sz w:val="20"/>
              </w:rPr>
              <w:t>GA from BP Code only</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Monthly Performance Basis</w:t>
            </w:r>
          </w:p>
        </w:tc>
        <w:tc>
          <w:tcPr>
            <w:shd w:val="clear" w:color="auto" w:fill="FFFFFF"/>
            <w:tcW w:w="6200" w:type="dxa"/>
            <w:tcMar>
              <w:top w:w="60" w:type="dxa"/>
              <w:bottom w:w="60" w:type="dxa"/>
              <w:left w:w="100" w:type="dxa"/>
              <w:right w:w="100" w:type="dxa"/>
            </w:tcMar>
            <w:vAlign w:val="center"/>
          </w:tcPr>
          <w:p>
            <w:pPr>
              <w:jc w:val="left"/>
              <w:spacing w:before="0" w:after="0"/>
            </w:pPr>
            <w:r>
              <w:rPr>
                <w:rFonts w:ascii="Calibri" w:hAnsi="Calibri"/>
                <w:b w:val="0"/>
                <w:i w:val="0"/>
                <w:sz w:val="20"/>
              </w:rPr>
              <w:t>Best 25 out of 31 days (not full 31 days of July)</w:t>
            </w:r>
          </w:p>
        </w:tc>
      </w:tr>
    </w:tbl>
    <w:p>
      <w:pPr>
        <w:spacing w:before="60" w:after="60"/>
        <w:ind w:left="170"/>
        <w:shd w:val="clear" w:color="auto" w:fill="FFF2CC"/>
      </w:pPr>
      <w:r>
        <w:rPr>
          <w:rFonts w:ascii="Calibri" w:hAnsi="Calibri"/>
          <w:b w:val="0"/>
          <w:i/>
          <w:color w:val="595959"/>
          <w:sz w:val="20"/>
        </w:rPr>
        <w:t>The 'Best 25 of 31 days' rule gives RSOs/BPs flexibility to miss up to 6 days without penalty. Only introduced in Jul25 — not present in other months.</w:t>
      </w:r>
    </w:p>
    <w:p>
      <w:pPr>
        <w:spacing w:before="120" w:after="80"/>
        <w:pBdr>
          <w:bottom w:val="single" w:sz="6" w:space="1" w:color="2E75B6"/>
        </w:pBdr>
      </w:pPr>
      <w:r>
        <w:rPr>
          <w:rFonts w:ascii="Calibri" w:hAnsi="Calibri"/>
          <w:b/>
          <w:i w:val="0"/>
          <w:color w:val="1F4E79"/>
          <w:sz w:val="24"/>
        </w:rPr>
        <w:t>11.2 Special DHs in Jul25</w:t>
      </w:r>
    </w:p>
    <w:p>
      <w:pPr>
        <w:spacing w:before="20" w:after="60"/>
      </w:pPr>
      <w:r>
        <w:rPr>
          <w:rFonts w:ascii="Calibri" w:hAnsi="Calibri"/>
          <w:b w:val="0"/>
          <w:i w:val="0"/>
          <w:sz w:val="21"/>
        </w:rPr>
        <w:t>The following 7 DHs received special considerations in Jul25 (separate campaign modality or target structure):</w:t>
      </w:r>
    </w:p>
    <w:p>
      <w:pPr>
        <w:pStyle w:val="ListBullet"/>
        <w:spacing w:before="20" w:after="40"/>
        <w:ind w:left="283"/>
      </w:pPr>
      <w:r>
        <w:rPr>
          <w:rFonts w:ascii="Calibri" w:hAnsi="Calibri"/>
          <w:b w:val="0"/>
          <w:i w:val="0"/>
          <w:sz w:val="21"/>
        </w:rPr>
        <w:t>DHKGOP09, DHKGOP10, DHKGOP11, DHKGOP08</w:t>
      </w:r>
    </w:p>
    <w:p>
      <w:pPr>
        <w:pStyle w:val="ListBullet"/>
        <w:spacing w:before="20" w:after="40"/>
        <w:ind w:left="283"/>
      </w:pPr>
      <w:r>
        <w:rPr>
          <w:rFonts w:ascii="Calibri" w:hAnsi="Calibri"/>
          <w:b w:val="0"/>
          <w:i w:val="0"/>
          <w:sz w:val="21"/>
        </w:rPr>
        <w:t>DHKFAR04, DHKFAR08, DHKFAR09</w:t>
      </w:r>
    </w:p>
    <w:p>
      <w:pPr>
        <w:spacing w:before="20" w:after="60"/>
      </w:pPr>
      <w:r>
        <w:rPr>
          <w:rFonts w:ascii="Calibri" w:hAnsi="Calibri"/>
          <w:b w:val="0"/>
          <w:i/>
          <w:color w:val="595959"/>
          <w:sz w:val="21"/>
        </w:rPr>
        <w:t>The exact special terms are shared via B2C target files and not detailed in the SRF text body.</w:t>
      </w:r>
    </w:p>
    <w:p>
      <w:pPr>
        <w:spacing w:before="0" w:after="0"/>
      </w:pPr>
      <w:r>
        <w:br w:type="page"/>
      </w:r>
    </w:p>
    <w:p>
      <w:bookmarkStart w:id="12" w:name="sec12"/>
      <w:pPr>
        <w:spacing w:before="240" w:after="80"/>
        <w:shd w:val="clear" w:color="auto" w:fill="1F4E79"/>
        <w:ind w:left="120"/>
      </w:pPr>
      <w:r>
        <w:rPr>
          <w:rFonts w:ascii="Calibri" w:hAnsi="Calibri"/>
          <w:b/>
          <w:i w:val="0"/>
          <w:color w:val="FFFFFF"/>
          <w:sz w:val="28"/>
        </w:rPr>
        <w:t>Section 12: Cluster-Specific Campaign Modalities</w:t>
      </w:r>
      <w:bookmarkEnd w:id="12"/>
    </w:p>
    <w:p>
      <w:pPr>
        <w:spacing w:before="20" w:after="60"/>
      </w:pPr>
      <w:r>
        <w:rPr>
          <w:rFonts w:ascii="Calibri" w:hAnsi="Calibri"/>
          <w:b w:val="0"/>
          <w:i w:val="0"/>
          <w:sz w:val="21"/>
        </w:rPr>
        <w:t>Several months have differentiated campaign structures for different geographic clusters. The actual target slabs and incentive amounts are embedded as images in the PDFs (shared via B2C Excel files), but the cluster groupings are defined in the SRFs.</w:t>
      </w:r>
    </w:p>
    <w:p>
      <w:pPr>
        <w:spacing w:before="120" w:after="80"/>
        <w:pBdr>
          <w:bottom w:val="single" w:sz="6" w:space="1" w:color="2E75B6"/>
        </w:pBdr>
      </w:pPr>
      <w:r>
        <w:rPr>
          <w:rFonts w:ascii="Calibri" w:hAnsi="Calibri"/>
          <w:b/>
          <w:i w:val="0"/>
          <w:color w:val="1F4E79"/>
          <w:sz w:val="24"/>
        </w:rPr>
        <w:t>12.1 Cluster Split by Month</w:t>
      </w:r>
    </w:p>
    <w:tbl>
      <w:tblPr>
        <w:tblLook w:firstColumn="1" w:firstRow="1" w:lastColumn="0" w:lastRow="0" w:noHBand="0" w:noVBand="1" w:val="04A0"/>
        <w:tblW w:w="9000" w:type="dxa"/>
      </w:tblPr>
      <w:tblGrid>
        <w:gridCol w:w="3009"/>
        <w:gridCol w:w="3009"/>
        <w:gridCol w:w="3009"/>
      </w:tblGrid>
      <w:tr>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Month</w:t>
            </w:r>
          </w:p>
        </w:tc>
        <w:tc>
          <w:tcPr>
            <w:shd w:val="clear" w:color="auto" w:fill="1F4E79"/>
            <w:tcW w:w="3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Cluster Groups</w:t>
            </w:r>
          </w:p>
        </w:tc>
        <w:tc>
          <w:tcPr>
            <w:shd w:val="clear" w:color="auto" w:fill="1F4E79"/>
            <w:tcW w:w="4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Notes</w:t>
            </w:r>
          </w:p>
        </w:tc>
      </w:tr>
      <w:tr>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Mar25</w:t>
            </w:r>
          </w:p>
        </w:tc>
        <w:tc>
          <w:tcPr>
            <w:shd w:val="clear" w:color="auto" w:fill="FFFFFF"/>
            <w:tcW w:w="3800" w:type="dxa"/>
            <w:tcMar>
              <w:top w:w="60" w:type="dxa"/>
              <w:bottom w:w="60" w:type="dxa"/>
              <w:left w:w="100" w:type="dxa"/>
              <w:right w:w="100" w:type="dxa"/>
            </w:tcMar>
            <w:vAlign w:val="center"/>
          </w:tcPr>
          <w:p>
            <w:pPr>
              <w:jc w:val="left"/>
              <w:spacing w:before="0" w:after="0"/>
            </w:pPr>
            <w:r>
              <w:rPr>
                <w:rFonts w:ascii="Calibri" w:hAnsi="Calibri"/>
                <w:b w:val="0"/>
                <w:i w:val="0"/>
                <w:sz w:val="20"/>
              </w:rPr>
              <w:t>Group 1: All Clusters except Central Cluster &amp; Gazipur Region</w:t>
              <w:br/>
              <w:t>Group 2: Central Cluster &amp; Gazipur Region</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Two distinct modalities</w:t>
            </w:r>
          </w:p>
        </w:tc>
      </w:tr>
      <w:tr>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Apr25</w:t>
            </w:r>
          </w:p>
        </w:tc>
        <w:tc>
          <w:tcPr>
            <w:shd w:val="clear" w:color="auto" w:fill="F2F2F2"/>
            <w:tcW w:w="3800" w:type="dxa"/>
            <w:tcMar>
              <w:top w:w="60" w:type="dxa"/>
              <w:bottom w:w="60" w:type="dxa"/>
              <w:left w:w="100" w:type="dxa"/>
              <w:right w:w="100" w:type="dxa"/>
            </w:tcMar>
            <w:vAlign w:val="center"/>
          </w:tcPr>
          <w:p>
            <w:pPr>
              <w:jc w:val="left"/>
              <w:spacing w:before="0" w:after="0"/>
            </w:pPr>
            <w:r>
              <w:rPr>
                <w:rFonts w:ascii="Calibri" w:hAnsi="Calibri"/>
                <w:b w:val="0"/>
                <w:i w:val="0"/>
                <w:sz w:val="20"/>
              </w:rPr>
              <w:t>Single modality for all clusters</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Unified campaign</w:t>
            </w:r>
          </w:p>
        </w:tc>
      </w:tr>
      <w:tr>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May25</w:t>
            </w:r>
          </w:p>
        </w:tc>
        <w:tc>
          <w:tcPr>
            <w:shd w:val="clear" w:color="auto" w:fill="FFFFFF"/>
            <w:tcW w:w="3800" w:type="dxa"/>
            <w:tcMar>
              <w:top w:w="60" w:type="dxa"/>
              <w:bottom w:w="60" w:type="dxa"/>
              <w:left w:w="100" w:type="dxa"/>
              <w:right w:w="100" w:type="dxa"/>
            </w:tcMar>
            <w:vAlign w:val="center"/>
          </w:tcPr>
          <w:p>
            <w:pPr>
              <w:jc w:val="left"/>
              <w:spacing w:before="0" w:after="0"/>
            </w:pPr>
            <w:r>
              <w:rPr>
                <w:rFonts w:ascii="Calibri" w:hAnsi="Calibri"/>
                <w:b w:val="0"/>
                <w:i w:val="0"/>
                <w:sz w:val="20"/>
              </w:rPr>
              <w:t>Single modality for all clusters</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Unified campaign</w:t>
            </w:r>
          </w:p>
        </w:tc>
      </w:tr>
      <w:tr>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Jun25</w:t>
            </w:r>
          </w:p>
        </w:tc>
        <w:tc>
          <w:tcPr>
            <w:shd w:val="clear" w:color="auto" w:fill="F2F2F2"/>
            <w:tcW w:w="3800" w:type="dxa"/>
            <w:tcMar>
              <w:top w:w="60" w:type="dxa"/>
              <w:bottom w:w="60" w:type="dxa"/>
              <w:left w:w="100" w:type="dxa"/>
              <w:right w:w="100" w:type="dxa"/>
            </w:tcMar>
            <w:vAlign w:val="center"/>
          </w:tcPr>
          <w:p>
            <w:pPr>
              <w:jc w:val="left"/>
              <w:spacing w:before="0" w:after="0"/>
            </w:pPr>
            <w:r>
              <w:rPr>
                <w:rFonts w:ascii="Calibri" w:hAnsi="Calibri"/>
                <w:b w:val="0"/>
                <w:i w:val="0"/>
                <w:sz w:val="20"/>
              </w:rPr>
              <w:t>Group 1: Except Central Cluster &amp; West Cluster</w:t>
              <w:br/>
              <w:t>Group 2: Central Cluster</w:t>
              <w:br/>
              <w:t>Group 3: West Cluster</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Three distinct modalities</w:t>
            </w:r>
          </w:p>
        </w:tc>
      </w:tr>
      <w:tr>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Jul25</w:t>
            </w:r>
          </w:p>
        </w:tc>
        <w:tc>
          <w:tcPr>
            <w:shd w:val="clear" w:color="auto" w:fill="FFFFFF"/>
            <w:tcW w:w="3800" w:type="dxa"/>
            <w:tcMar>
              <w:top w:w="60" w:type="dxa"/>
              <w:bottom w:w="60" w:type="dxa"/>
              <w:left w:w="100" w:type="dxa"/>
              <w:right w:w="100" w:type="dxa"/>
            </w:tcMar>
            <w:vAlign w:val="center"/>
          </w:tcPr>
          <w:p>
            <w:pPr>
              <w:jc w:val="left"/>
              <w:spacing w:before="0" w:after="0"/>
            </w:pPr>
            <w:r>
              <w:rPr>
                <w:rFonts w:ascii="Calibri" w:hAnsi="Calibri"/>
                <w:b w:val="0"/>
                <w:i w:val="0"/>
                <w:sz w:val="20"/>
              </w:rPr>
              <w:t>Single modality + 7 special DHs (separate consideration)</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DHKGOP/DHKFAR codes get special terms</w:t>
            </w:r>
          </w:p>
        </w:tc>
      </w:tr>
      <w:tr>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Aug25</w:t>
            </w:r>
          </w:p>
        </w:tc>
        <w:tc>
          <w:tcPr>
            <w:shd w:val="clear" w:color="auto" w:fill="F2F2F2"/>
            <w:tcW w:w="3800" w:type="dxa"/>
            <w:tcMar>
              <w:top w:w="60" w:type="dxa"/>
              <w:bottom w:w="60" w:type="dxa"/>
              <w:left w:w="100" w:type="dxa"/>
              <w:right w:w="100" w:type="dxa"/>
            </w:tcMar>
            <w:vAlign w:val="center"/>
          </w:tcPr>
          <w:p>
            <w:pPr>
              <w:jc w:val="left"/>
              <w:spacing w:before="0" w:after="0"/>
            </w:pPr>
            <w:r>
              <w:rPr>
                <w:rFonts w:ascii="Calibri" w:hAnsi="Calibri"/>
                <w:b w:val="0"/>
                <w:i w:val="0"/>
                <w:sz w:val="20"/>
              </w:rPr>
              <w:t>Group 1: North-East, North &amp; East Cluster</w:t>
              <w:br/>
              <w:t>Group 2: Central &amp; West Cluster</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Two distinct modalities</w:t>
            </w:r>
          </w:p>
        </w:tc>
      </w:tr>
    </w:tbl>
    <w:p>
      <w:pPr>
        <w:spacing w:before="60" w:after="60"/>
        <w:ind w:left="170"/>
        <w:shd w:val="clear" w:color="auto" w:fill="D6E4F0"/>
      </w:pPr>
      <w:r>
        <w:rPr>
          <w:rFonts w:ascii="Calibri" w:hAnsi="Calibri"/>
          <w:b w:val="0"/>
          <w:i/>
          <w:color w:val="595959"/>
          <w:sz w:val="20"/>
        </w:rPr>
        <w:t>Cluster-specific incentive tables (slab structures, target amounts) are provided by B2C in target Excel files. The SRF text only defines which clusters fall under which modality — the actual BDT amounts are in B2C-shared files.</w:t>
      </w:r>
    </w:p>
    <w:p>
      <w:pPr>
        <w:spacing w:before="0" w:after="0"/>
      </w:pPr>
      <w:r>
        <w:br w:type="page"/>
      </w:r>
    </w:p>
    <w:p>
      <w:bookmarkStart w:id="13" w:name="sec13"/>
      <w:pPr>
        <w:spacing w:before="240" w:after="80"/>
        <w:shd w:val="clear" w:color="auto" w:fill="1F4E79"/>
        <w:ind w:left="120"/>
      </w:pPr>
      <w:r>
        <w:rPr>
          <w:rFonts w:ascii="Calibri" w:hAnsi="Calibri"/>
          <w:b/>
          <w:i w:val="0"/>
          <w:color w:val="FFFFFF"/>
          <w:sz w:val="28"/>
        </w:rPr>
        <w:t>Section 13: Universal General Conditions</w:t>
      </w:r>
      <w:bookmarkEnd w:id="13"/>
    </w:p>
    <w:p>
      <w:pPr>
        <w:spacing w:before="20" w:after="60"/>
      </w:pPr>
      <w:r>
        <w:rPr>
          <w:rFonts w:ascii="Calibri" w:hAnsi="Calibri"/>
          <w:b w:val="0"/>
          <w:i w:val="0"/>
          <w:sz w:val="21"/>
        </w:rPr>
        <w:t>The following conditions appear consistently across all Shera Partner SRFs.</w:t>
      </w:r>
    </w:p>
    <w:tbl>
      <w:tblPr>
        <w:tblLook w:firstColumn="1" w:firstRow="1" w:lastColumn="0" w:lastRow="0" w:noHBand="0" w:noVBand="1" w:val="04A0"/>
        <w:tblW w:w="9200" w:type="dxa"/>
      </w:tblPr>
      <w:tblGrid>
        <w:gridCol w:w="3009"/>
        <w:gridCol w:w="3009"/>
        <w:gridCol w:w="3009"/>
      </w:tblGrid>
      <w:tr>
        <w:tc>
          <w:tcPr>
            <w:shd w:val="clear" w:color="auto" w:fill="1F4E79"/>
            <w:tcW w:w="2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Condition</w:t>
            </w:r>
          </w:p>
        </w:tc>
        <w:tc>
          <w:tcPr>
            <w:shd w:val="clear" w:color="auto" w:fill="1F4E79"/>
            <w:tcW w:w="2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Value / Requirement</w:t>
            </w:r>
          </w:p>
        </w:tc>
        <w:tc>
          <w:tcPr>
            <w:shd w:val="clear" w:color="auto" w:fill="1F4E79"/>
            <w:tcW w:w="3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Notes / Exceptions</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Activation Basis</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FCD (First Call Date)</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Within campaign promotion period</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ETSAF Compliance</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 98% by 7th of following month</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Vetted and accepted by Banglalink</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Disconnection Cutoff</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T-6 (between FCD and report date)</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Disconnected numbers excluded from GA</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MNP Port-IN</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Counted as GA based on FCD</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Universal across all SRFs</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DRC Exclusion</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DRC GA excluded from achievement</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DRC list shared by B2C</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DRC EV Secondary</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DRC EV Secondary excluded</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DRC list shared by B2C</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Valid Usage</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Outgoing call or internet in month; min 93% of GA</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Calendar month basis</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Rounding</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Standard (&lt; 0.5 rounds down; ≥ 0.5 rounds up)</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Universal</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Product Type</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Prepaid: itop'up, SC, Data Upsell, GA, Mix Bundle, Voice Bundle upsell</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All products standard prepaid</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RDB Reference</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Month-end RDB of the campaign month</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e.g., Mar'25 RDB for Mar25 campaign</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Budget Sharing</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DH-wise budget shared by B2C team</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Not computable from SRF text alone</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Retail SCR</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Shared by B2C team</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Not in IT data directly</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Dual Assessment</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EV + SC evaluated separately AND cumulatively; higher paid</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See Section 3</w:t>
            </w:r>
          </w:p>
        </w:tc>
      </w:tr>
      <w:tr>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i w:val="0"/>
                <w:sz w:val="20"/>
              </w:rPr>
              <w:t>Data Source</w:t>
            </w:r>
          </w:p>
        </w:tc>
        <w:tc>
          <w:tcPr>
            <w:shd w:val="clear" w:color="auto" w:fill="F2F2F2"/>
            <w:tcW w:w="2800" w:type="dxa"/>
            <w:tcMar>
              <w:top w:w="60" w:type="dxa"/>
              <w:bottom w:w="60" w:type="dxa"/>
              <w:left w:w="100" w:type="dxa"/>
              <w:right w:w="100" w:type="dxa"/>
            </w:tcMar>
            <w:vAlign w:val="center"/>
          </w:tcPr>
          <w:p>
            <w:pPr>
              <w:jc w:val="left"/>
              <w:spacing w:before="0" w:after="0"/>
            </w:pPr>
            <w:r>
              <w:rPr>
                <w:rFonts w:ascii="Calibri" w:hAnsi="Calibri"/>
                <w:b w:val="0"/>
                <w:i w:val="0"/>
                <w:sz w:val="20"/>
              </w:rPr>
              <w:t>IT SC + IT BI + DWH + POS</w:t>
            </w:r>
          </w:p>
        </w:tc>
        <w:tc>
          <w:tcPr>
            <w:shd w:val="clear" w:color="auto" w:fill="F2F2F2"/>
            <w:tcW w:w="3600" w:type="dxa"/>
            <w:tcMar>
              <w:top w:w="60" w:type="dxa"/>
              <w:bottom w:w="60" w:type="dxa"/>
              <w:left w:w="100" w:type="dxa"/>
              <w:right w:w="100" w:type="dxa"/>
            </w:tcMar>
            <w:vAlign w:val="center"/>
          </w:tcPr>
          <w:p>
            <w:pPr>
              <w:jc w:val="left"/>
              <w:spacing w:before="0" w:after="0"/>
            </w:pPr>
            <w:r>
              <w:rPr>
                <w:rFonts w:ascii="Calibri" w:hAnsi="Calibri"/>
                <w:b w:val="0"/>
                <w:i w:val="0"/>
                <w:sz w:val="20"/>
              </w:rPr>
              <w:t>Combined data sources</w:t>
            </w:r>
          </w:p>
        </w:tc>
      </w:tr>
      <w:tr>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i w:val="0"/>
                <w:sz w:val="20"/>
              </w:rPr>
              <w:t>Report Type</w:t>
            </w:r>
          </w:p>
        </w:tc>
        <w:tc>
          <w:tcPr>
            <w:shd w:val="clear" w:color="auto" w:fill="FFFFFF"/>
            <w:tcW w:w="2800" w:type="dxa"/>
            <w:tcMar>
              <w:top w:w="60" w:type="dxa"/>
              <w:bottom w:w="60" w:type="dxa"/>
              <w:left w:w="100" w:type="dxa"/>
              <w:right w:w="100" w:type="dxa"/>
            </w:tcMar>
            <w:vAlign w:val="center"/>
          </w:tcPr>
          <w:p>
            <w:pPr>
              <w:jc w:val="left"/>
              <w:spacing w:before="0" w:after="0"/>
            </w:pPr>
            <w:r>
              <w:rPr>
                <w:rFonts w:ascii="Calibri" w:hAnsi="Calibri"/>
                <w:b w:val="0"/>
                <w:i w:val="0"/>
                <w:sz w:val="20"/>
              </w:rPr>
              <w:t>Disbursement slot (not provision)</w:t>
            </w:r>
          </w:p>
        </w:tc>
        <w:tc>
          <w:tcPr>
            <w:shd w:val="clear" w:color="auto" w:fill="FFFFFF"/>
            <w:tcW w:w="3600" w:type="dxa"/>
            <w:tcMar>
              <w:top w:w="60" w:type="dxa"/>
              <w:bottom w:w="60" w:type="dxa"/>
              <w:left w:w="100" w:type="dxa"/>
              <w:right w:w="100" w:type="dxa"/>
            </w:tcMar>
            <w:vAlign w:val="center"/>
          </w:tcPr>
          <w:p>
            <w:pPr>
              <w:jc w:val="left"/>
              <w:spacing w:before="0" w:after="0"/>
            </w:pPr>
            <w:r>
              <w:rPr>
                <w:rFonts w:ascii="Calibri" w:hAnsi="Calibri"/>
                <w:b w:val="0"/>
                <w:i w:val="0"/>
                <w:sz w:val="20"/>
              </w:rPr>
              <w:t>End of campaign reporting</w:t>
            </w:r>
          </w:p>
        </w:tc>
      </w:tr>
    </w:tbl>
    <w:p>
      <w:pPr>
        <w:spacing w:before="0" w:after="0"/>
      </w:pPr>
      <w:r>
        <w:br w:type="page"/>
      </w:r>
    </w:p>
    <w:p>
      <w:bookmarkStart w:id="14" w:name="sec14"/>
      <w:pPr>
        <w:spacing w:before="240" w:after="80"/>
        <w:shd w:val="clear" w:color="auto" w:fill="1F4E79"/>
        <w:ind w:left="120"/>
      </w:pPr>
      <w:r>
        <w:rPr>
          <w:rFonts w:ascii="Calibri" w:hAnsi="Calibri"/>
          <w:b/>
          <w:i w:val="0"/>
          <w:color w:val="FFFFFF"/>
          <w:sz w:val="28"/>
        </w:rPr>
        <w:t>Section 14: Maturity Date &amp; Data Source Variations</w:t>
      </w:r>
      <w:bookmarkEnd w:id="14"/>
    </w:p>
    <w:p>
      <w:pPr>
        <w:spacing w:before="120" w:after="80"/>
        <w:pBdr>
          <w:bottom w:val="single" w:sz="6" w:space="1" w:color="2E75B6"/>
        </w:pBdr>
      </w:pPr>
      <w:r>
        <w:rPr>
          <w:rFonts w:ascii="Calibri" w:hAnsi="Calibri"/>
          <w:b/>
          <w:i w:val="0"/>
          <w:color w:val="1F4E79"/>
          <w:sz w:val="24"/>
        </w:rPr>
        <w:t>14.1 Maturity Date by SRF</w:t>
      </w:r>
    </w:p>
    <w:tbl>
      <w:tblPr>
        <w:tblLook w:firstColumn="1" w:firstRow="1" w:lastColumn="0" w:lastRow="0" w:noHBand="0" w:noVBand="1" w:val="04A0"/>
        <w:tblW w:w="8000" w:type="dxa"/>
      </w:tblPr>
      <w:tblGrid>
        <w:gridCol w:w="3009"/>
        <w:gridCol w:w="3009"/>
        <w:gridCol w:w="3009"/>
      </w:tblGrid>
      <w:tr>
        <w:tc>
          <w:tcPr>
            <w:shd w:val="clear" w:color="auto" w:fill="1F4E79"/>
            <w:tcW w:w="2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SRF</w:t>
            </w:r>
          </w:p>
        </w:tc>
        <w:tc>
          <w:tcPr>
            <w:shd w:val="clear" w:color="auto" w:fill="1F4E79"/>
            <w:tcW w:w="2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Maturity Date</w:t>
            </w:r>
          </w:p>
        </w:tc>
        <w:tc>
          <w:tcPr>
            <w:shd w:val="clear" w:color="auto" w:fill="1F4E79"/>
            <w:tcW w:w="40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Notes</w:t>
            </w:r>
          </w:p>
        </w:tc>
      </w:tr>
      <w:tr>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Mar25</w:t>
            </w:r>
          </w:p>
        </w:tc>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(Apr 8)</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r>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Apr25</w:t>
            </w:r>
          </w:p>
        </w:tc>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(May 8)</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r>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May25 (main)</w:t>
            </w:r>
          </w:p>
        </w:tc>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3rd of following month (Jun 3)</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CHANGED – earlier than standard</w:t>
            </w:r>
          </w:p>
        </w:tc>
      </w:tr>
      <w:tr>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May25 GA</w:t>
            </w:r>
          </w:p>
        </w:tc>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(Jun 8)</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r>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Jun25</w:t>
            </w:r>
          </w:p>
        </w:tc>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(Jul 8)</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r>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Jul25</w:t>
            </w:r>
          </w:p>
        </w:tc>
        <w:tc>
          <w:tcPr>
            <w:shd w:val="clear" w:color="auto" w:fill="F2F2F2"/>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(Aug 8)</w:t>
            </w:r>
          </w:p>
        </w:tc>
        <w:tc>
          <w:tcPr>
            <w:shd w:val="clear" w:color="auto" w:fill="F2F2F2"/>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r>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Aug25</w:t>
            </w:r>
          </w:p>
        </w:tc>
        <w:tc>
          <w:tcPr>
            <w:shd w:val="clear" w:color="auto" w:fill="FFFFFF"/>
            <w:tcW w:w="2000" w:type="dxa"/>
            <w:tcMar>
              <w:top w:w="60" w:type="dxa"/>
              <w:bottom w:w="60" w:type="dxa"/>
              <w:left w:w="100" w:type="dxa"/>
              <w:right w:w="100" w:type="dxa"/>
            </w:tcMar>
            <w:vAlign w:val="center"/>
          </w:tcPr>
          <w:p>
            <w:pPr>
              <w:jc w:val="center"/>
              <w:spacing w:before="0" w:after="0"/>
            </w:pPr>
            <w:r>
              <w:rPr>
                <w:rFonts w:ascii="Calibri" w:hAnsi="Calibri"/>
                <w:b w:val="0"/>
                <w:i w:val="0"/>
                <w:sz w:val="20"/>
              </w:rPr>
              <w:t>8th of following month (Sep 8)</w:t>
            </w:r>
          </w:p>
        </w:tc>
        <w:tc>
          <w:tcPr>
            <w:shd w:val="clear" w:color="auto" w:fill="FFFFFF"/>
            <w:tcW w:w="4000" w:type="dxa"/>
            <w:tcMar>
              <w:top w:w="60" w:type="dxa"/>
              <w:bottom w:w="60" w:type="dxa"/>
              <w:left w:w="100" w:type="dxa"/>
              <w:right w:w="100" w:type="dxa"/>
            </w:tcMar>
            <w:vAlign w:val="center"/>
          </w:tcPr>
          <w:p>
            <w:pPr>
              <w:jc w:val="left"/>
              <w:spacing w:before="0" w:after="0"/>
            </w:pPr>
            <w:r>
              <w:rPr>
                <w:rFonts w:ascii="Calibri" w:hAnsi="Calibri"/>
                <w:b w:val="0"/>
                <w:i w:val="0"/>
                <w:sz w:val="20"/>
              </w:rPr>
              <w:t>Standard</w:t>
            </w:r>
          </w:p>
        </w:tc>
      </w:tr>
    </w:tbl>
    <w:p>
      <w:pPr>
        <w:spacing w:before="60" w:after="60"/>
        <w:ind w:left="170"/>
        <w:shd w:val="clear" w:color="auto" w:fill="FFF2CC"/>
      </w:pPr>
      <w:r>
        <w:rPr>
          <w:rFonts w:ascii="Calibri" w:hAnsi="Calibri"/>
          <w:b w:val="0"/>
          <w:i/>
          <w:color w:val="595959"/>
          <w:sz w:val="20"/>
        </w:rPr>
        <w:t>May25 (main multi-KPI SRF) has an earlier maturity of the 3rd of the following month — the only deviation from the standard 8th. The May25 GA-only SRF retains the standard 8th.</w:t>
      </w:r>
    </w:p>
    <w:p>
      <w:pPr>
        <w:spacing w:before="120" w:after="80"/>
        <w:pBdr>
          <w:bottom w:val="single" w:sz="6" w:space="1" w:color="2E75B6"/>
        </w:pBdr>
      </w:pPr>
      <w:r>
        <w:rPr>
          <w:rFonts w:ascii="Calibri" w:hAnsi="Calibri"/>
          <w:b/>
          <w:i w:val="0"/>
          <w:color w:val="1F4E79"/>
          <w:sz w:val="24"/>
        </w:rPr>
        <w:t>14.2 Input Data Sources</w:t>
      </w:r>
    </w:p>
    <w:p>
      <w:pPr>
        <w:pStyle w:val="ListBullet"/>
        <w:spacing w:before="20" w:after="40"/>
        <w:ind w:left="283"/>
      </w:pPr>
      <w:r>
        <w:rPr>
          <w:rFonts w:ascii="Calibri" w:hAnsi="Calibri"/>
          <w:b w:val="0"/>
          <w:i w:val="0"/>
          <w:sz w:val="21"/>
        </w:rPr>
        <w:t>IT SC (IT Sales Commissioning) – commission processing</w:t>
      </w:r>
    </w:p>
    <w:p>
      <w:pPr>
        <w:pStyle w:val="ListBullet"/>
        <w:spacing w:before="20" w:after="40"/>
        <w:ind w:left="283"/>
      </w:pPr>
      <w:r>
        <w:rPr>
          <w:rFonts w:ascii="Calibri" w:hAnsi="Calibri"/>
          <w:b w:val="0"/>
          <w:i w:val="0"/>
          <w:sz w:val="21"/>
        </w:rPr>
        <w:t>IT BI (Business Intelligence) – analytics data</w:t>
      </w:r>
    </w:p>
    <w:p>
      <w:pPr>
        <w:pStyle w:val="ListBullet"/>
        <w:spacing w:before="20" w:after="40"/>
        <w:ind w:left="283"/>
      </w:pPr>
      <w:r>
        <w:rPr>
          <w:rFonts w:ascii="Calibri" w:hAnsi="Calibri"/>
          <w:b w:val="0"/>
          <w:i w:val="0"/>
          <w:sz w:val="21"/>
        </w:rPr>
        <w:t>DWH (Data Warehouse) – core data warehouse</w:t>
      </w:r>
    </w:p>
    <w:p>
      <w:pPr>
        <w:pStyle w:val="ListBullet"/>
        <w:spacing w:before="20" w:after="40"/>
        <w:ind w:left="283"/>
      </w:pPr>
      <w:r>
        <w:rPr>
          <w:rFonts w:ascii="Calibri" w:hAnsi="Calibri"/>
          <w:b w:val="0"/>
          <w:i w:val="0"/>
          <w:sz w:val="21"/>
        </w:rPr>
        <w:t>POS (Point of Sale) – transaction data</w:t>
      </w:r>
    </w:p>
    <w:p>
      <w:pPr>
        <w:pStyle w:val="ListBullet"/>
        <w:spacing w:before="20" w:after="40"/>
        <w:ind w:left="283"/>
      </w:pPr>
      <w:r>
        <w:rPr>
          <w:rFonts w:ascii="Calibri" w:hAnsi="Calibri"/>
          <w:b w:val="0"/>
          <w:i w:val="0"/>
          <w:sz w:val="21"/>
        </w:rPr>
        <w:t>Report Published: As per tracker</w:t>
      </w:r>
    </w:p>
    <w:p>
      <w:pPr>
        <w:pStyle w:val="ListBullet"/>
        <w:spacing w:before="20" w:after="40"/>
        <w:ind w:left="283"/>
      </w:pPr>
      <w:r>
        <w:rPr>
          <w:rFonts w:ascii="Calibri" w:hAnsi="Calibri"/>
          <w:b w:val="0"/>
          <w:i w:val="0"/>
          <w:sz w:val="21"/>
        </w:rPr>
        <w:t>Report Sharing Slot: Disbursement (not provision)</w:t>
      </w:r>
    </w:p>
    <w:p>
      <w:pPr>
        <w:spacing w:before="0" w:after="0"/>
      </w:pPr>
      <w:r>
        <w:br w:type="page"/>
      </w:r>
    </w:p>
    <w:p>
      <w:bookmarkStart w:id="21" w:name="appA"/>
      <w:pPr>
        <w:spacing w:before="240" w:after="80"/>
        <w:shd w:val="clear" w:color="auto" w:fill="1F4E79"/>
        <w:ind w:left="120"/>
      </w:pPr>
      <w:r>
        <w:rPr>
          <w:rFonts w:ascii="Calibri" w:hAnsi="Calibri"/>
          <w:b/>
          <w:i w:val="0"/>
          <w:color w:val="FFFFFF"/>
          <w:sz w:val="28"/>
        </w:rPr>
        <w:t>Appendix A: Month-by-Month Variation Matrix</w:t>
      </w:r>
      <w:bookmarkEnd w:id="21"/>
    </w:p>
    <w:p>
      <w:pPr>
        <w:spacing w:before="20" w:after="60"/>
      </w:pPr>
      <w:r>
        <w:rPr>
          <w:rFonts w:ascii="Calibri" w:hAnsi="Calibri"/>
          <w:b w:val="0"/>
          <w:i w:val="0"/>
          <w:sz w:val="21"/>
        </w:rPr>
        <w:t>All 7 Shera Partner SRFs compared on key varying parameters.</w:t>
      </w:r>
    </w:p>
    <w:tbl>
      <w:tblPr>
        <w:tblLook w:firstColumn="1" w:firstRow="1" w:lastColumn="0" w:lastRow="0" w:noHBand="0" w:noVBand="1" w:val="04A0"/>
        <w:tblW w:w="9200" w:type="dxa"/>
      </w:tblPr>
      <w:tblGrid>
        <w:gridCol w:w="1289"/>
        <w:gridCol w:w="1289"/>
        <w:gridCol w:w="1289"/>
        <w:gridCol w:w="1289"/>
        <w:gridCol w:w="1289"/>
        <w:gridCol w:w="1289"/>
        <w:gridCol w:w="1289"/>
      </w:tblGrid>
      <w:tr>
        <w:tc>
          <w:tcPr>
            <w:shd w:val="clear" w:color="auto" w:fill="1F4E79"/>
            <w:tcW w:w="18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Parameter</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Mar25</w:t>
            </w:r>
          </w:p>
        </w:tc>
        <w:tc>
          <w:tcPr>
            <w:shd w:val="clear" w:color="auto" w:fill="1F4E79"/>
            <w:tcW w:w="12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Apr25</w:t>
            </w:r>
          </w:p>
        </w:tc>
        <w:tc>
          <w:tcPr>
            <w:shd w:val="clear" w:color="auto" w:fill="1F4E79"/>
            <w:tcW w:w="14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May25 Main</w:t>
            </w:r>
          </w:p>
        </w:tc>
        <w:tc>
          <w:tcPr>
            <w:shd w:val="clear" w:color="auto" w:fill="1F4E79"/>
            <w:tcW w:w="1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May25 GA</w:t>
            </w:r>
          </w:p>
        </w:tc>
        <w:tc>
          <w:tcPr>
            <w:shd w:val="clear" w:color="auto" w:fill="1F4E79"/>
            <w:tcW w:w="14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Jun25</w:t>
            </w:r>
          </w:p>
        </w:tc>
        <w:tc>
          <w:tcPr>
            <w:shd w:val="clear" w:color="auto" w:fill="1F4E79"/>
            <w:tcW w:w="600" w:type="dxa"/>
            <w:tcMar>
              <w:top w:w="60" w:type="dxa"/>
              <w:bottom w:w="60" w:type="dxa"/>
              <w:left w:w="100" w:type="dxa"/>
              <w:right w:w="100" w:type="dxa"/>
            </w:tcMar>
            <w:vAlign w:val="center"/>
          </w:tcPr>
          <w:p>
            <w:pPr>
              <w:jc w:val="center"/>
              <w:spacing w:before="0" w:after="0"/>
            </w:pPr>
            <w:r>
              <w:rPr>
                <w:rFonts w:ascii="Calibri" w:hAnsi="Calibri"/>
                <w:b/>
                <w:i w:val="0"/>
                <w:color w:val="FFFFFF"/>
                <w:sz w:val="20"/>
              </w:rPr>
              <w:t>Jul25 | Aug25</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Recharge fail trigger</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95%</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70%</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70%</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N/A</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95%</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85% | 85%</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C2C weightage (ind.)</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35%</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N/A</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30%</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30% | 30%</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SC weightage (ind.)</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N/A</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10%</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10% | 10%</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Cross-achieve needed</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≥90%</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≥70%</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≥85%</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N/A</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≥85%</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≥80% | ≥75%</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Cluster groups</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2</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1</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1</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1</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3</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1+7sp | 2</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SUD12AGENT incl.</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Yes</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Digital dist. C2C incl.</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Yes</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FF GA Best 25/31 rule</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No</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Maturity date</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8th</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8th</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3rd</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8th</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8th</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8th | 8th</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EV/SC/Bundle/Recharge/SCR</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No</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Yes</w:t>
            </w:r>
          </w:p>
        </w:tc>
      </w:tr>
      <w:tr>
        <w:tc>
          <w:tcPr>
            <w:shd w:val="clear" w:color="auto" w:fill="FFFFFF"/>
            <w:tcW w:w="1800" w:type="dxa"/>
            <w:tcMar>
              <w:top w:w="60" w:type="dxa"/>
              <w:bottom w:w="60" w:type="dxa"/>
              <w:left w:w="100" w:type="dxa"/>
              <w:right w:w="100" w:type="dxa"/>
            </w:tcMar>
            <w:vAlign w:val="center"/>
          </w:tcPr>
          <w:p>
            <w:pPr>
              <w:jc w:val="left"/>
              <w:spacing w:before="0" w:after="0"/>
            </w:pPr>
            <w:r>
              <w:rPr>
                <w:rFonts w:ascii="Calibri" w:hAnsi="Calibri"/>
                <w:b/>
                <w:i w:val="0"/>
                <w:sz w:val="20"/>
              </w:rPr>
              <w:t>GA KPI included</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FFFFF"/>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FFFFF"/>
            <w:tcW w:w="16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FFFFF"/>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FFFFF"/>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Yes</w:t>
            </w:r>
          </w:p>
        </w:tc>
      </w:tr>
      <w:tr>
        <w:tc>
          <w:tcPr>
            <w:shd w:val="clear" w:color="auto" w:fill="F2F2F2"/>
            <w:tcW w:w="1800" w:type="dxa"/>
            <w:tcMar>
              <w:top w:w="60" w:type="dxa"/>
              <w:bottom w:w="60" w:type="dxa"/>
              <w:left w:w="100" w:type="dxa"/>
              <w:right w:w="100" w:type="dxa"/>
            </w:tcMar>
            <w:vAlign w:val="center"/>
          </w:tcPr>
          <w:p>
            <w:pPr>
              <w:jc w:val="left"/>
              <w:spacing w:before="0" w:after="0"/>
            </w:pPr>
            <w:r>
              <w:rPr>
                <w:rFonts w:ascii="Calibri" w:hAnsi="Calibri"/>
                <w:b/>
                <w:i w:val="0"/>
                <w:sz w:val="20"/>
              </w:rPr>
              <w:t>RSO Productivity incl.</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2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6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1400" w:type="dxa"/>
            <w:tcMar>
              <w:top w:w="60" w:type="dxa"/>
              <w:bottom w:w="60" w:type="dxa"/>
              <w:left w:w="100" w:type="dxa"/>
              <w:right w:w="100" w:type="dxa"/>
            </w:tcMar>
            <w:vAlign w:val="center"/>
          </w:tcPr>
          <w:p>
            <w:pPr>
              <w:jc w:val="center"/>
              <w:spacing w:before="0" w:after="0"/>
            </w:pPr>
            <w:r>
              <w:rPr>
                <w:rFonts w:ascii="Calibri" w:hAnsi="Calibri"/>
                <w:b w:val="0"/>
                <w:i w:val="0"/>
                <w:sz w:val="20"/>
              </w:rPr>
              <w:t>Yes</w:t>
            </w:r>
          </w:p>
        </w:tc>
        <w:tc>
          <w:tcPr>
            <w:shd w:val="clear" w:color="auto" w:fill="F2F2F2"/>
            <w:tcW w:w="600" w:type="dxa"/>
            <w:tcMar>
              <w:top w:w="60" w:type="dxa"/>
              <w:bottom w:w="60" w:type="dxa"/>
              <w:left w:w="100" w:type="dxa"/>
              <w:right w:w="100" w:type="dxa"/>
            </w:tcMar>
            <w:vAlign w:val="center"/>
          </w:tcPr>
          <w:p>
            <w:pPr>
              <w:jc w:val="center"/>
              <w:spacing w:before="0" w:after="0"/>
            </w:pPr>
            <w:r>
              <w:rPr>
                <w:rFonts w:ascii="Calibri" w:hAnsi="Calibri"/>
                <w:b w:val="0"/>
                <w:i w:val="0"/>
                <w:sz w:val="20"/>
              </w:rPr>
              <w:t>Yes | Yes</w:t>
            </w:r>
          </w:p>
        </w:tc>
      </w:tr>
    </w:tbl>
    <w:p/>
    <w:p>
      <w:pPr>
        <w:spacing w:before="60" w:after="60"/>
        <w:ind w:left="170"/>
        <w:shd w:val="clear" w:color="auto" w:fill="D6E4F0"/>
      </w:pPr>
      <w:r>
        <w:rPr>
          <w:rFonts w:ascii="Calibri" w:hAnsi="Calibri"/>
          <w:b w:val="0"/>
          <w:i/>
          <w:color w:val="595959"/>
          <w:sz w:val="20"/>
        </w:rPr>
        <w:t>This document covers all 7 Shera Partner SRFs (Mar25–Aug25). Actual incentive slab amounts, DH-specific targets, and budget figures are in the B2C-shared Excel target files and are not reproduced here. For up-to-date targets and weightages, consult the Channel Planning team.</w:t>
      </w:r>
    </w:p>
    <w:sectPr w:rsidR="00FC693F" w:rsidRPr="0006063C"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