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Banglalink SRF</w:t>
      </w:r>
    </w:p>
    <w:p>
      <w:pPr>
        <w:jc w:val="center"/>
      </w:pPr>
      <w:r>
        <w:rPr>
          <w:b/>
          <w:color w:val="2E75B6"/>
          <w:sz w:val="32"/>
        </w:rPr>
        <w:t>Unique KPI Conditions</w:t>
      </w:r>
    </w:p>
    <w:p>
      <w:pPr>
        <w:jc w:val="center"/>
      </w:pPr>
      <w:r>
        <w:rPr>
          <w:i/>
          <w:sz w:val="22"/>
        </w:rPr>
        <w:t>Campaign Folder: Retailer EV Lifting / Itop Lifting Campaigns</w:t>
      </w:r>
    </w:p>
    <w:p>
      <w:pPr>
        <w:jc w:val="center"/>
      </w:pPr>
      <w:r>
        <w:rPr>
          <w:color w:val="595959"/>
          <w:sz w:val="20"/>
        </w:rPr>
        <w:t>Total SRFs Analyzed: 13  |  Prepared: May 2026</w:t>
      </w:r>
    </w:p>
    <w:p/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Index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576"/>
        <w:gridCol w:w="8496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Campaign Overview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Campaign Types &amp; Naming Conventions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Discount Rate Conditions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Minimum Lifting Target Conditions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Maximum Discount Cap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Distributor / DH Code Scope Conditions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New Retailer Default Target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Multi-Day Campaign &amp; Target Consistency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DMS Retailer Type Exclusions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Agent List Condition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Lifting Definition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Reimbursement Mechanism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13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Fixed / Invariant General Conditions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14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4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SRF Reference Summary Table (All 13 SRFs)</w:t>
            </w:r>
          </w:p>
        </w:tc>
      </w:tr>
    </w:tbl>
    <w:p/>
    <w:p>
      <w:r>
        <w:br w:type="page"/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1. Campaign Overview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The EV Lifting / Itop Lifting campaign incentivizes retailers to lift Electronic Value (EV / i'top-up) during specific campaign windows. Retailers who meet a minimum lifting target within a single day earn an upfront discount from their RSO. Distributors are reimbursed post-campaign. Campaigns are strictly ad-hoc and cover a defined set of campaign dates.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880"/>
        <w:gridCol w:w="6192"/>
      </w:tblGrid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Product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EV / i'top-up (SR to Retailer and Distributor to Retailer)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Recharge Type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I-TOP Lifting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Recipient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Disbursement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Disbursement slot (upfront discount by RSO to retailer)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Periodicity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Ad-hoc; frequency = Campaign Period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SRFs Analyzed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13 SRFs across Mar 2025 – Apr 2026</w:t>
            </w:r>
          </w:p>
        </w:tc>
      </w:tr>
    </w:tbl>
    <w:p/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2. Campaign Types &amp; Naming Conventions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Two distinct campaign name patterns appear across the 13 SRFs. Both follow the same KPI logic but differ in geographic scope and targeting approach.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3600"/>
        <w:gridCol w:w="2015"/>
        <w:gridCol w:w="3456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Campaign Name Pattern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015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SRFs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Scope / Notes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Campaign_[Date]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015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Mar25, May-Jun25, Jul25, Feb26, Mar26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Broad retailer base; all eligible retailers nationally or all-DH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Tiger Retailer EV Lifting Campaign_[Date]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015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Jun25 (22-23 Jun)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Special 'Tiger' brand naming; retailer list by B2C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Lifting Campaign_[Date]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015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Aug25, Sep25 (3 campaigns)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Renamed format; specific DH code scope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Campaign_North East Cluster_[Date]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015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Feb26 (11 Feb), Mar26 (18-19 Mar)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Cluster-specific SRFs for North East Cluster only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Campaign_[DH Codes]_[Date]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015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Apr26 (MYMSHE07_MYMSHE08)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DH-code-specific SRFs; named with DH codes in title</w:t>
            </w:r>
          </w:p>
        </w:tc>
      </w:tr>
    </w:tbl>
    <w:p/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3. Discount Rate Conditions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Two distinct discount rate tiers are used across the 13 SRFs. The higher tier (0.78%/0.7%) was used in early campaigns (Mar25, May-Jun25) and revived in Mar26 SRFs. The lower tier (0.55%/0.5%) was introduced from Jun25 onward and remains the standard for most subsequent campaigns. A minor spelling variant ('0.556%' vs '0.55%') appears in Feb26 SRFs. In Apr26, the rate is explicitly written as '0.5556%'.</w:t>
      </w:r>
    </w:p>
    <w:p>
      <w:pPr>
        <w:spacing w:before="180" w:after="80"/>
      </w:pPr>
      <w:r>
        <w:rPr>
          <w:b/>
          <w:color w:val="2E75B6"/>
          <w:sz w:val="22"/>
        </w:rPr>
        <w:t>Tier A — Higher Rate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3456"/>
        <w:gridCol w:w="5616"/>
      </w:tblGrid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Rate (before AIT)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0.78%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Rate (after AIT)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0.7%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Max Discount (incl. AIT)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778 per retailer per day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Max Discount (excl. AIT)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700 per retailer per day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Max Lifting Value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1,00,000 per day (above which no incremental discount)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Applicable SRFs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Mar25, May-Jun25, Mar26 (12-19 Mar), NE Cluster Mar26</w:t>
            </w:r>
          </w:p>
        </w:tc>
      </w:tr>
    </w:tbl>
    <w:p/>
    <w:p>
      <w:pPr>
        <w:spacing w:before="180" w:after="80"/>
      </w:pPr>
      <w:r>
        <w:rPr>
          <w:b/>
          <w:color w:val="2E75B6"/>
          <w:sz w:val="22"/>
        </w:rPr>
        <w:t>Tier B — Lower Rate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3456"/>
        <w:gridCol w:w="5616"/>
      </w:tblGrid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Rate (before AIT)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(written as '0.55%', '0.556%', or '0.5556%' across SRFs)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Rate (after AIT)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0.5%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Max Discount (incl. AIT)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555.556 (or BDT 555.5556 in Apr26) per retailer per day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Max Discount (excl. AIT)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500 per retailer per day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Max Lifting Value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1,00,000 per day (above which no incremental discount)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456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Applicable SRFs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61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Tiger Jun25, Jul25, Itop Aug25-Sep25, Feb26, NE Cluster Feb26, Apr26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Rate variants in SRF text: '0.55%' (Jun25-Sep25), '0.556%' (Feb26), '0.5556%' (Apr26). All represent the same effective rate — difference is rounding convention only.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4. Minimum Lifting Target Conditions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Two patterns exist for how the minimum lifting threshold is defined. In most SRFs, a retailer-wise target is provided by B2C and must be met in a single day. In DH-specific / Itop campaigns (Jul25 onward through Sep25), a flat BDT 1,000 minimum is stated.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592"/>
        <w:gridCol w:w="4320"/>
        <w:gridCol w:w="2160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Type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Applicable SRFs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Retailer-Wise Target (B2C provided)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must lift the specified target amount or more in a single day. Target is retailer-specific and shared by B2C via retailer list.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Mar25, May-Jun25, Tiger Jun25, Feb26, NE Feb26, Mar26, NE Mar26, Apr26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Flat Minimum: BDT 1,000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Any retailer in scope must lift at least BDT 1,000 in a single day to qualify.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Jul25, Itop Aug25, Itop Sep25 (7th, 9th, 12th)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In all cases, qualification is per-day (single-day gate). Lifting on one campaign day does not count toward another.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5. Maximum Discount Cap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In every SRF, the maximum discount cap per retailer per day is linked to a maximum lifting value of BDT 1,00,000. Lifting above this cap does not earn additional discount. Two cap amounts correspond to the two rate tiers.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160"/>
        <w:gridCol w:w="2592"/>
        <w:gridCol w:w="2592"/>
        <w:gridCol w:w="1728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Rate Tier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Max Lifting Value / Day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Max Discount incl. AIT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28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Max Discount excl. AIT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Tier A (0.78%/0.7%)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1,00,000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778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2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700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Tier B (0.55%/0.5%)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1,00,000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555.556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2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500</w:t>
            </w:r>
          </w:p>
        </w:tc>
      </w:tr>
    </w:tbl>
    <w:p/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6. Distributor / DH Code Scope Conditions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Most campaigns cover all eligible retailers nationally (list provided by B2C). However, several SRFs restrict eligibility to specific Distributor House (DH) codes or clusters.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4031"/>
        <w:gridCol w:w="2304"/>
        <w:gridCol w:w="2736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Scope Type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DH / Cluster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SRF(s)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retailers (B2C retailer list)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Mar25, May-Jun25, Tiger Jun25, Feb26, Mar26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Specific DH codes: DHKGOP08, DHKGOP09, DHKGOP10, DHKGOP11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DHKGOP cluster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Jul25 (19th Jul)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Specific DH codes: KHUBAG04, KHUBAG06, KHUBAG07, KHUBAG13, KHUBAG16, KHUBAG17, KHUBAG18, KHUBAG19, KHUBAG20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KHUBAG cluster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Aug25 (24th), Itop Sep25 (7th &amp; 9th)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Expanded DH codes: KHUBAG04/06/07/13/16/17/18/19/20 + DHKFAR04 + DHKFAR09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KHUBAG + DHKFAR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Sep25 (12th)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North East Cluster only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 Cluster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 Cluster Feb26 (11th Feb), NE Cluster Mar26 (18-19 Mar)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Specific DH codes: MYMSHE07, MYMSHE08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MYMSHE cluster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73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Apr26 (6-7 Apr)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For DH-code-specific SRFs, the 'Distributor Campaign Calendar' condition from B2C may not apply; the scope is fixed by DH code.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7. New Retailer Default Target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For retailers not present in the B2C-provided retailer list, a default target applies. Three variants are observed across SRFs.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880"/>
        <w:gridCol w:w="4320"/>
        <w:gridCol w:w="1872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Default Target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SRF(s)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Core / Non-Core tiered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2,000 (Core Market) / BDT 1,000 (Non-Core) in a single day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Mar25, May-Jun25, Feb26, NE Feb26, Mar26, NE Mar26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Flat default (no Core/Non-Core split)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2,000 in a single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Apr26 (MYMSHE07/MYMSHE08)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mentioned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32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 new retailer default stated in SRF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Tiger Jun25, Jul25, Itop Aug25-Sep25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Where not mentioned, it is likely because the campaign scope is restricted to a specific retailer/DH list and new retailers outside it would not qualify.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8. Multi-Day Campaign &amp; Target Consistency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In all multi-day SRFs, the retailer-wise target is explicitly stated as being the same across all campaign days (each day evaluated independently). An exception is the Feb26 SRF, which introduces a 'Distributor-wise Campaign Calendar' condition.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48"/>
        <w:gridCol w:w="1872"/>
        <w:gridCol w:w="3600"/>
        <w:gridCol w:w="1440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Campaign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Consistency Condition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Campaign Calendar?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 (20-31 Mar)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12 days (4 campaign days)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Same target for all campaign days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May-Jun25 (29 May–6 Jun)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9 days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Same target for campaign days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Tiger Jun25 (22-23 Jun)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 days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Target per day (same)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Jul25 (19 Jul)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Single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Aug25 (24 Aug)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 day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Single day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Sep25 (7, 9, 12 Sep)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 day each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Single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Feb26 (8-11 Feb)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4 days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Same target each day; distributor calendar governs eligible days per distributor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 — Distributor-wise eligible days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 Cluster Feb26 (11 Feb)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Single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Mar26 (12-19 Mar)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8 days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Same target for individual/each days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 — Distributor-wise eligible days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 Cluster Mar26 (18-19 Mar)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 days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Same target each day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 — Distributor-wise eligible days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448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Apr26 MYMSHE07/08 (6-7 Apr)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87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 days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60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Same target each day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44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 — Distributor-wise eligible days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Distributor Campaign Calendar: introduced from Feb26 SRFs. It specifies which campaign days are eligible for each distributor. Shared by B2C team.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9. DMS Retailer Type Exclusions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From the Itop Aug25 SRF onward, certain DMS retailer types are explicitly excluded from the campaign. Earlier SRFs (Mar25 through Tiger Jun25) do not mention any exclusions.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880"/>
        <w:gridCol w:w="4031"/>
        <w:gridCol w:w="2160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Exclusion Condition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Excluded DMS Types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SRF(s)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 exclusions stated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Mar25, May-Jun25, Tiger Jun25, Jul25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Explicit DMS type exclusions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031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BL Franchise Store; Enterprise; SME Direct BDO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16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Aug25, Itop Sep25 (all 3), Feb26, NE Feb26, Mar26, NE Mar26, Apr26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These exclusions prevent non-traditional trade retailers (franchise, enterprise, direct SME) from claiming the EV lifting discount.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10. Agent List Condition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All 13 SRFs include the following standard condition: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592"/>
        <w:gridCol w:w="6480"/>
      </w:tblGrid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Condition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4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Agent list of each day will be considered for evaluating performance on that day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Purpose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4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Ensures performance is assessed against the active agent list on the exact campaign date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Implication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4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An RSO not in the agent list on a given day is not credited for that day's lifting activity</w:t>
            </w:r>
          </w:p>
        </w:tc>
      </w:tr>
    </w:tbl>
    <w:p/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11. Retailer Lifting Definition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All 13 SRFs use a consistent definition of 'retailer lifting':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592"/>
        <w:gridCol w:w="6480"/>
      </w:tblGrid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Definition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4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Lifting means: SR to Retailer AND Distributor to Retailer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Product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4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EV / i'top-up only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Recharge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4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I-TOP Lifting (valid recharges only)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Both SR-to-Retailer and Distributor-to-Retailer transaction types count toward the retailer's lifting total for the day.</w:t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12. Reimbursement Mechanism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The reimbursement flow is identical across all 13 SRFs: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880"/>
        <w:gridCol w:w="6192"/>
      </w:tblGrid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Step 1 (Upfront)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RSO gives up-front discount to retailer at the time of lifting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Step 2 (Post-promo)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Distributor is reimbursed after the promotional period ends</w:t>
            </w:r>
          </w:p>
        </w:tc>
      </w:tr>
      <w:tr>
        <w:tc>
          <w:tcPr>
            <w:shd w:val="clear" w:color="auto" w:fill="D6E4F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880" w:type="dxa"/>
          </w:tcPr>
          <w:p>
            <w:pPr>
              <w:jc w:val="left"/>
            </w:pPr>
            <w:r/>
            <w:r>
              <w:rPr>
                <w:b/>
                <w:i w:val="0"/>
                <w:color w:val="1A1A1A"/>
                <w:sz w:val="18"/>
              </w:rPr>
              <w:t>Timing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1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Reimbursement happens post-campaign via commission calculation report</w:t>
            </w:r>
          </w:p>
        </w:tc>
      </w:tr>
    </w:tbl>
    <w:p/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13. Fixed / Invariant General Conditions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The following conditions are identical across all 13 Lifting SRFs and do not vary:</w:t>
      </w:r>
    </w:p>
    <w:tbl>
      <w:tblPr>
        <w:jc w:val="left"/>
        <w:tblLook w:firstColumn="1" w:firstRow="1" w:lastColumn="0" w:lastRow="0" w:noHBand="0" w:noVBand="1" w:val="04A0"/>
        <w:tblW w:w="9072" w:type="dxa"/>
      </w:tblPr>
      <w:tblGrid>
        <w:gridCol w:w="2304"/>
        <w:gridCol w:w="2592"/>
        <w:gridCol w:w="4176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Factor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Consideration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Condition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SAF — DMS Post Date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a) DMS Post Date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 days within Activation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SAF — Vetting Date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b) Vetting Date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14th date of Activation following month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Recharge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Valid Recharges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Considering the valid recharge. I-TOP Lifting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Product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EV / i'top-up (SR to Retailer and Distributor to Retailer)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Disconnection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Latest data up to report maturity date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Lifting/Issue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Needs to be activated within 180 days of lifting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Activation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FAD (First Activity Date)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Activation During the Promotion Period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Report Sharing Slot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Disbursement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Post-campaign disbursement slot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Input Data Sources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5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 SC, IT BI, DWH, DMS, POS, EV Platform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17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standard sources consistent across SRFs</w:t>
            </w:r>
          </w:p>
        </w:tc>
      </w:tr>
    </w:tbl>
    <w:p/>
    <w:p>
      <w:r>
        <w:br w:type="page"/>
      </w:r>
    </w:p>
    <w:p>
      <w:pPr>
        <w:pBdr>
          <w:bottom w:val="single" w:sz="8" w:space="1" w:color="2E75B6"/>
        </w:pBdr>
        <w:spacing w:before="240" w:after="120"/>
      </w:pPr>
      <w:r>
        <w:rPr>
          <w:b/>
          <w:color w:val="1F4E79"/>
          <w:sz w:val="28"/>
        </w:rPr>
        <w:t>14. SRF Reference Summary Table (All 13 SRFs)</w:t>
      </w:r>
    </w:p>
    <w:p>
      <w:pPr>
        <w:jc w:val="left"/>
        <w:spacing w:before="0" w:after="80"/>
      </w:pPr>
      <w:r>
        <w:rPr>
          <w:b w:val="0"/>
          <w:i w:val="0"/>
          <w:sz w:val="20"/>
        </w:rPr>
        <w:t>Complete reference of all 13 SRFs in the Lifting folder with their key KPI conditions at a glance.</w:t>
      </w:r>
    </w:p>
    <w:tbl>
      <w:tblPr>
        <w:jc w:val="left"/>
        <w:tblLook w:firstColumn="1" w:firstRow="1" w:lastColumn="0" w:lastRow="0" w:noHBand="0" w:noVBand="1" w:val="04A0"/>
        <w:tblW w:w="11520" w:type="dxa"/>
      </w:tblPr>
      <w:tblGrid>
        <w:gridCol w:w="1944"/>
        <w:gridCol w:w="1296"/>
        <w:gridCol w:w="1296"/>
        <w:gridCol w:w="1080"/>
        <w:gridCol w:w="1152"/>
        <w:gridCol w:w="1584"/>
        <w:gridCol w:w="792"/>
        <w:gridCol w:w="1512"/>
        <w:gridCol w:w="864"/>
      </w:tblGrid>
      <w:tr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SRF / Campaign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Date(s)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Rate (pre/post AIT)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Max Disc.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Min Target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DMS Excl.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New Retailer Default</w:t>
            </w:r>
          </w:p>
        </w:tc>
        <w:tc>
          <w:tcPr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Camp. Cal.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(Mar25)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20-31 Mar 2025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0.78% / 0.7%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778/700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retailers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2,000/1,000 (Core/Non-Core)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(May-Jun25)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29 May–6 Jun 2025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0.78% / 0.7%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778/700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retailers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2,000/1,000 (Core/Non-Core)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Tiger Retailer EV Lifting Campaign (Jun25)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22-23 Jun 2025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/ 0.5%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list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stated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(Jul25)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19 Jul 2025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/ 0.5%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1,000 flat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DHKGOP08/09/10/11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stated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Lifting Campaign (Aug25)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24 Aug 2025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/ 0.5%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1,000 flat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KHUBAG 9 DH codes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stated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Lifting Campaign (7 Sep25)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 Sep 2025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/ 0.5%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1,000 flat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KHUBAG 9 DH codes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stated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Lifting Campaign (9 Sep25)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9 Sep 2025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/ 0.5%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1,000 flat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KHUBAG 9 DH codes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stated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Itop Lifting Campaign (12 Sep25)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12 Sep 2025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0.55% / 0.5%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BDT 1,000 flat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KHUBAG codes + DHKFAR04/09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Not stated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(Feb26)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8-11 Feb 2026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0.556% / 0.5%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retailers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2,000/1,000 (Core/Non-Core)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NE Cluster (Feb26)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11 Feb 2026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0.556% / 0.5%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555.556/500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 Cluster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2,000/1,000 (Core/Non-Core)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No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(Mar26)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12-19 Mar 2026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0.78% / 0.7%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778/700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All retailers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2,000/1,000 (Core/Non-Core)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NE Cluster (Mar26)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18-19 Mar 2026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0.78% / 0.7%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778/700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NE Cluster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2,000/1,000 (Core/Non-Core)</w:t>
            </w:r>
          </w:p>
        </w:tc>
        <w:tc>
          <w:tcPr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</w:tr>
      <w:tr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4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Retailer EV Lifting Campaign MYMSHE07/08 (Apr26)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6-7 Apr 2026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296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0.5556% / 0.5%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080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555.5556/500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15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B2C target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8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MYMSHE07, MYMSHE08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9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512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2,000 flat</w:t>
            </w:r>
          </w:p>
        </w:tc>
        <w:tc>
          <w:tcPr>
            <w:shd w:val="clear" w:color="auto" w:fill="F2F2F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864" w:type="dxa"/>
          </w:tcPr>
          <w:p>
            <w:pPr>
              <w:jc w:val="left"/>
            </w:pPr>
            <w:r/>
            <w:r>
              <w:rPr>
                <w:b w:val="0"/>
                <w:i w:val="0"/>
                <w:color w:val="1A1A1A"/>
                <w:sz w:val="18"/>
              </w:rPr>
              <w:t>Yes</w:t>
            </w:r>
          </w:p>
        </w:tc>
      </w:tr>
    </w:tbl>
    <w:p/>
    <w:p>
      <w:pPr>
        <w:ind w:left="360"/>
        <w:spacing w:before="0" w:after="80"/>
      </w:pPr>
      <w:r>
        <w:rPr>
          <w:i/>
          <w:color w:val="595959"/>
          <w:sz w:val="18"/>
        </w:rPr>
        <w:t>Note: DMS Excl. = DMS Retailer Type Exclusions (BL Franchise Store, Enterprise, SME Direct BDO). Camp. Cal. = Distributor-wise Campaign Calendar from B2C. Max Disc. = BDT values (incl. AIT / excl. AIT).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