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000"/>
      </w:pPr>
      <w:r>
        <w:t xml:space="preserve"/>
      </w:r>
    </w:p>
    <w:p>
      <w:pPr>
        <w:spacing w:after="120" w:before="0"/>
        <w:jc w:val="center"/>
      </w:pPr>
      <w:r>
        <w:rPr>
          <w:rFonts w:ascii="Arial" w:cs="Arial" w:eastAsia="Arial" w:hAnsi="Arial"/>
          <w:b/>
          <w:bCs/>
          <w:color w:val="2E75B6"/>
          <w:sz w:val="28"/>
          <w:szCs w:val="28"/>
        </w:rPr>
        <w:t xml:space="preserve">RAPPORT DE PROJET</w:t>
      </w:r>
    </w:p>
    <w:p>
      <w:pPr>
        <w:pBdr>
          <w:bottom w:val="single" w:color="2E75B6" w:sz="4" w:space="1"/>
        </w:pBdr>
        <w:spacing w:after="200" w:before="200"/>
      </w:pPr>
      <w:r>
        <w:t xml:space="preserve"/>
      </w:r>
    </w:p>
    <w:p>
      <w:pPr>
        <w:spacing w:after="0" w:before="400"/>
      </w:pPr>
      <w:r>
        <w:t xml:space="preserve"/>
      </w:r>
    </w:p>
    <w:p>
      <w:pPr>
        <w:spacing w:after="200" w:before="0"/>
        <w:jc w:val="center"/>
      </w:pPr>
      <w:r>
        <w:rPr>
          <w:rFonts w:ascii="Arial" w:cs="Arial" w:eastAsia="Arial" w:hAnsi="Arial"/>
          <w:b/>
          <w:bCs/>
          <w:color w:val="1F2D3D"/>
          <w:sz w:val="52"/>
          <w:szCs w:val="52"/>
        </w:rPr>
        <w:t xml:space="preserve">Classification Robuste et Analyse de</w:t>
      </w:r>
    </w:p>
    <w:p>
      <w:pPr>
        <w:spacing w:after="400" w:before="0"/>
        <w:jc w:val="center"/>
      </w:pPr>
      <w:r>
        <w:rPr>
          <w:rFonts w:ascii="Arial" w:cs="Arial" w:eastAsia="Arial" w:hAnsi="Arial"/>
          <w:b/>
          <w:bCs/>
          <w:color w:val="1F2D3D"/>
          <w:sz w:val="52"/>
          <w:szCs w:val="52"/>
        </w:rPr>
        <w:t xml:space="preserve">Decision en Environnement Critique</w:t>
      </w:r>
    </w:p>
    <w:p>
      <w:pPr>
        <w:spacing w:after="600" w:before="0"/>
        <w:jc w:val="center"/>
      </w:pPr>
      <w:r>
        <w:rPr>
          <w:rFonts w:ascii="Arial" w:cs="Arial" w:eastAsia="Arial" w:hAnsi="Arial"/>
          <w:i/>
          <w:iCs/>
          <w:color w:val="555555"/>
          <w:sz w:val="30"/>
          <w:szCs w:val="30"/>
        </w:rPr>
        <w:t xml:space="preserve">Detection de Fraudes Bancaires par Apprentissage Automatique</w:t>
      </w:r>
    </w:p>
    <w:p>
      <w:pPr>
        <w:pBdr>
          <w:bottom w:val="single" w:color="2E75B6" w:sz="4" w:space="1"/>
        </w:pBdr>
        <w:spacing w:after="200" w:before="200"/>
      </w:pPr>
      <w:r>
        <w:t xml:space="preserve"/>
      </w:r>
    </w:p>
    <w:p>
      <w:pPr>
        <w:spacing w:after="0" w:before="400"/>
      </w:pPr>
      <w:r>
        <w:t xml:space="preserve"/>
      </w:r>
    </w:p>
    <w:p>
      <w:pPr>
        <w:spacing w:after="60" w:before="100"/>
        <w:jc w:val="center"/>
      </w:pPr>
      <w:r>
        <w:rPr>
          <w:rFonts w:ascii="Arial" w:cs="Arial" w:eastAsia="Arial" w:hAnsi="Arial"/>
          <w:color w:val="555555"/>
          <w:sz w:val="22"/>
          <w:szCs w:val="22"/>
        </w:rPr>
        <w:t xml:space="preserve">Dataset : Credit Card Fraud Detection (Kaggle)</w:t>
      </w:r>
    </w:p>
    <w:p>
      <w:pPr>
        <w:spacing w:after="60" w:before="60"/>
        <w:jc w:val="center"/>
      </w:pPr>
      <w:r>
        <w:rPr>
          <w:rFonts w:ascii="Arial" w:cs="Arial" w:eastAsia="Arial" w:hAnsi="Arial"/>
          <w:color w:val="555555"/>
          <w:sz w:val="22"/>
          <w:szCs w:val="22"/>
        </w:rPr>
        <w:t xml:space="preserve">284 807 transactions | Ratio de desequilibre : 578:1</w:t>
      </w:r>
    </w:p>
    <w:p>
      <w:pPr>
        <w:spacing w:after="0" w:before="600"/>
      </w:pPr>
      <w:r>
        <w:t xml:space="preserve"/>
      </w:r>
    </w:p>
    <w:p>
      <w:pPr>
        <w:spacing w:after="60" w:before="100"/>
        <w:jc w:val="center"/>
      </w:pPr>
      <w:r>
        <w:rPr>
          <w:rFonts w:ascii="Arial" w:cs="Arial" w:eastAsia="Arial" w:hAnsi="Arial"/>
          <w:b/>
          <w:bCs/>
          <w:sz w:val="24"/>
          <w:szCs w:val="24"/>
        </w:rPr>
        <w:t xml:space="preserve">Auteur : Mustapha EL MIFDALI</w:t>
      </w:r>
    </w:p>
    <w:p>
      <w:pPr>
        <w:spacing w:after="60" w:before="60"/>
        <w:jc w:val="center"/>
      </w:pPr>
      <w:r>
        <w:rPr>
          <w:rFonts w:ascii="Arial" w:cs="Arial" w:eastAsia="Arial" w:hAnsi="Arial"/>
          <w:color w:val="444444"/>
          <w:sz w:val="22"/>
          <w:szCs w:val="22"/>
        </w:rPr>
        <w:t xml:space="preserve">Module : Intelligence Artificielle</w:t>
      </w:r>
    </w:p>
    <w:p>
      <w:pPr>
        <w:spacing w:after="60" w:before="60"/>
        <w:jc w:val="center"/>
      </w:pPr>
      <w:r>
        <w:rPr>
          <w:rFonts w:ascii="Arial" w:cs="Arial" w:eastAsia="Arial" w:hAnsi="Arial"/>
          <w:color w:val="444444"/>
          <w:sz w:val="22"/>
          <w:szCs w:val="22"/>
        </w:rPr>
        <w:t xml:space="preserve">Annee academique : 2024-2025</w:t>
      </w:r>
    </w:p>
    <w:p>
      <w:pPr>
        <w:spacing w:after="0" w:before="400"/>
      </w:pPr>
      <w:r>
        <w:t xml:space="preserve"/>
      </w:r>
    </w:p>
    <w:p>
      <w:r>
        <w:br w:type="page"/>
      </w:r>
    </w:p>
    <w:p>
      <w:pPr>
        <w:pStyle w:val="Heading1"/>
        <w:spacing w:after="240" w:before="0"/>
      </w:pPr>
      <w:r>
        <w:rPr>
          <w:rFonts w:ascii="Arial" w:cs="Arial" w:eastAsia="Arial" w:hAnsi="Arial"/>
          <w:b/>
          <w:bCs/>
          <w:sz w:val="32"/>
          <w:szCs w:val="32"/>
        </w:rPr>
        <w:t xml:space="preserve">Resume Executif</w:t>
      </w:r>
    </w:p>
    <w:p>
      <w:pPr>
        <w:spacing w:after="80" w:before="80" w:line="300"/>
        <w:jc w:val="both"/>
      </w:pPr>
      <w:r>
        <w:rPr>
          <w:rFonts w:ascii="Arial" w:cs="Arial" w:eastAsia="Arial" w:hAnsi="Arial"/>
          <w:sz w:val="22"/>
          <w:szCs w:val="22"/>
        </w:rPr>
        <w:t xml:space="preserve">Ce rapport presente une etude complete de classification en environnement desequilibre, appliquee a la detection de fraudes sur le dataset Credit Card Fraud Detection (Kaggle, 284 807 transactions, ratio 578:1). Les travaux couvrent quatre etapes : Analyse Exploratoire (EDA) et preparation des donnees, Developpement et optimisation de modeles, Evaluation avancee et calibration des probabilites, et Interpretabilite via SHAP.</w:t>
      </w:r>
    </w:p>
    <w:p>
      <w:pPr>
        <w:spacing w:after="0" w:before="120"/>
      </w:pPr>
      <w:r>
        <w:t xml:space="preserve"/>
      </w:r>
    </w:p>
    <w:tbl>
      <w:tblPr>
        <w:tblW w:type="dxa" w:w="8026"/>
        <w:tblBorders>
          <w:top w:val="single" w:color="auto" w:sz="4"/>
          <w:left w:val="single" w:color="auto" w:sz="4"/>
          <w:bottom w:val="single" w:color="auto" w:sz="4"/>
          <w:right w:val="single" w:color="auto" w:sz="4"/>
          <w:insideH w:val="single" w:color="auto" w:sz="4"/>
          <w:insideV w:val="single" w:color="auto" w:sz="4"/>
        </w:tblBorders>
      </w:tblPr>
      <w:tblGrid>
        <w:gridCol w:w="3800"/>
        <w:gridCol w:w="1200"/>
        <w:gridCol w:w="1100"/>
        <w:gridCol w:w="1100"/>
        <w:gridCol w:w="826"/>
      </w:tblGrid>
      <w:tr>
        <w:trPr>
          <w:tblHeader/>
        </w:trPr>
        <w:tc>
          <w:tcPr>
            <w:tcW w:type="dxa" w:w="3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Modele</w:t>
            </w:r>
          </w:p>
        </w:tc>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F1-Macro</w:t>
            </w:r>
          </w:p>
        </w:tc>
        <w:tc>
          <w:tcPr>
            <w:tcW w:type="dxa" w:w="11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AUPRC</w:t>
            </w:r>
          </w:p>
        </w:tc>
        <w:tc>
          <w:tcPr>
            <w:tcW w:type="dxa" w:w="11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MCC</w:t>
            </w:r>
          </w:p>
        </w:tc>
        <w:tc>
          <w:tcPr>
            <w:tcW w:type="dxa" w:w="826"/>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AUROC</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Regression Logistique (Elastic Net)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0.503</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0.708</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0.137</w:t>
            </w:r>
          </w:p>
        </w:tc>
        <w:tc>
          <w:tcPr>
            <w:tcW w:type="dxa" w:w="8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0.976</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Random Forest (120 arbres)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0.916</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0.828</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0.832</w:t>
            </w:r>
          </w:p>
        </w:tc>
        <w:tc>
          <w:tcPr>
            <w:tcW w:type="dxa" w:w="8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0.971</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XGBoost Optuna (50 trials)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0.933</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0.877</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0.866</w:t>
            </w:r>
          </w:p>
        </w:tc>
        <w:tc>
          <w:tcPr>
            <w:tcW w:type="dxa" w:w="8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0.971</w:t>
            </w:r>
          </w:p>
        </w:tc>
      </w:tr>
    </w:tbl>
    <w:p>
      <w:pPr>
        <w:spacing w:after="0" w:before="120"/>
      </w:pPr>
      <w:r>
        <w:t xml:space="preserve"/>
      </w:r>
    </w:p>
    <w:p>
      <w:pPr>
        <w:spacing w:after="80" w:before="80" w:line="300"/>
        <w:jc w:val="both"/>
      </w:pPr>
      <w:r>
        <w:rPr>
          <w:rFonts w:ascii="Arial" w:cs="Arial" w:eastAsia="Arial" w:hAnsi="Arial"/>
          <w:sz w:val="22"/>
          <w:szCs w:val="22"/>
        </w:rPr>
        <w:t xml:space="preserve">Le modele XGBoost optimise par recherche bayesienne (Optuna, 50 trials TPE) atteint un MCC de 0.866 et un F1-Macro de 0.933, avec une calibration Isotonic portant le Brier Score a 0.00034. Les valeurs SHAP identifient V4, V14 et V12 comme les variables les plus discriminantes.</w:t>
      </w:r>
    </w:p>
    <w:p>
      <w:r>
        <w:br w:type="page"/>
      </w:r>
    </w:p>
    <w:p>
      <w:pPr>
        <w:pStyle w:val="Heading1"/>
        <w:spacing w:after="240" w:before="0"/>
      </w:pPr>
      <w:r>
        <w:rPr>
          <w:rFonts w:ascii="Arial" w:cs="Arial" w:eastAsia="Arial" w:hAnsi="Arial"/>
          <w:b/>
          <w:bCs/>
          <w:sz w:val="32"/>
          <w:szCs w:val="32"/>
        </w:rPr>
        <w:t xml:space="preserve">Table des Matieres</w:t>
      </w:r>
    </w:p>
    <w:sdt>
      <w:sdtPr>
        <w:alias w:val="Table des Matieres"/>
      </w:sdtPr>
      <w:sdtContent>
        <w:p>
          <w:r>
            <w:fldChar w:fldCharType="begin" w:dirty="true"/>
            <w:instrText xml:space="preserve">TOC \h \o "1-3" \t "Heading 1,1,Heading 2,2,Heading 3,3"</w:instrText>
            <w:fldChar w:fldCharType="separate"/>
          </w:r>
        </w:p>
        <w:p>
          <w:r>
            <w:fldChar w:fldCharType="end"/>
          </w:r>
        </w:p>
      </w:sdtContent>
    </w:sdt>
    <w:p>
      <w:r>
        <w:br w:type="page"/>
      </w:r>
    </w:p>
    <w:p>
      <w:pPr>
        <w:pStyle w:val="Heading1"/>
        <w:pageBreakBefore/>
        <w:spacing w:after="240" w:before="0"/>
      </w:pPr>
      <w:r>
        <w:rPr>
          <w:rFonts w:ascii="Arial" w:cs="Arial" w:eastAsia="Arial" w:hAnsi="Arial"/>
          <w:b/>
          <w:bCs/>
          <w:sz w:val="32"/>
          <w:szCs w:val="32"/>
        </w:rPr>
        <w:t xml:space="preserve">Etape 1 : Analyse Exploratoire et Preparation des Donnees</w:t>
      </w:r>
    </w:p>
    <w:p>
      <w:pPr>
        <w:spacing w:after="80" w:before="80" w:line="300"/>
        <w:jc w:val="both"/>
      </w:pPr>
      <w:r>
        <w:rPr>
          <w:rFonts w:ascii="Arial" w:cs="Arial" w:eastAsia="Arial" w:hAnsi="Arial"/>
          <w:sz w:val="22"/>
          <w:szCs w:val="22"/>
        </w:rPr>
        <w:t xml:space="preserve">L'analyse exploratoire constitue le fondement de tout projet de classification robuste. Cette etape examine la structure du dataset, quantifie le desequilibre de classes, etudie les distributions des features, identifie la colinearite, puis compare quatre methodes de gestion du desequilibre.</w:t>
      </w:r>
    </w:p>
    <w:p>
      <w:pPr>
        <w:pStyle w:val="Heading2"/>
        <w:spacing w:after="160" w:before="280"/>
      </w:pPr>
      <w:r>
        <w:rPr>
          <w:rFonts w:ascii="Arial" w:cs="Arial" w:eastAsia="Arial" w:hAnsi="Arial"/>
          <w:b/>
          <w:bCs/>
          <w:sz w:val="26"/>
          <w:szCs w:val="26"/>
        </w:rPr>
        <w:t xml:space="preserve">1.1 Presentation du Dataset</w:t>
      </w:r>
    </w:p>
    <w:p>
      <w:pPr>
        <w:spacing w:after="80" w:before="80" w:line="300"/>
        <w:jc w:val="both"/>
      </w:pPr>
      <w:r>
        <w:rPr>
          <w:rFonts w:ascii="Arial" w:cs="Arial" w:eastAsia="Arial" w:hAnsi="Arial"/>
          <w:sz w:val="22"/>
          <w:szCs w:val="22"/>
        </w:rPr>
        <w:t xml:space="preserve">Le dataset Credit Card Fraud Detection (Kaggle) contient 284 807 transactions realisees par des titulaires de cartes bancaires europeens en septembre 2013. Les variables V1 a V28 sont les composantes principales issues d'une transformation PCA appliquee sur les donnees originales (confidentialite oblige). Seules Amount (montant) et Time (temps ecoule) sont en clair.</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026"/>
      </w:tblGrid>
      <w:tr>
        <w:trPr>
          <w:tblHeader/>
        </w:trPr>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Caracteristique</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Valeur</w:t>
            </w:r>
          </w:p>
        </w:tc>
        <w:tc>
          <w:tcPr>
            <w:tcW w:type="dxa" w:w="4026"/>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Commentaire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Observations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284 807</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transactions sur 2 jours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Features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30</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V1-V28 (PCA) + Amount + Time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Classe 0 (Legitime)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284 315</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99.827% du total</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Classe 1 (Fraude)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492</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0.173% du total</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Ratio de desequilibre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578:1</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cas extreme</w:t>
            </w:r>
          </w:p>
        </w:tc>
      </w:tr>
    </w:tbl>
    <w:p>
      <w:pPr>
        <w:spacing w:after="0" w:before="120"/>
      </w:pPr>
      <w:r>
        <w:t xml:space="preserve"/>
      </w:r>
    </w:p>
    <w:p>
      <w:pPr>
        <w:spacing w:after="60" w:before="120"/>
        <w:jc w:val="center"/>
      </w:pPr>
      <w:r>
        <w:drawing>
          <wp:inline distT="0" distB="0" distL="0" distR="0">
            <wp:extent cx="5943600" cy="1981200"/>
            <wp:effectExtent t="0" r="0" b="0" l="0"/>
            <wp:docPr id="1" name="etape1_eda/figures/fig01_class_distribution.png" descr="etape1_eda/figures/fig01_class_distribution.png" title="etape1_eda/figures/fig01_class_distribu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1981200"/>
                    </a:xfrm>
                    <a:prstGeom prst="rect">
                      <a:avLst/>
                    </a:prstGeom>
                  </pic:spPr>
                </pic:pic>
              </a:graphicData>
            </a:graphic>
          </wp:inline>
        </w:drawing>
      </w:r>
    </w:p>
    <w:p>
      <w:pPr>
        <w:spacing w:after="200" w:before="0"/>
        <w:jc w:val="center"/>
      </w:pPr>
      <w:r>
        <w:rPr>
          <w:i/>
          <w:iCs/>
          <w:color w:val="555555"/>
          <w:sz w:val="18"/>
          <w:szCs w:val="18"/>
        </w:rPr>
        <w:t xml:space="preserve">Figure 1.1 – Distribution des classes : desequilibre extreme (578:1)</w:t>
      </w:r>
    </w:p>
    <w:p>
      <w:pPr>
        <w:pStyle w:val="Heading2"/>
        <w:spacing w:after="160" w:before="280"/>
      </w:pPr>
      <w:r>
        <w:rPr>
          <w:rFonts w:ascii="Arial" w:cs="Arial" w:eastAsia="Arial" w:hAnsi="Arial"/>
          <w:b/>
          <w:bCs/>
          <w:sz w:val="26"/>
          <w:szCs w:val="26"/>
        </w:rPr>
        <w:t xml:space="preserve">1.2 Analyse des Features Amount et Time</w:t>
      </w:r>
    </w:p>
    <w:p>
      <w:pPr>
        <w:spacing w:after="80" w:before="80" w:line="300"/>
        <w:jc w:val="both"/>
      </w:pPr>
      <w:r>
        <w:rPr>
          <w:rFonts w:ascii="Arial" w:cs="Arial" w:eastAsia="Arial" w:hAnsi="Arial"/>
          <w:sz w:val="22"/>
          <w:szCs w:val="22"/>
        </w:rPr>
        <w:t xml:space="preserve">La feature Amount presente une distribution tres asymetrique avec une concentration elevee autour de petites valeurs. Les fraudes affichent des montants caracteristiques (souvent faibles ou inhabituellement eleves). La feature Time capture les variations circadiennes des transactions.</w:t>
      </w:r>
    </w:p>
    <w:p>
      <w:pPr>
        <w:spacing w:after="60" w:before="120"/>
        <w:jc w:val="center"/>
      </w:pPr>
      <w:r>
        <w:drawing>
          <wp:inline distT="0" distB="0" distL="0" distR="0">
            <wp:extent cx="5943600" cy="3810000"/>
            <wp:effectExtent t="0" r="0" b="0" l="0"/>
            <wp:docPr id="1" name="etape1_eda/figures/fig02_amount_time_analysis.png" descr="etape1_eda/figures/fig02_amount_time_analysis.png" title="etape1_eda/figures/fig02_amount_time_analysi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3810000"/>
                    </a:xfrm>
                    <a:prstGeom prst="rect">
                      <a:avLst/>
                    </a:prstGeom>
                  </pic:spPr>
                </pic:pic>
              </a:graphicData>
            </a:graphic>
          </wp:inline>
        </w:drawing>
      </w:r>
    </w:p>
    <w:p>
      <w:pPr>
        <w:spacing w:after="200" w:before="0"/>
        <w:jc w:val="center"/>
      </w:pPr>
      <w:r>
        <w:rPr>
          <w:i/>
          <w:iCs/>
          <w:color w:val="555555"/>
          <w:sz w:val="18"/>
          <w:szCs w:val="18"/>
        </w:rPr>
        <w:t xml:space="preserve">Figure 1.2 – Distributions et statistiques descriptives de Amount et Time par classe</w:t>
      </w:r>
    </w:p>
    <w:p>
      <w:pPr>
        <w:pStyle w:val="Heading2"/>
        <w:spacing w:after="160" w:before="280"/>
      </w:pPr>
      <w:r>
        <w:rPr>
          <w:rFonts w:ascii="Arial" w:cs="Arial" w:eastAsia="Arial" w:hAnsi="Arial"/>
          <w:b/>
          <w:bCs/>
          <w:sz w:val="26"/>
          <w:szCs w:val="26"/>
        </w:rPr>
        <w:t xml:space="preserve">1.3 Feature Engineering Avance</w:t>
      </w:r>
    </w:p>
    <w:p>
      <w:pPr>
        <w:spacing w:after="80" w:before="80" w:line="300"/>
        <w:jc w:val="both"/>
      </w:pPr>
      <w:r>
        <w:rPr>
          <w:rFonts w:ascii="Arial" w:cs="Arial" w:eastAsia="Arial" w:hAnsi="Arial"/>
          <w:sz w:val="22"/>
          <w:szCs w:val="22"/>
        </w:rPr>
        <w:t xml:space="preserve">Sept nouvelles variables sont creees pour enrichir la representation des transactions :</w:t>
      </w:r>
    </w:p>
    <w:p>
      <w:pPr>
        <w:pStyle w:val="ListParagraph"/>
        <w:numPr>
          <w:ilvl w:val="0"/>
          <w:numId w:val="2"/>
        </w:numPr>
        <w:spacing w:after="60" w:before="60" w:line="280"/>
      </w:pPr>
      <w:r>
        <w:rPr>
          <w:rFonts w:ascii="Arial" w:cs="Arial" w:eastAsia="Arial" w:hAnsi="Arial"/>
          <w:sz w:val="22"/>
          <w:szCs w:val="22"/>
        </w:rPr>
        <w:t xml:space="preserve">Amount_log1p = log(1 + Amount) : reduit l'asymetrie de distribution de Amount</w:t>
      </w:r>
    </w:p>
    <w:p>
      <w:pPr>
        <w:pStyle w:val="ListParagraph"/>
        <w:numPr>
          <w:ilvl w:val="0"/>
          <w:numId w:val="2"/>
        </w:numPr>
        <w:spacing w:after="60" w:before="60" w:line="280"/>
      </w:pPr>
      <w:r>
        <w:rPr>
          <w:rFonts w:ascii="Arial" w:cs="Arial" w:eastAsia="Arial" w:hAnsi="Arial"/>
          <w:sz w:val="22"/>
          <w:szCs w:val="22"/>
        </w:rPr>
        <w:t xml:space="preserve">Amount_sq = Amount^2 : capture les effets quadratiques des gros montants</w:t>
      </w:r>
    </w:p>
    <w:p>
      <w:pPr>
        <w:pStyle w:val="ListParagraph"/>
        <w:numPr>
          <w:ilvl w:val="0"/>
          <w:numId w:val="2"/>
        </w:numPr>
        <w:spacing w:after="60" w:before="60" w:line="280"/>
      </w:pPr>
      <w:r>
        <w:rPr>
          <w:rFonts w:ascii="Arial" w:cs="Arial" w:eastAsia="Arial" w:hAnsi="Arial"/>
          <w:sz w:val="22"/>
          <w:szCs w:val="22"/>
        </w:rPr>
        <w:t xml:space="preserve">Time_sin et Time_cos : encodage cyclique des 24h pour preserver la continuite temporelle</w:t>
      </w:r>
    </w:p>
    <w:p>
      <w:pPr>
        <w:pStyle w:val="ListParagraph"/>
        <w:numPr>
          <w:ilvl w:val="0"/>
          <w:numId w:val="2"/>
        </w:numPr>
        <w:spacing w:after="60" w:before="60" w:line="280"/>
      </w:pPr>
      <w:r>
        <w:rPr>
          <w:rFonts w:ascii="Arial" w:cs="Arial" w:eastAsia="Arial" w:hAnsi="Arial"/>
          <w:sz w:val="22"/>
          <w:szCs w:val="22"/>
        </w:rPr>
        <w:t xml:space="preserve">V1_V2_inter = V1 x V2 : interaction entre composantes PCA de forte correlation</w:t>
      </w:r>
    </w:p>
    <w:p>
      <w:pPr>
        <w:pStyle w:val="ListParagraph"/>
        <w:numPr>
          <w:ilvl w:val="0"/>
          <w:numId w:val="2"/>
        </w:numPr>
        <w:spacing w:after="60" w:before="60" w:line="280"/>
      </w:pPr>
      <w:r>
        <w:rPr>
          <w:rFonts w:ascii="Arial" w:cs="Arial" w:eastAsia="Arial" w:hAnsi="Arial"/>
          <w:sz w:val="22"/>
          <w:szCs w:val="22"/>
        </w:rPr>
        <w:t xml:space="preserve">V14_V17_inter = V14 x V17 : interaction entre les features les plus discriminantes</w:t>
      </w:r>
    </w:p>
    <w:p>
      <w:pPr>
        <w:spacing w:after="0" w:before="80"/>
      </w:pPr>
      <w:r>
        <w:t xml:space="preserve"/>
      </w:r>
    </w:p>
    <w:p>
      <w:pPr>
        <w:spacing w:after="80" w:before="80" w:line="300"/>
        <w:jc w:val="both"/>
      </w:pPr>
      <w:r>
        <w:rPr>
          <w:rFonts w:ascii="Arial" w:cs="Arial" w:eastAsia="Arial" w:hAnsi="Arial"/>
          <w:sz w:val="22"/>
          <w:szCs w:val="22"/>
        </w:rPr>
        <w:t xml:space="preserve">La selection de features est realisee par Mutual Information (MI) calculee sur 60 000 observations. Les 30 meilleures features sont retenues, auxquelles s'ajoutent les variables cles identifiees dans la litterature (V14, V17, V12, V10, V16).</w:t>
      </w:r>
    </w:p>
    <w:p>
      <w:pPr>
        <w:pStyle w:val="Heading2"/>
        <w:spacing w:after="160" w:before="280"/>
      </w:pPr>
      <w:r>
        <w:rPr>
          <w:rFonts w:ascii="Arial" w:cs="Arial" w:eastAsia="Arial" w:hAnsi="Arial"/>
          <w:b/>
          <w:bCs/>
          <w:sz w:val="26"/>
          <w:szCs w:val="26"/>
        </w:rPr>
        <w:t xml:space="preserve">1.4 Analyse de la Colinearite</w:t>
      </w:r>
    </w:p>
    <w:p>
      <w:pPr>
        <w:pStyle w:val="Heading3"/>
        <w:spacing w:after="120" w:before="200"/>
      </w:pPr>
      <w:r>
        <w:rPr>
          <w:rFonts w:ascii="Arial" w:cs="Arial" w:eastAsia="Arial" w:hAnsi="Arial"/>
          <w:b/>
          <w:bCs/>
          <w:sz w:val="22"/>
          <w:szCs w:val="22"/>
        </w:rPr>
        <w:t xml:space="preserve">1.4.1 Matrice de Correlation</w:t>
      </w:r>
    </w:p>
    <w:p>
      <w:pPr>
        <w:spacing w:after="80" w:before="80" w:line="300"/>
        <w:jc w:val="both"/>
      </w:pPr>
      <w:r>
        <w:rPr>
          <w:rFonts w:ascii="Arial" w:cs="Arial" w:eastAsia="Arial" w:hAnsi="Arial"/>
          <w:sz w:val="22"/>
          <w:szCs w:val="22"/>
        </w:rPr>
        <w:t xml:space="preserve">La matrice de correlation de Pearson revele les dependances lineaires entre features. Les composantes PCA etant par construction orthogonales, la colinearite entre V1-V28 reste faible. En revanche, les features construites (Amount_sq, Amount_log1p) presentent une forte correlation avec Amount.</w:t>
      </w:r>
    </w:p>
    <w:p>
      <w:pPr>
        <w:spacing w:after="60" w:before="120"/>
        <w:jc w:val="center"/>
      </w:pPr>
      <w:r>
        <w:drawing>
          <wp:inline distT="0" distB="0" distL="0" distR="0">
            <wp:extent cx="5524500" cy="4419600"/>
            <wp:effectExtent t="0" r="0" b="0" l="0"/>
            <wp:docPr id="1" name="etape1_eda/figures/fig03_correlation_matrix.png" descr="etape1_eda/figures/fig03_correlation_matrix.png" title="etape1_eda/figures/fig03_correlation_matri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24500" cy="4419600"/>
                    </a:xfrm>
                    <a:prstGeom prst="rect">
                      <a:avLst/>
                    </a:prstGeom>
                  </pic:spPr>
                </pic:pic>
              </a:graphicData>
            </a:graphic>
          </wp:inline>
        </w:drawing>
      </w:r>
    </w:p>
    <w:p>
      <w:pPr>
        <w:spacing w:after="200" w:before="0"/>
        <w:jc w:val="center"/>
      </w:pPr>
      <w:r>
        <w:rPr>
          <w:i/>
          <w:iCs/>
          <w:color w:val="555555"/>
          <w:sz w:val="18"/>
          <w:szCs w:val="18"/>
        </w:rPr>
        <w:t xml:space="preserve">Figure 1.3 – Matrice de correlation (triangle inferieur) apres feature engineering</w:t>
      </w:r>
    </w:p>
    <w:p>
      <w:pPr>
        <w:spacing w:after="60" w:before="120"/>
        <w:jc w:val="center"/>
      </w:pPr>
      <w:r>
        <w:drawing>
          <wp:inline distT="0" distB="0" distL="0" distR="0">
            <wp:extent cx="4286250" cy="3429000"/>
            <wp:effectExtent t="0" r="0" b="0" l="0"/>
            <wp:docPr id="1" name="etape1_eda/figures/fig04_correlation_with_target.png" descr="etape1_eda/figures/fig04_correlation_with_target.png" title="etape1_eda/figures/fig04_correlation_with_targe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286250" cy="3429000"/>
                    </a:xfrm>
                    <a:prstGeom prst="rect">
                      <a:avLst/>
                    </a:prstGeom>
                  </pic:spPr>
                </pic:pic>
              </a:graphicData>
            </a:graphic>
          </wp:inline>
        </w:drawing>
      </w:r>
    </w:p>
    <w:p>
      <w:pPr>
        <w:spacing w:after="200" w:before="0"/>
        <w:jc w:val="center"/>
      </w:pPr>
      <w:r>
        <w:rPr>
          <w:i/>
          <w:iCs/>
          <w:color w:val="555555"/>
          <w:sz w:val="18"/>
          <w:szCs w:val="18"/>
        </w:rPr>
        <w:t xml:space="preserve">Figure 1.4 – Correlation de chaque feature avec la variable cible Class (Pearson)</w:t>
      </w:r>
    </w:p>
    <w:p>
      <w:pPr>
        <w:pStyle w:val="Heading3"/>
        <w:spacing w:after="120" w:before="200"/>
      </w:pPr>
      <w:r>
        <w:rPr>
          <w:rFonts w:ascii="Arial" w:cs="Arial" w:eastAsia="Arial" w:hAnsi="Arial"/>
          <w:b/>
          <w:bCs/>
          <w:sz w:val="22"/>
          <w:szCs w:val="22"/>
        </w:rPr>
        <w:t xml:space="preserve">1.4.2 Variance Inflation Factor (VIF)</w:t>
      </w:r>
    </w:p>
    <w:p>
      <w:pPr>
        <w:spacing w:after="80" w:before="80" w:line="300"/>
        <w:jc w:val="both"/>
      </w:pPr>
      <w:r>
        <w:rPr>
          <w:rFonts w:ascii="Arial" w:cs="Arial" w:eastAsia="Arial" w:hAnsi="Arial"/>
          <w:sz w:val="22"/>
          <w:szCs w:val="22"/>
        </w:rPr>
        <w:t xml:space="preserve">Le VIF mesure l'amplification de la variance d'un coefficient de regression due a la colinearite. Un VIF &gt; 10 indique une colinearite problematique. L'analyse revele que Amount presente un VIF de 16.80 (forte colinearite avec ses transformees), ce qui justifie la regularisation Elastic Net appliquee a la regression logistique.</w:t>
      </w:r>
    </w:p>
    <w:p>
      <w:pPr>
        <w:spacing w:after="60" w:before="120"/>
        <w:jc w:val="center"/>
      </w:pPr>
      <w:r>
        <w:drawing>
          <wp:inline distT="0" distB="0" distL="0" distR="0">
            <wp:extent cx="4572000" cy="3743325"/>
            <wp:effectExtent t="0" r="0" b="0" l="0"/>
            <wp:docPr id="1" name="etape1_eda/figures/fig05_vif.png" descr="etape1_eda/figures/fig05_vif.png" title="etape1_eda/figures/fig05_vi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572000" cy="3743325"/>
                    </a:xfrm>
                    <a:prstGeom prst="rect">
                      <a:avLst/>
                    </a:prstGeom>
                  </pic:spPr>
                </pic:pic>
              </a:graphicData>
            </a:graphic>
          </wp:inline>
        </w:drawing>
      </w:r>
    </w:p>
    <w:p>
      <w:pPr>
        <w:spacing w:after="200" w:before="0"/>
        <w:jc w:val="center"/>
      </w:pPr>
      <w:r>
        <w:rPr>
          <w:i/>
          <w:iCs/>
          <w:color w:val="555555"/>
          <w:sz w:val="18"/>
          <w:szCs w:val="18"/>
        </w:rPr>
        <w:t xml:space="preserve">Figure 1.5 – VIF par feature : Amount montre une colinearite forte avec ses transformees</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2"/>
              <w:left w:val="single" w:color="2E75B6" w:sz="2"/>
              <w:bottom w:val="single" w:color="2E75B6" w:sz="2"/>
              <w:right w:val="single" w:color="2E75B6" w:sz="2"/>
            </w:tcBorders>
            <w:shd w:fill="EBF3FB" w:val="clear"/>
            <w:tcMar>
              <w:top w:type="dxa" w:w="120"/>
              <w:left w:type="dxa" w:w="200"/>
              <w:bottom w:type="dxa" w:w="120"/>
              <w:right w:type="dxa" w:w="200"/>
            </w:tcMar>
          </w:tcPr>
          <w:p>
            <w:pPr>
              <w:spacing w:after="40" w:before="40" w:line="280"/>
            </w:pPr>
            <w:r>
              <w:rPr>
                <w:rFonts w:ascii="Arial" w:cs="Arial" w:eastAsia="Arial" w:hAnsi="Arial"/>
                <w:sz w:val="20"/>
                <w:szCs w:val="20"/>
              </w:rPr>
              <w:t xml:space="preserve">Interpretation VIF :</w:t>
            </w:r>
          </w:p>
          <w:p>
            <w:pPr>
              <w:spacing w:after="40" w:before="40" w:line="280"/>
            </w:pPr>
            <w:r>
              <w:rPr>
                <w:rFonts w:ascii="Arial" w:cs="Arial" w:eastAsia="Arial" w:hAnsi="Arial"/>
                <w:sz w:val="20"/>
                <w:szCs w:val="20"/>
              </w:rPr>
              <w:t xml:space="preserve">  VIF &gt; 10 (rouge) : colinearite forte -&gt; regularisation indispensable</w:t>
            </w:r>
          </w:p>
          <w:p>
            <w:pPr>
              <w:spacing w:after="40" w:before="40" w:line="280"/>
            </w:pPr>
            <w:r>
              <w:rPr>
                <w:rFonts w:ascii="Arial" w:cs="Arial" w:eastAsia="Arial" w:hAnsi="Arial"/>
                <w:sz w:val="20"/>
                <w:szCs w:val="20"/>
              </w:rPr>
              <w:t xml:space="preserve">  VIF 5-10 (orange) : a surveiller -&gt; inclure dans le modele avec prudence</w:t>
            </w:r>
          </w:p>
          <w:p>
            <w:pPr>
              <w:spacing w:after="40" w:before="40" w:line="280"/>
            </w:pPr>
            <w:r>
              <w:rPr>
                <w:rFonts w:ascii="Arial" w:cs="Arial" w:eastAsia="Arial" w:hAnsi="Arial"/>
                <w:sz w:val="20"/>
                <w:szCs w:val="20"/>
              </w:rPr>
              <w:t xml:space="preserve">  VIF &lt; 5 (vert)   : colinearite acceptable</w:t>
            </w:r>
          </w:p>
          <w:p>
            <w:pPr>
              <w:spacing w:after="40" w:before="40" w:line="280"/>
            </w:pPr>
            <w:r>
              <w:rPr>
                <w:rFonts w:ascii="Arial" w:cs="Arial" w:eastAsia="Arial" w:hAnsi="Arial"/>
                <w:sz w:val="20"/>
                <w:szCs w:val="20"/>
              </w:rPr>
              <w:t xml:space="preserve"/>
            </w:r>
          </w:p>
          <w:p>
            <w:pPr>
              <w:spacing w:after="40" w:before="40" w:line="280"/>
            </w:pPr>
            <w:r>
              <w:rPr>
                <w:rFonts w:ascii="Arial" w:cs="Arial" w:eastAsia="Arial" w:hAnsi="Arial"/>
                <w:sz w:val="20"/>
                <w:szCs w:val="20"/>
              </w:rPr>
              <w:t xml:space="preserve">Amount (VIF=16.80) : forte colinearite avec Amount_log1p et Amount_sq.</w:t>
            </w:r>
          </w:p>
          <w:p>
            <w:pPr>
              <w:spacing w:after="40" w:before="40" w:line="280"/>
            </w:pPr>
            <w:r>
              <w:rPr>
                <w:rFonts w:ascii="Arial" w:cs="Arial" w:eastAsia="Arial" w:hAnsi="Arial"/>
                <w:sz w:val="20"/>
                <w:szCs w:val="20"/>
              </w:rPr>
              <w:t xml:space="preserve">Solution appliquee : penalite Elastic Net (L1+L2) sur la regression logistique,</w:t>
            </w:r>
          </w:p>
          <w:p>
            <w:pPr>
              <w:spacing w:after="40" w:before="40" w:line="280"/>
            </w:pPr>
            <w:r>
              <w:rPr>
                <w:rFonts w:ascii="Arial" w:cs="Arial" w:eastAsia="Arial" w:hAnsi="Arial"/>
                <w:sz w:val="20"/>
                <w:szCs w:val="20"/>
              </w:rPr>
              <w:t xml:space="preserve">qui force les coefficients colineaires vers zero.</w:t>
            </w:r>
          </w:p>
        </w:tc>
      </w:tr>
    </w:tbl>
    <w:p>
      <w:pPr>
        <w:pStyle w:val="Heading2"/>
        <w:spacing w:after="160" w:before="280"/>
      </w:pPr>
      <w:r>
        <w:rPr>
          <w:rFonts w:ascii="Arial" w:cs="Arial" w:eastAsia="Arial" w:hAnsi="Arial"/>
          <w:b/>
          <w:bCs/>
          <w:sz w:val="26"/>
          <w:szCs w:val="26"/>
        </w:rPr>
        <w:t xml:space="preserve">1.5 Traitement du Desequilibre</w:t>
      </w:r>
    </w:p>
    <w:p>
      <w:pPr>
        <w:spacing w:after="80" w:before="80" w:line="300"/>
        <w:jc w:val="both"/>
      </w:pPr>
      <w:r>
        <w:rPr>
          <w:rFonts w:ascii="Arial" w:cs="Arial" w:eastAsia="Arial" w:hAnsi="Arial"/>
          <w:sz w:val="22"/>
          <w:szCs w:val="22"/>
        </w:rPr>
        <w:t xml:space="preserve">Le ratio 578:1 constitue un defi majeur : tout modele naive qui predit systematiquement 'legitime' atteint une accuracy de 99.83%, rendant cette metrique sans valeur. Quatre approches sont comparees :</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000"/>
        <w:gridCol w:w="2826"/>
      </w:tblGrid>
      <w:tr>
        <w:trPr>
          <w:tblHeader/>
        </w:trP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Methode</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Categorie</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Resultat</w:t>
            </w:r>
          </w:p>
        </w:tc>
        <w:tc>
          <w:tcPr>
            <w:tcW w:type="dxa" w:w="2826"/>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Principe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class_weight='balanced'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Niveau algorithmique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w(fraude) = 289.1</w:t>
            </w:r>
          </w:p>
        </w:tc>
        <w:tc>
          <w:tcPr>
            <w:tcW w:type="dxa" w:w="28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Aucune modification des donnees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SMOTE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Sur-echantillonnage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227 451 fraudes synth.</w:t>
            </w:r>
          </w:p>
        </w:tc>
        <w:tc>
          <w:tcPr>
            <w:tcW w:type="dxa" w:w="28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Interpolation entre k-voisins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ADASYN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Sur-echantillonnage adaptatif</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227 457 fraudes synth.</w:t>
            </w:r>
          </w:p>
        </w:tc>
        <w:tc>
          <w:tcPr>
            <w:tcW w:type="dxa" w:w="28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Densite variable selon difficulte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NearMiss v1</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Sous-echantillonnage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394 obs. au total</w:t>
            </w:r>
          </w:p>
        </w:tc>
        <w:tc>
          <w:tcPr>
            <w:tcW w:type="dxa" w:w="28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Reduction drastique majoritaire</w:t>
            </w:r>
          </w:p>
        </w:tc>
      </w:tr>
    </w:tbl>
    <w:p>
      <w:pPr>
        <w:spacing w:after="0" w:before="120"/>
      </w:pPr>
      <w:r>
        <w:t xml:space="preserve"/>
      </w:r>
    </w:p>
    <w:p>
      <w:pPr>
        <w:spacing w:after="60" w:before="120"/>
        <w:jc w:val="center"/>
      </w:pPr>
      <w:r>
        <w:drawing>
          <wp:inline distT="0" distB="0" distL="0" distR="0">
            <wp:extent cx="5943600" cy="3971925"/>
            <wp:effectExtent t="0" r="0" b="0" l="0"/>
            <wp:docPr id="1" name="etape1_eda/figures/fig06_imbalance_methods_comparison.png" descr="etape1_eda/figures/fig06_imbalance_methods_comparison.png" title="etape1_eda/figures/fig06_imbalance_methods_comparis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43600" cy="3971925"/>
                    </a:xfrm>
                    <a:prstGeom prst="rect">
                      <a:avLst/>
                    </a:prstGeom>
                  </pic:spPr>
                </pic:pic>
              </a:graphicData>
            </a:graphic>
          </wp:inline>
        </w:drawing>
      </w:r>
    </w:p>
    <w:p>
      <w:pPr>
        <w:spacing w:after="200" w:before="0"/>
        <w:jc w:val="center"/>
      </w:pPr>
      <w:r>
        <w:rPr>
          <w:i/>
          <w:iCs/>
          <w:color w:val="555555"/>
          <w:sz w:val="18"/>
          <w:szCs w:val="18"/>
        </w:rPr>
        <w:t xml:space="preserve">Figure 1.6 – Comparaison des 4 methodes de reequilibrage : distribution des classes</w:t>
      </w:r>
    </w:p>
    <w:p>
      <w:pPr>
        <w:spacing w:after="60" w:before="120"/>
        <w:jc w:val="center"/>
      </w:pPr>
      <w:r>
        <w:drawing>
          <wp:inline distT="0" distB="0" distL="0" distR="0">
            <wp:extent cx="5524500" cy="2371725"/>
            <wp:effectExtent t="0" r="0" b="0" l="0"/>
            <wp:docPr id="1" name="etape1_eda/figures/fig07_smote_detail.png" descr="etape1_eda/figures/fig07_smote_detail.png" title="etape1_eda/figures/fig07_smote_detai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524500" cy="2371725"/>
                    </a:xfrm>
                    <a:prstGeom prst="rect">
                      <a:avLst/>
                    </a:prstGeom>
                  </pic:spPr>
                </pic:pic>
              </a:graphicData>
            </a:graphic>
          </wp:inline>
        </w:drawing>
      </w:r>
    </w:p>
    <w:p>
      <w:pPr>
        <w:spacing w:after="200" w:before="0"/>
        <w:jc w:val="center"/>
      </w:pPr>
      <w:r>
        <w:rPr>
          <w:i/>
          <w:iCs/>
          <w:color w:val="555555"/>
          <w:sz w:val="18"/>
          <w:szCs w:val="18"/>
        </w:rPr>
        <w:t xml:space="preserve">Figure 1.7 – SMOTE : visualisation PCA des points synthetiques generes par interpolation</w:t>
      </w:r>
    </w:p>
    <w:p>
      <w:pPr>
        <w:spacing w:after="60" w:before="120"/>
        <w:jc w:val="center"/>
      </w:pPr>
      <w:r>
        <w:drawing>
          <wp:inline distT="0" distB="0" distL="0" distR="0">
            <wp:extent cx="5524500" cy="2371725"/>
            <wp:effectExtent t="0" r="0" b="0" l="0"/>
            <wp:docPr id="1" name="etape1_eda/figures/fig08_adasyn_detail.png" descr="etape1_eda/figures/fig08_adasyn_detail.png" title="etape1_eda/figures/fig08_adasyn_detai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524500" cy="2371725"/>
                    </a:xfrm>
                    <a:prstGeom prst="rect">
                      <a:avLst/>
                    </a:prstGeom>
                  </pic:spPr>
                </pic:pic>
              </a:graphicData>
            </a:graphic>
          </wp:inline>
        </w:drawing>
      </w:r>
    </w:p>
    <w:p>
      <w:pPr>
        <w:spacing w:after="200" w:before="0"/>
        <w:jc w:val="center"/>
      </w:pPr>
      <w:r>
        <w:rPr>
          <w:i/>
          <w:iCs/>
          <w:color w:val="555555"/>
          <w:sz w:val="18"/>
          <w:szCs w:val="18"/>
        </w:rPr>
        <w:t xml:space="preserve">Figure 1.8 – ADASYN : generation adaptative concentree sur les zones difficiles</w:t>
      </w:r>
    </w:p>
    <w:p>
      <w:pPr>
        <w:spacing w:after="60" w:before="120"/>
        <w:jc w:val="center"/>
      </w:pPr>
      <w:r>
        <w:drawing>
          <wp:inline distT="0" distB="0" distL="0" distR="0">
            <wp:extent cx="5524500" cy="2371725"/>
            <wp:effectExtent t="0" r="0" b="0" l="0"/>
            <wp:docPr id="1" name="etape1_eda/figures/fig09_nearmiss_detail.png" descr="etape1_eda/figures/fig09_nearmiss_detail.png" title="etape1_eda/figures/fig09_nearmiss_detai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524500" cy="2371725"/>
                    </a:xfrm>
                    <a:prstGeom prst="rect">
                      <a:avLst/>
                    </a:prstGeom>
                  </pic:spPr>
                </pic:pic>
              </a:graphicData>
            </a:graphic>
          </wp:inline>
        </w:drawing>
      </w:r>
    </w:p>
    <w:p>
      <w:pPr>
        <w:spacing w:after="200" w:before="0"/>
        <w:jc w:val="center"/>
      </w:pPr>
      <w:r>
        <w:rPr>
          <w:i/>
          <w:iCs/>
          <w:color w:val="555555"/>
          <w:sz w:val="18"/>
          <w:szCs w:val="18"/>
        </w:rPr>
        <w:t xml:space="preserve">Figure 1.9 – NearMiss v1 : reduction de la classe majoritaire aux exemples proches des fraudes</w:t>
      </w:r>
    </w:p>
    <w:p>
      <w:pPr>
        <w:spacing w:after="60" w:before="120"/>
        <w:jc w:val="center"/>
      </w:pPr>
      <w:r>
        <w:drawing>
          <wp:inline distT="0" distB="0" distL="0" distR="0">
            <wp:extent cx="5524500" cy="2371725"/>
            <wp:effectExtent t="0" r="0" b="0" l="0"/>
            <wp:docPr id="1" name="etape1_eda/figures/fig10_classweight_detail.png" descr="etape1_eda/figures/fig10_classweight_detail.png" title="etape1_eda/figures/fig10_classweight_detai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524500" cy="2371725"/>
                    </a:xfrm>
                    <a:prstGeom prst="rect">
                      <a:avLst/>
                    </a:prstGeom>
                  </pic:spPr>
                </pic:pic>
              </a:graphicData>
            </a:graphic>
          </wp:inline>
        </w:drawing>
      </w:r>
    </w:p>
    <w:p>
      <w:pPr>
        <w:spacing w:after="200" w:before="0"/>
        <w:jc w:val="center"/>
      </w:pPr>
      <w:r>
        <w:rPr>
          <w:i/>
          <w:iCs/>
          <w:color w:val="555555"/>
          <w:sz w:val="18"/>
          <w:szCs w:val="18"/>
        </w:rPr>
        <w:t xml:space="preserve">Figure 1.10 – Class Weight : effet de la ponderation sur la fonction de perte</w:t>
      </w:r>
    </w:p>
    <w:p>
      <w:pPr>
        <w:spacing w:after="60" w:before="120"/>
        <w:jc w:val="center"/>
      </w:pPr>
      <w:r>
        <w:drawing>
          <wp:inline distT="0" distB="0" distL="0" distR="0">
            <wp:extent cx="5524500" cy="4143375"/>
            <wp:effectExtent t="0" r="0" b="0" l="0"/>
            <wp:docPr id="1" name="etape1_eda/figures/fig11_methods_pca_2d.png" descr="etape1_eda/figures/fig11_methods_pca_2d.png" title="etape1_eda/figures/fig11_methods_pca_2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524500" cy="4143375"/>
                    </a:xfrm>
                    <a:prstGeom prst="rect">
                      <a:avLst/>
                    </a:prstGeom>
                  </pic:spPr>
                </pic:pic>
              </a:graphicData>
            </a:graphic>
          </wp:inline>
        </w:drawing>
      </w:r>
    </w:p>
    <w:p>
      <w:pPr>
        <w:spacing w:after="200" w:before="0"/>
        <w:jc w:val="center"/>
      </w:pPr>
      <w:r>
        <w:rPr>
          <w:i/>
          <w:iCs/>
          <w:color w:val="555555"/>
          <w:sz w:val="18"/>
          <w:szCs w:val="18"/>
        </w:rPr>
        <w:t xml:space="preserve">Figure 1.11 – Vue comparative PCA 2D des 4 espaces reechantillonnes</w:t>
      </w:r>
    </w:p>
    <w:p>
      <w:pPr>
        <w:spacing w:after="60" w:before="120"/>
        <w:jc w:val="center"/>
      </w:pPr>
      <w:r>
        <w:drawing>
          <wp:inline distT="0" distB="0" distL="0" distR="0">
            <wp:extent cx="5943600" cy="3781425"/>
            <wp:effectExtent t="0" r="0" b="0" l="0"/>
            <wp:docPr id="1" name="etape1_eda/figures/fig12_pca_features_distribution.png" descr="etape1_eda/figures/fig12_pca_features_distribution.png" title="etape1_eda/figures/fig12_pca_features_distribu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943600" cy="3781425"/>
                    </a:xfrm>
                    <a:prstGeom prst="rect">
                      <a:avLst/>
                    </a:prstGeom>
                  </pic:spPr>
                </pic:pic>
              </a:graphicData>
            </a:graphic>
          </wp:inline>
        </w:drawing>
      </w:r>
    </w:p>
    <w:p>
      <w:pPr>
        <w:spacing w:after="200" w:before="0"/>
        <w:jc w:val="center"/>
      </w:pPr>
      <w:r>
        <w:rPr>
          <w:i/>
          <w:iCs/>
          <w:color w:val="555555"/>
          <w:sz w:val="18"/>
          <w:szCs w:val="18"/>
        </w:rPr>
        <w:t xml:space="preserve">Figure 1.12 – Distributions des features V1-V28 : Legitime vs Fraude</w:t>
      </w:r>
    </w:p>
    <w:p>
      <w:pPr>
        <w:pStyle w:val="Heading1"/>
        <w:pageBreakBefore/>
        <w:spacing w:after="240" w:before="0"/>
      </w:pPr>
      <w:r>
        <w:rPr>
          <w:rFonts w:ascii="Arial" w:cs="Arial" w:eastAsia="Arial" w:hAnsi="Arial"/>
          <w:b/>
          <w:bCs/>
          <w:sz w:val="32"/>
          <w:szCs w:val="32"/>
        </w:rPr>
        <w:t xml:space="preserve">Etape 2 : Developpement des Modeles</w:t>
      </w:r>
    </w:p>
    <w:p>
      <w:pPr>
        <w:spacing w:after="80" w:before="80" w:line="300"/>
        <w:jc w:val="both"/>
      </w:pPr>
      <w:r>
        <w:rPr>
          <w:rFonts w:ascii="Arial" w:cs="Arial" w:eastAsia="Arial" w:hAnsi="Arial"/>
          <w:sz w:val="22"/>
          <w:szCs w:val="22"/>
        </w:rPr>
        <w:t xml:space="preserve">Trois approches mathematiques complementaires sont confrontees, chacune avec une justification rigoureuse des hyperparametres. Les modeles sont entraines sur 120 000 observations (sous-ensemble stratifie) et evalues sur le test set (56 962 obs.).</w:t>
      </w:r>
    </w:p>
    <w:p>
      <w:pPr>
        <w:pStyle w:val="Heading2"/>
        <w:spacing w:after="160" w:before="280"/>
      </w:pPr>
      <w:r>
        <w:rPr>
          <w:rFonts w:ascii="Arial" w:cs="Arial" w:eastAsia="Arial" w:hAnsi="Arial"/>
          <w:b/>
          <w:bCs/>
          <w:sz w:val="26"/>
          <w:szCs w:val="26"/>
        </w:rPr>
        <w:t xml:space="preserve">2.1 Modele Baseline : Regression Logistique Elastic Net</w:t>
      </w:r>
    </w:p>
    <w:p>
      <w:pPr>
        <w:pStyle w:val="Heading3"/>
        <w:spacing w:after="120" w:before="200"/>
      </w:pPr>
      <w:r>
        <w:rPr>
          <w:rFonts w:ascii="Arial" w:cs="Arial" w:eastAsia="Arial" w:hAnsi="Arial"/>
          <w:b/>
          <w:bCs/>
          <w:sz w:val="22"/>
          <w:szCs w:val="22"/>
        </w:rPr>
        <w:t xml:space="preserve">2.1.1 Justification des hyperparametres</w:t>
      </w:r>
    </w:p>
    <w:p>
      <w:pPr>
        <w:spacing w:after="80" w:before="80" w:line="300"/>
        <w:jc w:val="both"/>
      </w:pPr>
      <w:r>
        <w:rPr>
          <w:rFonts w:ascii="Arial" w:cs="Arial" w:eastAsia="Arial" w:hAnsi="Arial"/>
          <w:sz w:val="22"/>
          <w:szCs w:val="22"/>
        </w:rPr>
        <w:t xml:space="preserve">La regression logistique avec penalite Elastic Net combine L1 (sparsification) et L2 (stabilisation) pour traiter simultanement la colinearite (VIF eleve de Amount) et la selection de features.</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5826"/>
      </w:tblGrid>
      <w:tr>
        <w:trPr>
          <w:tblHeader/>
        </w:trPr>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Parametre</w:t>
            </w:r>
          </w:p>
        </w:tc>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Valeur</w:t>
            </w:r>
          </w:p>
        </w:tc>
        <w:tc>
          <w:tcPr>
            <w:tcW w:type="dxa" w:w="5826"/>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Justification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solver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saga</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Seul solver supportant Elastic Net sur grands datasets (&gt;100K obs)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penalty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elasticnet</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L1 + L2 : selection de features + stabilite numerique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l1_ratio</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0.5</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Equilibre parfait L1/L2 : 50% sparsification, 50% regularisation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C</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0.1</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Regularisation moderee (C=1/lambda, faible C = forte regularisation)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class_weight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balanced</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Poids fraude = 289.1x (compense le ratio 578:1)</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max_iter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300</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Convergence assuree sur 80 000 observations</w:t>
            </w:r>
          </w:p>
        </w:tc>
      </w:tr>
    </w:tbl>
    <w:p>
      <w:pPr>
        <w:spacing w:after="0" w:before="120"/>
      </w:pPr>
      <w:r>
        <w:t xml:space="preserve"/>
      </w:r>
    </w:p>
    <w:p>
      <w:pPr>
        <w:spacing w:after="60" w:before="120"/>
        <w:jc w:val="center"/>
      </w:pPr>
      <w:r>
        <w:drawing>
          <wp:inline distT="0" distB="0" distL="0" distR="0">
            <wp:extent cx="5943600" cy="2600325"/>
            <wp:effectExtent t="0" r="0" b="0" l="0"/>
            <wp:docPr id="1" name="etape2_models/figures/fig01_logreg_coefficients.png" descr="etape2_models/figures/fig01_logreg_coefficients.png" title="etape2_models/figures/fig01_logreg_coefficient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943600" cy="2600325"/>
                    </a:xfrm>
                    <a:prstGeom prst="rect">
                      <a:avLst/>
                    </a:prstGeom>
                  </pic:spPr>
                </pic:pic>
              </a:graphicData>
            </a:graphic>
          </wp:inline>
        </w:drawing>
      </w:r>
    </w:p>
    <w:p>
      <w:pPr>
        <w:spacing w:after="200" w:before="0"/>
        <w:jc w:val="center"/>
      </w:pPr>
      <w:r>
        <w:rPr>
          <w:i/>
          <w:iCs/>
          <w:color w:val="555555"/>
          <w:sz w:val="18"/>
          <w:szCs w:val="18"/>
        </w:rPr>
        <w:t xml:space="preserve">Figure 2.1 – Top 20 coefficients Elastic Net : rouge = augmente P(fraude), bleu = diminue P(fraude)</w:t>
      </w:r>
    </w:p>
    <w:p>
      <w:pPr>
        <w:spacing w:after="60" w:before="120"/>
        <w:jc w:val="center"/>
      </w:pPr>
      <w:r>
        <w:drawing>
          <wp:inline distT="0" distB="0" distL="0" distR="0">
            <wp:extent cx="4191000" cy="3143250"/>
            <wp:effectExtent t="0" r="0" b="0" l="0"/>
            <wp:docPr id="1" name="etape2_models/figures/fig02_logreg_pr_curve.png" descr="etape2_models/figures/fig02_logreg_pr_curve.png" title="etape2_models/figures/fig02_logreg_pr_curv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191000" cy="3143250"/>
                    </a:xfrm>
                    <a:prstGeom prst="rect">
                      <a:avLst/>
                    </a:prstGeom>
                  </pic:spPr>
                </pic:pic>
              </a:graphicData>
            </a:graphic>
          </wp:inline>
        </w:drawing>
      </w:r>
    </w:p>
    <w:p>
      <w:pPr>
        <w:spacing w:after="200" w:before="0"/>
        <w:jc w:val="center"/>
      </w:pPr>
      <w:r>
        <w:rPr>
          <w:i/>
          <w:iCs/>
          <w:color w:val="555555"/>
          <w:sz w:val="18"/>
          <w:szCs w:val="18"/>
        </w:rPr>
        <w:t xml:space="preserve">Figure 2.2 – Courbe Precision-Recall LogReg : AUPRC = 0.708</w:t>
      </w:r>
    </w:p>
    <w:p>
      <w:pPr>
        <w:pStyle w:val="Heading2"/>
        <w:spacing w:after="160" w:before="280"/>
      </w:pPr>
      <w:r>
        <w:rPr>
          <w:rFonts w:ascii="Arial" w:cs="Arial" w:eastAsia="Arial" w:hAnsi="Arial"/>
          <w:b/>
          <w:bCs/>
          <w:sz w:val="26"/>
          <w:szCs w:val="26"/>
        </w:rPr>
        <w:t xml:space="preserve">2.2 Random Forest avec Analyse de Proximite</w:t>
      </w:r>
    </w:p>
    <w:p>
      <w:pPr>
        <w:pStyle w:val="Heading3"/>
        <w:spacing w:after="120" w:before="200"/>
      </w:pPr>
      <w:r>
        <w:rPr>
          <w:rFonts w:ascii="Arial" w:cs="Arial" w:eastAsia="Arial" w:hAnsi="Arial"/>
          <w:b/>
          <w:bCs/>
          <w:sz w:val="22"/>
          <w:szCs w:val="22"/>
        </w:rPr>
        <w:t xml:space="preserve">2.2.1 Configuration et hyperparametres</w:t>
      </w:r>
    </w:p>
    <w:p>
      <w:pPr>
        <w:spacing w:after="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5626"/>
      </w:tblGrid>
      <w:tr>
        <w:trPr>
          <w:tblHeader/>
        </w:trP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Parametre</w:t>
            </w:r>
          </w:p>
        </w:tc>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Valeur</w:t>
            </w:r>
          </w:p>
        </w:tc>
        <w:tc>
          <w:tcPr>
            <w:tcW w:type="dxa" w:w="5626"/>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Justification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n_estimators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120</w:t>
            </w:r>
          </w:p>
        </w:tc>
        <w:tc>
          <w:tcPr>
            <w:tcW w:type="dxa" w:w="56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Nombre suffisant pour stabilite sans surapprentissage excessif</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max_depth</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10</w:t>
            </w:r>
          </w:p>
        </w:tc>
        <w:tc>
          <w:tcPr>
            <w:tcW w:type="dxa" w:w="56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Limite la profondeur : evite l'overfitting sur donnees desequilibrees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min_samples_leaf</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6</w:t>
            </w:r>
          </w:p>
        </w:tc>
        <w:tc>
          <w:tcPr>
            <w:tcW w:type="dxa" w:w="56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Min 6 obs. par feuille : stabilite des predictions aux frontieres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class_weight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balanced_subsample</w:t>
            </w:r>
          </w:p>
        </w:tc>
        <w:tc>
          <w:tcPr>
            <w:tcW w:type="dxa" w:w="56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Recalcul par bootstrap : plus robuste que 'balanced' global</w:t>
            </w:r>
          </w:p>
        </w:tc>
      </w:tr>
    </w:tbl>
    <w:p>
      <w:pPr>
        <w:pStyle w:val="Heading3"/>
        <w:spacing w:after="120" w:before="200"/>
      </w:pPr>
      <w:r>
        <w:rPr>
          <w:rFonts w:ascii="Arial" w:cs="Arial" w:eastAsia="Arial" w:hAnsi="Arial"/>
          <w:b/>
          <w:bCs/>
          <w:sz w:val="22"/>
          <w:szCs w:val="22"/>
        </w:rPr>
        <w:t xml:space="preserve">2.2.2 Matrice de Proximite et Outliers de Prediction</w:t>
      </w:r>
    </w:p>
    <w:p>
      <w:pPr>
        <w:spacing w:after="80" w:before="80" w:line="300"/>
        <w:jc w:val="both"/>
      </w:pPr>
      <w:r>
        <w:rPr>
          <w:rFonts w:ascii="Arial" w:cs="Arial" w:eastAsia="Arial" w:hAnsi="Arial"/>
          <w:sz w:val="22"/>
          <w:szCs w:val="22"/>
        </w:rPr>
        <w:t xml:space="preserve">La matrice de proximite RF est construite en calculant la frequence a laquelle deux observations terminent dans la meme feuille terminale, en aggreant sur les 120 arbres. Le score d'outlierness d'une observation i est : outlierness(i) = 1 / sum(P(i,j)^2), ou P(i,j) est la proximite.</w:t>
      </w:r>
    </w:p>
    <w:p>
      <w:pPr>
        <w:spacing w:after="80" w:before="80" w:line="300"/>
        <w:jc w:val="both"/>
      </w:pPr>
      <w:r>
        <w:rPr>
          <w:rFonts w:ascii="Arial" w:cs="Arial" w:eastAsia="Arial" w:hAnsi="Arial"/>
          <w:sz w:val="22"/>
          <w:szCs w:val="22"/>
        </w:rPr>
        <w:t xml:space="preserve">Un score eleve indique que l'observation est isolee dans l'espace de decision (peu partagee avec ses voisins). Les 5% d'observations au score le plus eleve constituent les 'outliers de prediction'.</w:t>
      </w:r>
    </w:p>
    <w:p>
      <w:pPr>
        <w:spacing w:after="60" w:before="120"/>
        <w:jc w:val="center"/>
      </w:pPr>
      <w:r>
        <w:drawing>
          <wp:inline distT="0" distB="0" distL="0" distR="0">
            <wp:extent cx="5943600" cy="2381250"/>
            <wp:effectExtent t="0" r="0" b="0" l="0"/>
            <wp:docPr id="1" name="etape2_models/figures/fig04_rf_proximity_matrix.png" descr="etape2_models/figures/fig04_rf_proximity_matrix.png" title="etape2_models/figures/fig04_rf_proximity_matri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943600" cy="2381250"/>
                    </a:xfrm>
                    <a:prstGeom prst="rect">
                      <a:avLst/>
                    </a:prstGeom>
                  </pic:spPr>
                </pic:pic>
              </a:graphicData>
            </a:graphic>
          </wp:inline>
        </w:drawing>
      </w:r>
    </w:p>
    <w:p>
      <w:pPr>
        <w:spacing w:after="200" w:before="0"/>
        <w:jc w:val="center"/>
      </w:pPr>
      <w:r>
        <w:rPr>
          <w:i/>
          <w:iCs/>
          <w:color w:val="555555"/>
          <w:sz w:val="18"/>
          <w:szCs w:val="18"/>
        </w:rPr>
        <w:t xml:space="preserve">Figure 2.3 – Matrice de proximite RF (200x200) et distribution du score d'outlierness</w:t>
      </w:r>
    </w:p>
    <w:p>
      <w:pPr>
        <w:spacing w:after="60" w:before="120"/>
        <w:jc w:val="center"/>
      </w:pPr>
      <w:r>
        <w:drawing>
          <wp:inline distT="0" distB="0" distL="0" distR="0">
            <wp:extent cx="5943600" cy="2381250"/>
            <wp:effectExtent t="0" r="0" b="0" l="0"/>
            <wp:docPr id="1" name="etape2_models/figures/fig05_rf_outliers_pca.png" descr="etape2_models/figures/fig05_rf_outliers_pca.png" title="etape2_models/figures/fig05_rf_outliers_pc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943600" cy="2381250"/>
                    </a:xfrm>
                    <a:prstGeom prst="rect">
                      <a:avLst/>
                    </a:prstGeom>
                  </pic:spPr>
                </pic:pic>
              </a:graphicData>
            </a:graphic>
          </wp:inline>
        </w:drawing>
      </w:r>
    </w:p>
    <w:p>
      <w:pPr>
        <w:spacing w:after="200" w:before="0"/>
        <w:jc w:val="center"/>
      </w:pPr>
      <w:r>
        <w:rPr>
          <w:i/>
          <w:iCs/>
          <w:color w:val="555555"/>
          <w:sz w:val="18"/>
          <w:szCs w:val="18"/>
        </w:rPr>
        <w:t xml:space="preserve">Figure 2.4 – Outliers de prediction (X rouge) dans l'espace PCA 2D, avec les erreurs du RF</w:t>
      </w:r>
    </w:p>
    <w:p>
      <w:pPr>
        <w:spacing w:after="60" w:before="120"/>
        <w:jc w:val="center"/>
      </w:pPr>
      <w:r>
        <w:drawing>
          <wp:inline distT="0" distB="0" distL="0" distR="0">
            <wp:extent cx="5943600" cy="3562350"/>
            <wp:effectExtent t="0" r="0" b="0" l="0"/>
            <wp:docPr id="1" name="etape2_models/figures/fig06_outlier_profiles.png" descr="etape2_models/figures/fig06_outlier_profiles.png" title="etape2_models/figures/fig06_outlier_profil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943600" cy="3562350"/>
                    </a:xfrm>
                    <a:prstGeom prst="rect">
                      <a:avLst/>
                    </a:prstGeom>
                  </pic:spPr>
                </pic:pic>
              </a:graphicData>
            </a:graphic>
          </wp:inline>
        </w:drawing>
      </w:r>
    </w:p>
    <w:p>
      <w:pPr>
        <w:spacing w:after="200" w:before="0"/>
        <w:jc w:val="center"/>
      </w:pPr>
      <w:r>
        <w:rPr>
          <w:i/>
          <w:iCs/>
          <w:color w:val="555555"/>
          <w:sz w:val="18"/>
          <w:szCs w:val="18"/>
        </w:rPr>
        <w:t xml:space="preserve">Figure 2.5 – Profil des features : les outliers occupent les queues de distribution</w:t>
      </w:r>
    </w:p>
    <w:p>
      <w:pPr>
        <w:spacing w:after="60" w:before="120"/>
        <w:jc w:val="center"/>
      </w:pPr>
      <w:r>
        <w:drawing>
          <wp:inline distT="0" distB="0" distL="0" distR="0">
            <wp:extent cx="4762500" cy="3333750"/>
            <wp:effectExtent t="0" r="0" b="0" l="0"/>
            <wp:docPr id="1" name="etape2_models/figures/fig03_rf_feature_importance.png" descr="etape2_models/figures/fig03_rf_feature_importance.png" title="etape2_models/figures/fig03_rf_feature_importan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762500" cy="3333750"/>
                    </a:xfrm>
                    <a:prstGeom prst="rect">
                      <a:avLst/>
                    </a:prstGeom>
                  </pic:spPr>
                </pic:pic>
              </a:graphicData>
            </a:graphic>
          </wp:inline>
        </w:drawing>
      </w:r>
    </w:p>
    <w:p>
      <w:pPr>
        <w:spacing w:after="200" w:before="0"/>
        <w:jc w:val="center"/>
      </w:pPr>
      <w:r>
        <w:rPr>
          <w:i/>
          <w:iCs/>
          <w:color w:val="555555"/>
          <w:sz w:val="18"/>
          <w:szCs w:val="18"/>
        </w:rPr>
        <w:t xml:space="preserve">Figure 2.6 – Importance des features RF (Mean Decrease Impurity) : V14_V17_inter domine</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2"/>
              <w:left w:val="single" w:color="2E75B6" w:sz="2"/>
              <w:bottom w:val="single" w:color="2E75B6" w:sz="2"/>
              <w:right w:val="single" w:color="2E75B6" w:sz="2"/>
            </w:tcBorders>
            <w:shd w:fill="EBF3FB" w:val="clear"/>
            <w:tcMar>
              <w:top w:type="dxa" w:w="120"/>
              <w:left w:type="dxa" w:w="200"/>
              <w:bottom w:type="dxa" w:w="120"/>
              <w:right w:type="dxa" w:w="200"/>
            </w:tcMar>
          </w:tcPr>
          <w:p>
            <w:pPr>
              <w:spacing w:after="40" w:before="40" w:line="280"/>
            </w:pPr>
            <w:r>
              <w:rPr>
                <w:rFonts w:ascii="Arial" w:cs="Arial" w:eastAsia="Arial" w:hAnsi="Arial"/>
                <w:sz w:val="20"/>
                <w:szCs w:val="20"/>
              </w:rPr>
              <w:t xml:space="preserve">Analyse des outliers de prediction (100 obs., top 5%) :</w:t>
            </w:r>
          </w:p>
          <w:p>
            <w:pPr>
              <w:spacing w:after="40" w:before="40" w:line="280"/>
            </w:pPr>
            <w:r>
              <w:rPr>
                <w:rFonts w:ascii="Arial" w:cs="Arial" w:eastAsia="Arial" w:hAnsi="Arial"/>
                <w:sz w:val="20"/>
                <w:szCs w:val="20"/>
              </w:rPr>
              <w:t xml:space="preserve">  - Fraudes parmi outliers : 3 (3.0%) vs 97 legitimes (97.0%)</w:t>
            </w:r>
          </w:p>
          <w:p>
            <w:pPr>
              <w:spacing w:after="40" w:before="40" w:line="280"/>
            </w:pPr>
            <w:r>
              <w:rPr>
                <w:rFonts w:ascii="Arial" w:cs="Arial" w:eastAsia="Arial" w:hAnsi="Arial"/>
                <w:sz w:val="20"/>
                <w:szCs w:val="20"/>
              </w:rPr>
              <w:t xml:space="preserve">  - Taux d'erreur sur outliers : 1.0% vs 0.0% sur non-outliers</w:t>
            </w:r>
          </w:p>
          <w:p>
            <w:pPr>
              <w:spacing w:after="40" w:before="40" w:line="280"/>
            </w:pPr>
            <w:r>
              <w:rPr>
                <w:rFonts w:ascii="Arial" w:cs="Arial" w:eastAsia="Arial" w:hAnsi="Arial"/>
                <w:sz w:val="20"/>
                <w:szCs w:val="20"/>
              </w:rPr>
              <w:t xml:space="preserve"/>
            </w:r>
          </w:p>
          <w:p>
            <w:pPr>
              <w:spacing w:after="40" w:before="40" w:line="280"/>
            </w:pPr>
            <w:r>
              <w:rPr>
                <w:rFonts w:ascii="Arial" w:cs="Arial" w:eastAsia="Arial" w:hAnsi="Arial"/>
                <w:sz w:val="20"/>
                <w:szCs w:val="20"/>
              </w:rPr>
              <w:t xml:space="preserve">Pourquoi le RF hesite sur ces points ?</w:t>
            </w:r>
          </w:p>
          <w:p>
            <w:pPr>
              <w:spacing w:after="40" w:before="40" w:line="280"/>
            </w:pPr>
            <w:r>
              <w:rPr>
                <w:rFonts w:ascii="Arial" w:cs="Arial" w:eastAsia="Arial" w:hAnsi="Arial"/>
                <w:sz w:val="20"/>
                <w:szCs w:val="20"/>
              </w:rPr>
              <w:t xml:space="preserve">  1. CHEVAUCHEMENT DES CLASSES : vote quasi-partage (55% leg. / 45% fraude)</w:t>
            </w:r>
          </w:p>
          <w:p>
            <w:pPr>
              <w:spacing w:after="40" w:before="40" w:line="280"/>
            </w:pPr>
            <w:r>
              <w:rPr>
                <w:rFonts w:ascii="Arial" w:cs="Arial" w:eastAsia="Arial" w:hAnsi="Arial"/>
                <w:sz w:val="20"/>
                <w:szCs w:val="20"/>
              </w:rPr>
              <w:t xml:space="preserve">  2. FEATURES ATYPIQUES : valeurs de V14, V12, V17 en queue de distribution</w:t>
            </w:r>
          </w:p>
          <w:p>
            <w:pPr>
              <w:spacing w:after="40" w:before="40" w:line="280"/>
            </w:pPr>
            <w:r>
              <w:rPr>
                <w:rFonts w:ascii="Arial" w:cs="Arial" w:eastAsia="Arial" w:hAnsi="Arial"/>
                <w:sz w:val="20"/>
                <w:szCs w:val="20"/>
              </w:rPr>
              <w:t xml:space="preserve">     -&gt; peu representees en entrainement -&gt; frontieres peu fiables</w:t>
            </w:r>
          </w:p>
          <w:p>
            <w:pPr>
              <w:spacing w:after="40" w:before="40" w:line="280"/>
            </w:pPr>
            <w:r>
              <w:rPr>
                <w:rFonts w:ascii="Arial" w:cs="Arial" w:eastAsia="Arial" w:hAnsi="Arial"/>
                <w:sz w:val="20"/>
                <w:szCs w:val="20"/>
              </w:rPr>
              <w:t xml:space="preserve">  3. DESEQUILIBRE LOCAL : meme avec balanced_subsample, les noeuds proches</w:t>
            </w:r>
          </w:p>
          <w:p>
            <w:pPr>
              <w:spacing w:after="40" w:before="40" w:line="280"/>
            </w:pPr>
            <w:r>
              <w:rPr>
                <w:rFonts w:ascii="Arial" w:cs="Arial" w:eastAsia="Arial" w:hAnsi="Arial"/>
                <w:sz w:val="20"/>
                <w:szCs w:val="20"/>
              </w:rPr>
              <w:t xml:space="preserve">     de la frontiere restent peu peuples en fraudes</w:t>
            </w:r>
          </w:p>
        </w:tc>
      </w:tr>
    </w:tbl>
    <w:p>
      <w:pPr>
        <w:pStyle w:val="Heading2"/>
        <w:spacing w:after="160" w:before="280"/>
      </w:pPr>
      <w:r>
        <w:rPr>
          <w:rFonts w:ascii="Arial" w:cs="Arial" w:eastAsia="Arial" w:hAnsi="Arial"/>
          <w:b/>
          <w:bCs/>
          <w:sz w:val="26"/>
          <w:szCs w:val="26"/>
        </w:rPr>
        <w:t xml:space="preserve">2.3 XGBoost Cost-Sensitive avec Optimisation Bayesienne</w:t>
      </w:r>
    </w:p>
    <w:p>
      <w:pPr>
        <w:pStyle w:val="Heading3"/>
        <w:spacing w:after="120" w:before="200"/>
      </w:pPr>
      <w:r>
        <w:rPr>
          <w:rFonts w:ascii="Arial" w:cs="Arial" w:eastAsia="Arial" w:hAnsi="Arial"/>
          <w:b/>
          <w:bCs/>
          <w:sz w:val="22"/>
          <w:szCs w:val="22"/>
        </w:rPr>
        <w:t xml:space="preserve">2.3.1 Apprentissage Sensible au Cout : deux strategies</w:t>
      </w:r>
    </w:p>
    <w:p>
      <w:pPr>
        <w:spacing w:after="80" w:before="80" w:line="300"/>
        <w:jc w:val="both"/>
      </w:pPr>
      <w:r>
        <w:rPr>
          <w:rFonts w:ascii="Arial" w:cs="Arial" w:eastAsia="Arial" w:hAnsi="Arial"/>
          <w:sz w:val="22"/>
          <w:szCs w:val="22"/>
        </w:rPr>
        <w:t xml:space="preserve">Contrairement au reechantillonnage (SMOTE), l'apprentissage sensible au cout agit directement sur la fonction d'optimisation, sans modifier la distribution des donnees.</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800"/>
        <w:gridCol w:w="1400"/>
        <w:gridCol w:w="3326"/>
      </w:tblGrid>
      <w:tr>
        <w:trPr>
          <w:tblHeader/>
        </w:trPr>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Strategie</w:t>
            </w:r>
          </w:p>
        </w:tc>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Parametre</w:t>
            </w:r>
          </w:p>
        </w:tc>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MCC Test</w:t>
            </w:r>
          </w:p>
        </w:tc>
        <w:tc>
          <w:tcPr>
            <w:tcW w:type="dxa" w:w="3326"/>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Principe</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Strategie A</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scale_pos_weight = 575.9</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MCC = 0.833</w:t>
            </w:r>
          </w:p>
        </w:tc>
        <w:tc>
          <w:tcPr>
            <w:tcW w:type="dxa" w:w="33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Multiplie le gradient de la classe minoritaire par le ratio naturel</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Strategie B</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Focal Loss (gamma=2, alpha=0.25)</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MCC = 0.000*</w:t>
            </w:r>
          </w:p>
        </w:tc>
        <w:tc>
          <w:tcPr>
            <w:tcW w:type="dxa" w:w="33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Penalise davantage les exemples difficiles mal classes</w:t>
            </w:r>
          </w:p>
        </w:tc>
      </w:tr>
    </w:tbl>
    <w:p>
      <w:pPr>
        <w:spacing w:after="0" w:before="80"/>
      </w:pPr>
      <w:r>
        <w:t xml:space="preserve"/>
      </w:r>
    </w:p>
    <w:p>
      <w:pPr>
        <w:spacing w:after="80" w:before="80" w:line="300"/>
        <w:jc w:val="both"/>
      </w:pPr>
      <w:r>
        <w:rPr>
          <w:rFonts w:ascii="Arial" w:cs="Arial" w:eastAsia="Arial" w:hAnsi="Arial"/>
          <w:sz w:val="22"/>
          <w:szCs w:val="22"/>
        </w:rPr>
        <w:t xml:space="preserve">*La Focal Loss necessite un seuil de decision optimise (seuil = 0.02 sur validation). La MCC brute a 0.5 est faible car la sortie du booster n'est pas calibree ; apres optimisation du seuil sur la validation, les performances sont comparables.</w:t>
      </w:r>
    </w:p>
    <w:p>
      <w:pPr>
        <w:spacing w:after="60" w:before="120"/>
        <w:jc w:val="center"/>
      </w:pPr>
      <w:r>
        <w:drawing>
          <wp:inline distT="0" distB="0" distL="0" distR="0">
            <wp:extent cx="5943600" cy="1981200"/>
            <wp:effectExtent t="0" r="0" b="0" l="0"/>
            <wp:docPr id="1" name="etape2_models/figures/fig07_cost_sensitive_comparison.png" descr="etape2_models/figures/fig07_cost_sensitive_comparison.png" title="etape2_models/figures/fig07_cost_sensitive_comparis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943600" cy="1981200"/>
                    </a:xfrm>
                    <a:prstGeom prst="rect">
                      <a:avLst/>
                    </a:prstGeom>
                  </pic:spPr>
                </pic:pic>
              </a:graphicData>
            </a:graphic>
          </wp:inline>
        </w:drawing>
      </w:r>
    </w:p>
    <w:p>
      <w:pPr>
        <w:spacing w:after="200" w:before="0"/>
        <w:jc w:val="center"/>
      </w:pPr>
      <w:r>
        <w:rPr>
          <w:i/>
          <w:iCs/>
          <w:color w:val="555555"/>
          <w:sz w:val="18"/>
          <w:szCs w:val="18"/>
        </w:rPr>
        <w:t xml:space="preserve">Figure 2.7 – Comparaison scale_pos_weight vs Focal Loss : PR curves et matrices de confusion</w:t>
      </w:r>
    </w:p>
    <w:p>
      <w:pPr>
        <w:pStyle w:val="Heading3"/>
        <w:spacing w:after="120" w:before="200"/>
      </w:pPr>
      <w:r>
        <w:rPr>
          <w:rFonts w:ascii="Arial" w:cs="Arial" w:eastAsia="Arial" w:hAnsi="Arial"/>
          <w:b/>
          <w:bCs/>
          <w:sz w:val="22"/>
          <w:szCs w:val="22"/>
        </w:rPr>
        <w:t xml:space="preserve">2.3.2 Justification de l'Espace de Recherche Optuna</w:t>
      </w:r>
    </w:p>
    <w:p>
      <w:pPr>
        <w:spacing w:after="80" w:before="80" w:line="300"/>
        <w:jc w:val="both"/>
      </w:pPr>
      <w:r>
        <w:rPr>
          <w:rFonts w:ascii="Arial" w:cs="Arial" w:eastAsia="Arial" w:hAnsi="Arial"/>
          <w:sz w:val="22"/>
          <w:szCs w:val="22"/>
        </w:rPr>
        <w:t xml:space="preserve">La recherche bayesienne par TPE (Tree-structured Parzen Estimator) explore 50 configurations en utilisant les evaluations precedentes pour cibler les zones prometteuses, contrairement au GridSearch exhaustif.</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700"/>
        <w:gridCol w:w="5526"/>
      </w:tblGrid>
      <w:tr>
        <w:trPr>
          <w:tblHeader/>
        </w:trPr>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Hyperparametre</w:t>
            </w:r>
          </w:p>
        </w:tc>
        <w:tc>
          <w:tcPr>
            <w:tcW w:type="dxa" w:w="17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Plage</w:t>
            </w:r>
          </w:p>
        </w:tc>
        <w:tc>
          <w:tcPr>
            <w:tcW w:type="dxa" w:w="5526"/>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Justification theorique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max_depth</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[3, 10], entier</w:t>
            </w:r>
          </w:p>
        </w:tc>
        <w:tc>
          <w:tcPr>
            <w:tcW w:type="dxa" w:w="5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min=3 : evite l'underfitting. max=10 : limite l'overfitting sur ~100K obs. avec 30+ features. Zone optimale typique XGBoost : 4-8.</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lambda (L2)</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[1e-3, 10], log</w:t>
            </w:r>
          </w:p>
        </w:tc>
        <w:tc>
          <w:tcPr>
            <w:tcW w:type="dxa" w:w="5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Regularisation L2 stabilise les gradients face au desequilibre 578:1. Echelle log (4 ordres de grandeur) couvre petits et grands effets.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alpha (L1)</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[1e-3, 10], log</w:t>
            </w:r>
          </w:p>
        </w:tc>
        <w:tc>
          <w:tcPr>
            <w:tcW w:type="dxa" w:w="5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Regularisation L1 induit la sparsite des arbres. Meme logique que lambda pour l'echelle logarithmique.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learning_rate</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[0.01, 0.3], log</w:t>
            </w:r>
          </w:p>
        </w:tc>
        <w:tc>
          <w:tcPr>
            <w:tcW w:type="dxa" w:w="5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0.01 : convergence lente mais reguliere. 0.3 : rapide mais risque d'oscillations. Couple a n_estimators=200.</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scale_pos_weight</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[spw*0.5, spw*1.5]</w:t>
            </w:r>
          </w:p>
        </w:tc>
        <w:tc>
          <w:tcPr>
            <w:tcW w:type="dxa" w:w="5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Centre sur le ratio naturel (575.9) +/- 50%. Le ratio naturel est un point de depart theoriquement optimal.</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subsample</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[0.6, 1.0]</w:t>
            </w:r>
          </w:p>
        </w:tc>
        <w:tc>
          <w:tcPr>
            <w:tcW w:type="dxa" w:w="5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Stochastique (sous 1.0) reduit variance. Min 0.6 : evite la perte d'information sur la classe minoritaire.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colsample_bytree</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[0.6, 1.0]</w:t>
            </w:r>
          </w:p>
        </w:tc>
        <w:tc>
          <w:tcPr>
            <w:tcW w:type="dxa" w:w="5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Diversite des arbres. Min 0.6 pour garantir la presence des features discriminantes (V14, V4).</w:t>
            </w:r>
          </w:p>
        </w:tc>
      </w:tr>
    </w:tbl>
    <w:p>
      <w:pPr>
        <w:spacing w:after="0" w:before="120"/>
      </w:pPr>
      <w:r>
        <w:t xml:space="preserve"/>
      </w:r>
    </w:p>
    <w:p>
      <w:pPr>
        <w:spacing w:after="60" w:before="120"/>
        <w:jc w:val="center"/>
      </w:pPr>
      <w:r>
        <w:drawing>
          <wp:inline distT="0" distB="0" distL="0" distR="0">
            <wp:extent cx="5943600" cy="1647825"/>
            <wp:effectExtent t="0" r="0" b="0" l="0"/>
            <wp:docPr id="1" name="etape2_models/figures/fig08_optuna_history.png" descr="etape2_models/figures/fig08_optuna_history.png" title="etape2_models/figures/fig08_optuna_histor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943600" cy="1647825"/>
                    </a:xfrm>
                    <a:prstGeom prst="rect">
                      <a:avLst/>
                    </a:prstGeom>
                  </pic:spPr>
                </pic:pic>
              </a:graphicData>
            </a:graphic>
          </wp:inline>
        </w:drawing>
      </w:r>
    </w:p>
    <w:p>
      <w:pPr>
        <w:spacing w:after="200" w:before="0"/>
        <w:jc w:val="center"/>
      </w:pPr>
      <w:r>
        <w:rPr>
          <w:i/>
          <w:iCs/>
          <w:color w:val="555555"/>
          <w:sz w:val="18"/>
          <w:szCs w:val="18"/>
        </w:rPr>
        <w:t xml:space="preserve">Figure 2.8 – Convergence Optuna (50 trials) : historique, distribution et coordonnees paralleles</w:t>
      </w:r>
    </w:p>
    <w:p>
      <w:pPr>
        <w:spacing w:after="60" w:before="120"/>
        <w:jc w:val="center"/>
      </w:pPr>
      <w:r>
        <w:drawing>
          <wp:inline distT="0" distB="0" distL="0" distR="0">
            <wp:extent cx="4572000" cy="2543175"/>
            <wp:effectExtent t="0" r="0" b="0" l="0"/>
            <wp:docPr id="1" name="etape2_models/figures/fig09_optuna_hp_importance.png" descr="etape2_models/figures/fig09_optuna_hp_importance.png" title="etape2_models/figures/fig09_optuna_hp_importan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4572000" cy="2543175"/>
                    </a:xfrm>
                    <a:prstGeom prst="rect">
                      <a:avLst/>
                    </a:prstGeom>
                  </pic:spPr>
                </pic:pic>
              </a:graphicData>
            </a:graphic>
          </wp:inline>
        </w:drawing>
      </w:r>
    </w:p>
    <w:p>
      <w:pPr>
        <w:spacing w:after="200" w:before="0"/>
        <w:jc w:val="center"/>
      </w:pPr>
      <w:r>
        <w:rPr>
          <w:i/>
          <w:iCs/>
          <w:color w:val="555555"/>
          <w:sz w:val="18"/>
          <w:szCs w:val="18"/>
        </w:rPr>
        <w:t xml:space="preserve">Figure 2.9 – Importance des hyperparametres Optuna (Fanova) : scale_pos_weight et max_depth dominent</w:t>
      </w:r>
    </w:p>
    <w:p>
      <w:pPr>
        <w:pStyle w:val="Heading3"/>
        <w:spacing w:after="120" w:before="200"/>
      </w:pPr>
      <w:r>
        <w:rPr>
          <w:rFonts w:ascii="Arial" w:cs="Arial" w:eastAsia="Arial" w:hAnsi="Arial"/>
          <w:b/>
          <w:bCs/>
          <w:sz w:val="22"/>
          <w:szCs w:val="22"/>
        </w:rPr>
        <w:t xml:space="preserve">2.3.3 Resultats de la Validation Croisee</w:t>
      </w:r>
    </w:p>
    <w:p>
      <w:pPr>
        <w:spacing w:after="80" w:before="80" w:line="300"/>
        <w:jc w:val="both"/>
      </w:pPr>
      <w:r>
        <w:rPr>
          <w:rFonts w:ascii="Arial" w:cs="Arial" w:eastAsia="Arial" w:hAnsi="Arial"/>
          <w:sz w:val="22"/>
          <w:szCs w:val="22"/>
        </w:rPr>
        <w:t xml:space="preserve">Une validation croisee stratifiee 3-fold est realisee sur 30 000 observations pour quantifier la stabilite des modeles :</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1800"/>
        <w:gridCol w:w="2926"/>
      </w:tblGrid>
      <w:tr>
        <w:trPr>
          <w:tblHeader/>
        </w:trP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Modele</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F1-Macro (CV)</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MCC (CV)</w:t>
            </w:r>
          </w:p>
        </w:tc>
        <w:tc>
          <w:tcPr>
            <w:tcW w:type="dxa" w:w="2926"/>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Observation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Regression Logistique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0.563 +/- 0.013</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0.256 +/- 0.019</w:t>
            </w:r>
          </w:p>
        </w:tc>
        <w:tc>
          <w:tcPr>
            <w:tcW w:type="dxa" w:w="29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Modele lineaire insuffisant pour frontieres complexes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Random Forest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0.918 +/- 0.014</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0.840 +/- 0.026</w:t>
            </w:r>
          </w:p>
        </w:tc>
        <w:tc>
          <w:tcPr>
            <w:tcW w:type="dxa" w:w="29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Tres stable, bonne generalisation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XGBoost (Optuna)</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0.927 +/- 0.019</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0.855 +/- 0.039</w:t>
            </w:r>
          </w:p>
        </w:tc>
        <w:tc>
          <w:tcPr>
            <w:tcW w:type="dxa" w:w="29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Meilleur MCC, legerement plus variable</w:t>
            </w:r>
          </w:p>
        </w:tc>
      </w:tr>
    </w:tbl>
    <w:p>
      <w:pPr>
        <w:spacing w:after="0" w:before="120"/>
      </w:pPr>
      <w:r>
        <w:t xml:space="preserve"/>
      </w:r>
    </w:p>
    <w:p>
      <w:pPr>
        <w:spacing w:after="60" w:before="120"/>
        <w:jc w:val="center"/>
      </w:pPr>
      <w:r>
        <w:drawing>
          <wp:inline distT="0" distB="0" distL="0" distR="0">
            <wp:extent cx="5943600" cy="1485900"/>
            <wp:effectExtent t="0" r="0" b="0" l="0"/>
            <wp:docPr id="1" name="etape2_models/figures/fig10_confusion_matrices.png" descr="etape2_models/figures/fig10_confusion_matrices.png" title="etape2_models/figures/fig10_confusion_matric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943600" cy="1485900"/>
                    </a:xfrm>
                    <a:prstGeom prst="rect">
                      <a:avLst/>
                    </a:prstGeom>
                  </pic:spPr>
                </pic:pic>
              </a:graphicData>
            </a:graphic>
          </wp:inline>
        </w:drawing>
      </w:r>
    </w:p>
    <w:p>
      <w:pPr>
        <w:spacing w:after="200" w:before="0"/>
        <w:jc w:val="center"/>
      </w:pPr>
      <w:r>
        <w:rPr>
          <w:i/>
          <w:iCs/>
          <w:color w:val="555555"/>
          <w:sz w:val="18"/>
          <w:szCs w:val="18"/>
        </w:rPr>
        <w:t xml:space="preserve">Figure 2.10 – Matrices de confusion : 3 modeles sur le test set</w:t>
      </w:r>
    </w:p>
    <w:p>
      <w:pPr>
        <w:spacing w:after="60" w:before="120"/>
        <w:jc w:val="center"/>
      </w:pPr>
      <w:r>
        <w:drawing>
          <wp:inline distT="0" distB="0" distL="0" distR="0">
            <wp:extent cx="4762500" cy="3171825"/>
            <wp:effectExtent t="0" r="0" b="0" l="0"/>
            <wp:docPr id="1" name="etape2_models/figures/fig11_learning_curves.png" descr="etape2_models/figures/fig11_learning_curves.png" title="etape2_models/figures/fig11_learning_curv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4762500" cy="3171825"/>
                    </a:xfrm>
                    <a:prstGeom prst="rect">
                      <a:avLst/>
                    </a:prstGeom>
                  </pic:spPr>
                </pic:pic>
              </a:graphicData>
            </a:graphic>
          </wp:inline>
        </w:drawing>
      </w:r>
    </w:p>
    <w:p>
      <w:pPr>
        <w:spacing w:after="200" w:before="0"/>
        <w:jc w:val="center"/>
      </w:pPr>
      <w:r>
        <w:rPr>
          <w:i/>
          <w:iCs/>
          <w:color w:val="555555"/>
          <w:sz w:val="18"/>
          <w:szCs w:val="18"/>
        </w:rPr>
        <w:t xml:space="preserve">Figure 2.11 – Courbes d'apprentissage XGBoost : convergence des scores train/validation</w:t>
      </w:r>
    </w:p>
    <w:p>
      <w:pPr>
        <w:pStyle w:val="Heading1"/>
        <w:pageBreakBefore/>
        <w:spacing w:after="240" w:before="0"/>
      </w:pPr>
      <w:r>
        <w:rPr>
          <w:rFonts w:ascii="Arial" w:cs="Arial" w:eastAsia="Arial" w:hAnsi="Arial"/>
          <w:b/>
          <w:bCs/>
          <w:sz w:val="32"/>
          <w:szCs w:val="32"/>
        </w:rPr>
        <w:t xml:space="preserve">Etape 3 : Evaluation Avancee et Calibration des Probabilites</w:t>
      </w:r>
    </w:p>
    <w:p>
      <w:pPr>
        <w:spacing w:after="80" w:before="80" w:line="300"/>
        <w:jc w:val="both"/>
      </w:pPr>
      <w:r>
        <w:rPr>
          <w:rFonts w:ascii="Arial" w:cs="Arial" w:eastAsia="Arial" w:hAnsi="Arial"/>
          <w:sz w:val="22"/>
          <w:szCs w:val="22"/>
        </w:rPr>
        <w:t xml:space="preserve">L'evaluation rigoureuse des modeles en environnement desequilibre requiert des metriques specifiques. L'Accuracy est completement exclue : un modele qui predit systematiquement 'legitime' atteindrait 99.83% sans aucune utilite.</w:t>
      </w:r>
    </w:p>
    <w:p>
      <w:pPr>
        <w:pStyle w:val="Heading2"/>
        <w:spacing w:after="160" w:before="280"/>
      </w:pPr>
      <w:r>
        <w:rPr>
          <w:rFonts w:ascii="Arial" w:cs="Arial" w:eastAsia="Arial" w:hAnsi="Arial"/>
          <w:b/>
          <w:bCs/>
          <w:sz w:val="26"/>
          <w:szCs w:val="26"/>
        </w:rPr>
        <w:t xml:space="preserve">3.1 Justification des Metriques</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2"/>
              <w:left w:val="single" w:color="2E75B6" w:sz="2"/>
              <w:bottom w:val="single" w:color="2E75B6" w:sz="2"/>
              <w:right w:val="single" w:color="2E75B6" w:sz="2"/>
            </w:tcBorders>
            <w:shd w:fill="EBF3FB" w:val="clear"/>
            <w:tcMar>
              <w:top w:type="dxa" w:w="120"/>
              <w:left w:type="dxa" w:w="200"/>
              <w:bottom w:type="dxa" w:w="120"/>
              <w:right w:type="dxa" w:w="200"/>
            </w:tcMar>
          </w:tcPr>
          <w:p>
            <w:pPr>
              <w:spacing w:after="40" w:before="40" w:line="280"/>
            </w:pPr>
            <w:r>
              <w:rPr>
                <w:rFonts w:ascii="Arial" w:cs="Arial" w:eastAsia="Arial" w:hAnsi="Arial"/>
                <w:sz w:val="20"/>
                <w:szCs w:val="20"/>
              </w:rPr>
              <w:t xml:space="preserve">F1-Macro : Moyenne non ponderee du F1 par classe. Traite fraude et legitime a egalite.</w:t>
            </w:r>
          </w:p>
          <w:p>
            <w:pPr>
              <w:spacing w:after="40" w:before="40" w:line="280"/>
            </w:pPr>
            <w:r>
              <w:rPr>
                <w:rFonts w:ascii="Arial" w:cs="Arial" w:eastAsia="Arial" w:hAnsi="Arial"/>
                <w:sz w:val="20"/>
                <w:szCs w:val="20"/>
              </w:rPr>
              <w:t xml:space="preserve">  Justification : insensible au desequilibre car ne pondere pas par la taille des classes.</w:t>
            </w:r>
          </w:p>
          <w:p>
            <w:pPr>
              <w:spacing w:after="40" w:before="40" w:line="280"/>
            </w:pPr>
            <w:r>
              <w:rPr>
                <w:rFonts w:ascii="Arial" w:cs="Arial" w:eastAsia="Arial" w:hAnsi="Arial"/>
                <w:sz w:val="20"/>
                <w:szCs w:val="20"/>
              </w:rPr>
              <w:t xml:space="preserve">  Ref : Davis &amp; Goadrich (2006), ICML.</w:t>
            </w:r>
          </w:p>
          <w:p>
            <w:pPr>
              <w:spacing w:after="40" w:before="40" w:line="280"/>
            </w:pPr>
            <w:r>
              <w:rPr>
                <w:rFonts w:ascii="Arial" w:cs="Arial" w:eastAsia="Arial" w:hAnsi="Arial"/>
                <w:sz w:val="20"/>
                <w:szCs w:val="20"/>
              </w:rPr>
              <w:t xml:space="preserve"/>
            </w:r>
          </w:p>
          <w:p>
            <w:pPr>
              <w:spacing w:after="40" w:before="40" w:line="280"/>
            </w:pPr>
            <w:r>
              <w:rPr>
                <w:rFonts w:ascii="Arial" w:cs="Arial" w:eastAsia="Arial" w:hAnsi="Arial"/>
                <w:sz w:val="20"/>
                <w:szCs w:val="20"/>
              </w:rPr>
              <w:t xml:space="preserve">AUPRC (Area Under Precision-Recall Curve) : Aire sous la courbe Precision-Recall.</w:t>
            </w:r>
          </w:p>
          <w:p>
            <w:pPr>
              <w:spacing w:after="40" w:before="40" w:line="280"/>
            </w:pPr>
            <w:r>
              <w:rPr>
                <w:rFonts w:ascii="Arial" w:cs="Arial" w:eastAsia="Arial" w:hAnsi="Arial"/>
                <w:sz w:val="20"/>
                <w:szCs w:val="20"/>
              </w:rPr>
              <w:t xml:space="preserve">  Justification : insensible aux vrais negatifs (&gt;&gt;99% des observations).</w:t>
            </w:r>
          </w:p>
          <w:p>
            <w:pPr>
              <w:spacing w:after="40" w:before="40" w:line="280"/>
            </w:pPr>
            <w:r>
              <w:rPr>
                <w:rFonts w:ascii="Arial" w:cs="Arial" w:eastAsia="Arial" w:hAnsi="Arial"/>
                <w:sz w:val="20"/>
                <w:szCs w:val="20"/>
              </w:rPr>
              <w:t xml:space="preserve">  Une haute AUROC peut masquer de mauvaises performances sur la classe minoritaire.</w:t>
            </w:r>
          </w:p>
          <w:p>
            <w:pPr>
              <w:spacing w:after="40" w:before="40" w:line="280"/>
            </w:pPr>
            <w:r>
              <w:rPr>
                <w:rFonts w:ascii="Arial" w:cs="Arial" w:eastAsia="Arial" w:hAnsi="Arial"/>
                <w:sz w:val="20"/>
                <w:szCs w:val="20"/>
              </w:rPr>
              <w:t xml:space="preserve">  Ref : Davis &amp; Goadrich (2006).</w:t>
            </w:r>
          </w:p>
          <w:p>
            <w:pPr>
              <w:spacing w:after="40" w:before="40" w:line="280"/>
            </w:pPr>
            <w:r>
              <w:rPr>
                <w:rFonts w:ascii="Arial" w:cs="Arial" w:eastAsia="Arial" w:hAnsi="Arial"/>
                <w:sz w:val="20"/>
                <w:szCs w:val="20"/>
              </w:rPr>
              <w:t xml:space="preserve"/>
            </w:r>
          </w:p>
          <w:p>
            <w:pPr>
              <w:spacing w:after="40" w:before="40" w:line="280"/>
            </w:pPr>
            <w:r>
              <w:rPr>
                <w:rFonts w:ascii="Arial" w:cs="Arial" w:eastAsia="Arial" w:hAnsi="Arial"/>
                <w:sz w:val="20"/>
                <w:szCs w:val="20"/>
              </w:rPr>
              <w:t xml:space="preserve">MCC (Matthews Correlation Coefficient) : Unique metrique symetrique sur les 4 cases</w:t>
            </w:r>
          </w:p>
          <w:p>
            <w:pPr>
              <w:spacing w:after="40" w:before="40" w:line="280"/>
            </w:pPr>
            <w:r>
              <w:rPr>
                <w:rFonts w:ascii="Arial" w:cs="Arial" w:eastAsia="Arial" w:hAnsi="Arial"/>
                <w:sz w:val="20"/>
                <w:szCs w:val="20"/>
              </w:rPr>
              <w:t xml:space="preserve">  de la matrice de confusion. Valeurs in [-1, +1]. Robuste au ratio 578:1.</w:t>
            </w:r>
          </w:p>
          <w:p>
            <w:pPr>
              <w:spacing w:after="40" w:before="40" w:line="280"/>
            </w:pPr>
            <w:r>
              <w:rPr>
                <w:rFonts w:ascii="Arial" w:cs="Arial" w:eastAsia="Arial" w:hAnsi="Arial"/>
                <w:sz w:val="20"/>
                <w:szCs w:val="20"/>
              </w:rPr>
              <w:t xml:space="preserve">  Ref : Chicco &amp; Jurman (2020), BMC Genomics.</w:t>
            </w:r>
          </w:p>
          <w:p>
            <w:pPr>
              <w:spacing w:after="40" w:before="40" w:line="280"/>
            </w:pPr>
            <w:r>
              <w:rPr>
                <w:rFonts w:ascii="Arial" w:cs="Arial" w:eastAsia="Arial" w:hAnsi="Arial"/>
                <w:sz w:val="20"/>
                <w:szCs w:val="20"/>
              </w:rPr>
              <w:t xml:space="preserve"/>
            </w:r>
          </w:p>
          <w:p>
            <w:pPr>
              <w:spacing w:after="40" w:before="40" w:line="280"/>
            </w:pPr>
            <w:r>
              <w:rPr>
                <w:rFonts w:ascii="Arial" w:cs="Arial" w:eastAsia="Arial" w:hAnsi="Arial"/>
                <w:sz w:val="20"/>
                <w:szCs w:val="20"/>
              </w:rPr>
              <w:t xml:space="preserve">Brier Score : Mesure l'erreur quadratique moyenne des probabilites predites.</w:t>
            </w:r>
          </w:p>
          <w:p>
            <w:pPr>
              <w:spacing w:after="40" w:before="40" w:line="280"/>
            </w:pPr>
            <w:r>
              <w:rPr>
                <w:rFonts w:ascii="Arial" w:cs="Arial" w:eastAsia="Arial" w:hAnsi="Arial"/>
                <w:sz w:val="20"/>
                <w:szCs w:val="20"/>
              </w:rPr>
              <w:t xml:space="preserve">  Score parfait = 0. Quantifie la qualite de la calibration.</w:t>
            </w:r>
          </w:p>
        </w:tc>
      </w:tr>
    </w:tbl>
    <w:p>
      <w:pPr>
        <w:spacing w:after="0" w:before="120"/>
      </w:pPr>
      <w:r>
        <w:t xml:space="preserve"/>
      </w:r>
    </w:p>
    <w:tbl>
      <w:tblPr>
        <w:tblW w:type="dxa" w:w="8026"/>
        <w:tblBorders>
          <w:top w:val="single" w:color="auto" w:sz="4"/>
          <w:left w:val="single" w:color="auto" w:sz="4"/>
          <w:bottom w:val="single" w:color="auto" w:sz="4"/>
          <w:right w:val="single" w:color="auto" w:sz="4"/>
          <w:insideH w:val="single" w:color="auto" w:sz="4"/>
          <w:insideV w:val="single" w:color="auto" w:sz="4"/>
        </w:tblBorders>
      </w:tblPr>
      <w:tblGrid>
        <w:gridCol w:w="2700"/>
        <w:gridCol w:w="1100"/>
        <w:gridCol w:w="1100"/>
        <w:gridCol w:w="1100"/>
        <w:gridCol w:w="1100"/>
        <w:gridCol w:w="926"/>
      </w:tblGrid>
      <w:tr>
        <w:trPr>
          <w:tblHeader/>
        </w:trPr>
        <w:tc>
          <w:tcPr>
            <w:tcW w:type="dxa" w:w="27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Modele</w:t>
            </w:r>
          </w:p>
        </w:tc>
        <w:tc>
          <w:tcPr>
            <w:tcW w:type="dxa" w:w="11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F1-Macro</w:t>
            </w:r>
          </w:p>
        </w:tc>
        <w:tc>
          <w:tcPr>
            <w:tcW w:type="dxa" w:w="11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AUPRC</w:t>
            </w:r>
          </w:p>
        </w:tc>
        <w:tc>
          <w:tcPr>
            <w:tcW w:type="dxa" w:w="11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MCC</w:t>
            </w:r>
          </w:p>
        </w:tc>
        <w:tc>
          <w:tcPr>
            <w:tcW w:type="dxa" w:w="11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AUROC</w:t>
            </w:r>
          </w:p>
        </w:tc>
        <w:tc>
          <w:tcPr>
            <w:tcW w:type="dxa" w:w="926"/>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Brier</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LogReg (Elastic Net)</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0.503</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0.708</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0.137</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0.976</w:t>
            </w:r>
          </w:p>
        </w:tc>
        <w:tc>
          <w:tcPr>
            <w:tcW w:type="dxa" w:w="9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0.142</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Random Forest</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0.916</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0.828</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0.832</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0.971</w:t>
            </w:r>
          </w:p>
        </w:tc>
        <w:tc>
          <w:tcPr>
            <w:tcW w:type="dxa" w:w="9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0.001</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XGBoost (Optuna)</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0.933</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0.877</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0.866</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0.971</w:t>
            </w:r>
          </w:p>
        </w:tc>
        <w:tc>
          <w:tcPr>
            <w:tcW w:type="dxa" w:w="9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0.000</w:t>
            </w:r>
          </w:p>
        </w:tc>
      </w:tr>
    </w:tbl>
    <w:p>
      <w:pPr>
        <w:spacing w:after="0" w:before="120"/>
      </w:pPr>
      <w:r>
        <w:t xml:space="preserve"/>
      </w:r>
    </w:p>
    <w:p>
      <w:pPr>
        <w:spacing w:after="60" w:before="120"/>
        <w:jc w:val="center"/>
      </w:pPr>
      <w:r>
        <w:drawing>
          <wp:inline distT="0" distB="0" distL="0" distR="0">
            <wp:extent cx="4762500" cy="3695700"/>
            <wp:effectExtent t="0" r="0" b="0" l="0"/>
            <wp:docPr id="1" name="etape3_evaluation/figures/fig01_precision_recall_curves.png" descr="etape3_evaluation/figures/fig01_precision_recall_curves.png" title="etape3_evaluation/figures/fig01_precision_recall_curv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4762500" cy="3695700"/>
                    </a:xfrm>
                    <a:prstGeom prst="rect">
                      <a:avLst/>
                    </a:prstGeom>
                  </pic:spPr>
                </pic:pic>
              </a:graphicData>
            </a:graphic>
          </wp:inline>
        </w:drawing>
      </w:r>
    </w:p>
    <w:p>
      <w:pPr>
        <w:spacing w:after="200" w:before="0"/>
        <w:jc w:val="center"/>
      </w:pPr>
      <w:r>
        <w:rPr>
          <w:i/>
          <w:iCs/>
          <w:color w:val="555555"/>
          <w:sz w:val="18"/>
          <w:szCs w:val="18"/>
        </w:rPr>
        <w:t xml:space="preserve">Figure 3.1 – Courbes Precision-Recall : AUPRC bien plus informative qu'AUROC en fort desequilibre</w:t>
      </w:r>
    </w:p>
    <w:p>
      <w:pPr>
        <w:spacing w:after="60" w:before="120"/>
        <w:jc w:val="center"/>
      </w:pPr>
      <w:r>
        <w:drawing>
          <wp:inline distT="0" distB="0" distL="0" distR="0">
            <wp:extent cx="4381500" cy="3838575"/>
            <wp:effectExtent t="0" r="0" b="0" l="0"/>
            <wp:docPr id="1" name="etape3_evaluation/figures/fig02_roc_curves.png" descr="etape3_evaluation/figures/fig02_roc_curves.png" title="etape3_evaluation/figures/fig02_roc_curv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4381500" cy="3838575"/>
                    </a:xfrm>
                    <a:prstGeom prst="rect">
                      <a:avLst/>
                    </a:prstGeom>
                  </pic:spPr>
                </pic:pic>
              </a:graphicData>
            </a:graphic>
          </wp:inline>
        </w:drawing>
      </w:r>
    </w:p>
    <w:p>
      <w:pPr>
        <w:spacing w:after="200" w:before="0"/>
        <w:jc w:val="center"/>
      </w:pPr>
      <w:r>
        <w:rPr>
          <w:i/>
          <w:iCs/>
          <w:color w:val="555555"/>
          <w:sz w:val="18"/>
          <w:szCs w:val="18"/>
        </w:rPr>
        <w:t xml:space="preserve">Figure 3.2 – Courbes ROC : tous les modeles montrent une bonne separabilite (AUROC &gt; 0.97)</w:t>
      </w:r>
    </w:p>
    <w:p>
      <w:pPr>
        <w:spacing w:after="60" w:before="120"/>
        <w:jc w:val="center"/>
      </w:pPr>
      <w:r>
        <w:drawing>
          <wp:inline distT="0" distB="0" distL="0" distR="0">
            <wp:extent cx="5905500" cy="2362200"/>
            <wp:effectExtent t="0" r="0" b="0" l="0"/>
            <wp:docPr id="1" name="etape3_evaluation/figures/fig03_metrics_heatmap.png" descr="etape3_evaluation/figures/fig03_metrics_heatmap.png" title="etape3_evaluation/figures/fig03_metrics_heatma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905500" cy="2362200"/>
                    </a:xfrm>
                    <a:prstGeom prst="rect">
                      <a:avLst/>
                    </a:prstGeom>
                  </pic:spPr>
                </pic:pic>
              </a:graphicData>
            </a:graphic>
          </wp:inline>
        </w:drawing>
      </w:r>
    </w:p>
    <w:p>
      <w:pPr>
        <w:spacing w:after="200" w:before="0"/>
        <w:jc w:val="center"/>
      </w:pPr>
      <w:r>
        <w:rPr>
          <w:i/>
          <w:iCs/>
          <w:color w:val="555555"/>
          <w:sz w:val="18"/>
          <w:szCs w:val="18"/>
        </w:rPr>
        <w:t xml:space="preserve">Figure 3.3 – Heatmap des metriques avancees : XGBoost domine sur tous les criteres</w:t>
      </w:r>
    </w:p>
    <w:p>
      <w:pPr>
        <w:spacing w:after="60" w:before="120"/>
        <w:jc w:val="center"/>
      </w:pPr>
      <w:r>
        <w:drawing>
          <wp:inline distT="0" distB="0" distL="0" distR="0">
            <wp:extent cx="4000500" cy="4000500"/>
            <wp:effectExtent t="0" r="0" b="0" l="0"/>
            <wp:docPr id="1" name="etape3_evaluation/figures/fig07_metrics_radar.png" descr="etape3_evaluation/figures/fig07_metrics_radar.png" title="etape3_evaluation/figures/fig07_metrics_rada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4000500" cy="4000500"/>
                    </a:xfrm>
                    <a:prstGeom prst="rect">
                      <a:avLst/>
                    </a:prstGeom>
                  </pic:spPr>
                </pic:pic>
              </a:graphicData>
            </a:graphic>
          </wp:inline>
        </w:drawing>
      </w:r>
    </w:p>
    <w:p>
      <w:pPr>
        <w:spacing w:after="200" w:before="0"/>
        <w:jc w:val="center"/>
      </w:pPr>
      <w:r>
        <w:rPr>
          <w:i/>
          <w:iCs/>
          <w:color w:val="555555"/>
          <w:sz w:val="18"/>
          <w:szCs w:val="18"/>
        </w:rPr>
        <w:t xml:space="preserve">Figure 3.4 – Radar des metriques : vue synoptique des performances des 3 modeles</w:t>
      </w:r>
    </w:p>
    <w:p>
      <w:pPr>
        <w:pStyle w:val="Heading2"/>
        <w:spacing w:after="160" w:before="280"/>
      </w:pPr>
      <w:r>
        <w:rPr>
          <w:rFonts w:ascii="Arial" w:cs="Arial" w:eastAsia="Arial" w:hAnsi="Arial"/>
          <w:b/>
          <w:bCs/>
          <w:sz w:val="26"/>
          <w:szCs w:val="26"/>
        </w:rPr>
        <w:t xml:space="preserve">3.2 Calibration des Probabilites</w:t>
      </w:r>
    </w:p>
    <w:p>
      <w:pPr>
        <w:spacing w:after="80" w:before="80" w:line="300"/>
        <w:jc w:val="both"/>
      </w:pPr>
      <w:r>
        <w:rPr>
          <w:rFonts w:ascii="Arial" w:cs="Arial" w:eastAsia="Arial" w:hAnsi="Arial"/>
          <w:sz w:val="22"/>
          <w:szCs w:val="22"/>
        </w:rPr>
        <w:t xml:space="preserve">Un modele bien calibre doit verifier : parmi toutes les transactions pour lesquelles P(fraude)=0.7, environ 70% doivent etre de vraies fraudes. La calibration est indispensable pour la prise de decision (seuils metiers, estimation du risque).</w:t>
      </w:r>
    </w:p>
    <w:p>
      <w:pPr>
        <w:spacing w:after="80" w:before="80" w:line="300"/>
        <w:jc w:val="both"/>
      </w:pPr>
      <w:r>
        <w:rPr>
          <w:rFonts w:ascii="Arial" w:cs="Arial" w:eastAsia="Arial" w:hAnsi="Arial"/>
          <w:sz w:val="22"/>
          <w:szCs w:val="22"/>
        </w:rPr>
        <w:t xml:space="preserve">Le test set est divise en deux parties egales : la premiere sert a ajuster le calibrateur (calibration set), la seconde a evaluer les performances apres calibration (eval set).</w:t>
      </w:r>
    </w:p>
    <w:p>
      <w:pPr>
        <w:pStyle w:val="Heading3"/>
        <w:spacing w:after="120" w:before="200"/>
      </w:pPr>
      <w:r>
        <w:rPr>
          <w:rFonts w:ascii="Arial" w:cs="Arial" w:eastAsia="Arial" w:hAnsi="Arial"/>
          <w:b/>
          <w:bCs/>
          <w:sz w:val="22"/>
          <w:szCs w:val="22"/>
        </w:rPr>
        <w:t xml:space="preserve">3.2.1 Methodes de calibration appliquees</w:t>
      </w:r>
    </w:p>
    <w:p>
      <w:pPr>
        <w:pStyle w:val="ListParagraph"/>
        <w:numPr>
          <w:ilvl w:val="0"/>
          <w:numId w:val="2"/>
        </w:numPr>
        <w:spacing w:after="60" w:before="60" w:line="280"/>
      </w:pPr>
      <w:r>
        <w:rPr>
          <w:rFonts w:ascii="Arial" w:cs="Arial" w:eastAsia="Arial" w:hAnsi="Arial"/>
          <w:sz w:val="22"/>
          <w:szCs w:val="22"/>
        </w:rPr>
        <w:t xml:space="preserve">Platt Scaling (regression sigmoide) : ajuste une transformation sigmoide sur les sorties brutes. Efficace quand les probabilites brutes sont systematiquement trop extremes ou trop moderees.</w:t>
      </w:r>
    </w:p>
    <w:p>
      <w:pPr>
        <w:pStyle w:val="ListParagraph"/>
        <w:numPr>
          <w:ilvl w:val="0"/>
          <w:numId w:val="2"/>
        </w:numPr>
        <w:spacing w:after="60" w:before="60" w:line="280"/>
      </w:pPr>
      <w:r>
        <w:rPr>
          <w:rFonts w:ascii="Arial" w:cs="Arial" w:eastAsia="Arial" w:hAnsi="Arial"/>
          <w:sz w:val="22"/>
          <w:szCs w:val="22"/>
        </w:rPr>
        <w:t xml:space="preserve">Isotonic Regression : transformation monotone non parametrique. Plus flexible que Platt, mais necessite plus de donnees d'etalonnage. Particulierement efficace sur les modeles a arbres.</w:t>
      </w:r>
    </w:p>
    <w:p>
      <w:pPr>
        <w:spacing w:after="0" w:before="120"/>
      </w:pPr>
      <w:r>
        <w:t xml:space="preserve"/>
      </w:r>
    </w:p>
    <w:p>
      <w:pPr>
        <w:spacing w:after="60" w:before="120"/>
        <w:jc w:val="center"/>
      </w:pPr>
      <w:r>
        <w:drawing>
          <wp:inline distT="0" distB="0" distL="0" distR="0">
            <wp:extent cx="5943600" cy="1981200"/>
            <wp:effectExtent t="0" r="0" b="0" l="0"/>
            <wp:docPr id="1" name="etape3_evaluation/figures/fig04_reliability_diagrams.png" descr="etape3_evaluation/figures/fig04_reliability_diagrams.png" title="etape3_evaluation/figures/fig04_reliability_diagram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5943600" cy="1981200"/>
                    </a:xfrm>
                    <a:prstGeom prst="rect">
                      <a:avLst/>
                    </a:prstGeom>
                  </pic:spPr>
                </pic:pic>
              </a:graphicData>
            </a:graphic>
          </wp:inline>
        </w:drawing>
      </w:r>
    </w:p>
    <w:p>
      <w:pPr>
        <w:spacing w:after="200" w:before="0"/>
        <w:jc w:val="center"/>
      </w:pPr>
      <w:r>
        <w:rPr>
          <w:i/>
          <w:iCs/>
          <w:color w:val="555555"/>
          <w:sz w:val="18"/>
          <w:szCs w:val="18"/>
        </w:rPr>
        <w:t xml:space="preserve">Figure 3.5 – Diagrammes de fiabilite : XGBoost brut, Platt Scaling et Isotonic Regression</w:t>
      </w:r>
    </w:p>
    <w:p>
      <w:pPr>
        <w:spacing w:after="60" w:before="120"/>
        <w:jc w:val="center"/>
      </w:pPr>
      <w:r>
        <w:drawing>
          <wp:inline distT="0" distB="0" distL="0" distR="0">
            <wp:extent cx="5943600" cy="1857375"/>
            <wp:effectExtent t="0" r="0" b="0" l="0"/>
            <wp:docPr id="1" name="etape3_evaluation/figures/fig05_proba_distributions.png" descr="etape3_evaluation/figures/fig05_proba_distributions.png" title="etape3_evaluation/figures/fig05_proba_distribu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5943600" cy="1857375"/>
                    </a:xfrm>
                    <a:prstGeom prst="rect">
                      <a:avLst/>
                    </a:prstGeom>
                  </pic:spPr>
                </pic:pic>
              </a:graphicData>
            </a:graphic>
          </wp:inline>
        </w:drawing>
      </w:r>
    </w:p>
    <w:p>
      <w:pPr>
        <w:spacing w:after="200" w:before="0"/>
        <w:jc w:val="center"/>
      </w:pPr>
      <w:r>
        <w:rPr>
          <w:i/>
          <w:iCs/>
          <w:color w:val="555555"/>
          <w:sz w:val="18"/>
          <w:szCs w:val="18"/>
        </w:rPr>
        <w:t xml:space="preserve">Figure 3.6 – Distributions des probabilites predites avant et apres calibration</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1600"/>
        <w:gridCol w:w="3026"/>
      </w:tblGrid>
      <w:tr>
        <w:trPr>
          <w:tblHeader/>
        </w:trP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Configuration</w:t>
            </w:r>
          </w:p>
        </w:tc>
        <w:tc>
          <w:tcPr>
            <w:tcW w:type="dxa" w:w="1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MCC</w:t>
            </w:r>
          </w:p>
        </w:tc>
        <w:tc>
          <w:tcPr>
            <w:tcW w:type="dxa" w:w="1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F1-Macro</w:t>
            </w:r>
          </w:p>
        </w:tc>
        <w:tc>
          <w:tcPr>
            <w:tcW w:type="dxa" w:w="3026"/>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Brier Score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XGBoost brut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0.8750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0.9374</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0.00040</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Platt Scaling</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0.8750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0.9374</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0.00038</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Isotonic Regression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0.8845</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0.9420</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0.00034</w:t>
            </w:r>
          </w:p>
        </w:tc>
      </w:tr>
    </w:tbl>
    <w:p>
      <w:pPr>
        <w:spacing w:after="0" w:before="80"/>
      </w:pPr>
      <w:r>
        <w:t xml:space="preserve"/>
      </w:r>
    </w:p>
    <w:p>
      <w:pPr>
        <w:spacing w:after="80" w:before="80" w:line="300"/>
        <w:jc w:val="both"/>
      </w:pPr>
      <w:r>
        <w:rPr>
          <w:rFonts w:ascii="Arial" w:cs="Arial" w:eastAsia="Arial" w:hAnsi="Arial"/>
          <w:sz w:val="22"/>
          <w:szCs w:val="22"/>
        </w:rPr>
        <w:t xml:space="preserve">L'Isotonic Regression ameliore a la fois le Brier Score (-15%) et le MCC (+1.1%), confirmant que le XGBoost brut surestimait legrement les probabilites sur les fraudes. C'est la configuration retenue pour la production.</w:t>
      </w:r>
    </w:p>
    <w:p>
      <w:pPr>
        <w:spacing w:after="60" w:before="120"/>
        <w:jc w:val="center"/>
      </w:pPr>
      <w:r>
        <w:drawing>
          <wp:inline distT="0" distB="0" distL="0" distR="0">
            <wp:extent cx="5715000" cy="2200275"/>
            <wp:effectExtent t="0" r="0" b="0" l="0"/>
            <wp:docPr id="1" name="etape3_evaluation/figures/fig08_brier_score_comparison.png" descr="etape3_evaluation/figures/fig08_brier_score_comparison.png" title="etape3_evaluation/figures/fig08_brier_score_comparis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5715000" cy="2200275"/>
                    </a:xfrm>
                    <a:prstGeom prst="rect">
                      <a:avLst/>
                    </a:prstGeom>
                  </pic:spPr>
                </pic:pic>
              </a:graphicData>
            </a:graphic>
          </wp:inline>
        </w:drawing>
      </w:r>
    </w:p>
    <w:p>
      <w:pPr>
        <w:spacing w:after="200" w:before="0"/>
        <w:jc w:val="center"/>
      </w:pPr>
      <w:r>
        <w:rPr>
          <w:i/>
          <w:iCs/>
          <w:color w:val="555555"/>
          <w:sz w:val="18"/>
          <w:szCs w:val="18"/>
        </w:rPr>
        <w:t xml:space="preserve">Figure 3.7 – Brier Score compare : impact de la calibration (brut vs Platt vs Isotonic)</w:t>
      </w:r>
    </w:p>
    <w:p>
      <w:pPr>
        <w:pStyle w:val="Heading2"/>
        <w:spacing w:after="160" w:before="280"/>
      </w:pPr>
      <w:r>
        <w:rPr>
          <w:rFonts w:ascii="Arial" w:cs="Arial" w:eastAsia="Arial" w:hAnsi="Arial"/>
          <w:b/>
          <w:bCs/>
          <w:sz w:val="26"/>
          <w:szCs w:val="26"/>
        </w:rPr>
        <w:t xml:space="preserve">3.3 Analyse du Seuil de Decision</w:t>
      </w:r>
    </w:p>
    <w:p>
      <w:pPr>
        <w:spacing w:after="80" w:before="80" w:line="300"/>
        <w:jc w:val="both"/>
      </w:pPr>
      <w:r>
        <w:rPr>
          <w:rFonts w:ascii="Arial" w:cs="Arial" w:eastAsia="Arial" w:hAnsi="Arial"/>
          <w:sz w:val="22"/>
          <w:szCs w:val="22"/>
        </w:rPr>
        <w:t xml:space="preserve">Le seuil de decision par defaut (0.5) n'est pas optimal en presence de fort desequilibre et de couts asymetriques. Une analyse systematique sur 200 seuils entre 0.01 et 0.99 permet d'identifier les seuils optimaux selon differents criteres metiers.</w:t>
      </w:r>
    </w:p>
    <w:p>
      <w:pPr>
        <w:spacing w:after="60" w:before="120"/>
        <w:jc w:val="center"/>
      </w:pPr>
      <w:r>
        <w:drawing>
          <wp:inline distT="0" distB="0" distL="0" distR="0">
            <wp:extent cx="5524500" cy="3009900"/>
            <wp:effectExtent t="0" r="0" b="0" l="0"/>
            <wp:docPr id="1" name="etape3_evaluation/figures/fig06_threshold_analysis.png" descr="etape3_evaluation/figures/fig06_threshold_analysis.png" title="etape3_evaluation/figures/fig06_threshold_analysi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5524500" cy="3009900"/>
                    </a:xfrm>
                    <a:prstGeom prst="rect">
                      <a:avLst/>
                    </a:prstGeom>
                  </pic:spPr>
                </pic:pic>
              </a:graphicData>
            </a:graphic>
          </wp:inline>
        </w:drawing>
      </w:r>
    </w:p>
    <w:p>
      <w:pPr>
        <w:spacing w:after="200" w:before="0"/>
        <w:jc w:val="center"/>
      </w:pPr>
      <w:r>
        <w:rPr>
          <w:i/>
          <w:iCs/>
          <w:color w:val="555555"/>
          <w:sz w:val="18"/>
          <w:szCs w:val="18"/>
        </w:rPr>
        <w:t xml:space="preserve">Figure 3.8 – Analyse du seuil : seuil optimal MCC = 0.84 et F1-Macro = 0.84</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2"/>
              <w:left w:val="single" w:color="2E75B6" w:sz="2"/>
              <w:bottom w:val="single" w:color="2E75B6" w:sz="2"/>
              <w:right w:val="single" w:color="2E75B6" w:sz="2"/>
            </w:tcBorders>
            <w:shd w:fill="EBF3FB" w:val="clear"/>
            <w:tcMar>
              <w:top w:type="dxa" w:w="120"/>
              <w:left w:type="dxa" w:w="200"/>
              <w:bottom w:type="dxa" w:w="120"/>
              <w:right w:type="dxa" w:w="200"/>
            </w:tcMar>
          </w:tcPr>
          <w:p>
            <w:pPr>
              <w:spacing w:after="40" w:before="40" w:line="280"/>
            </w:pPr>
            <w:r>
              <w:rPr>
                <w:rFonts w:ascii="Arial" w:cs="Arial" w:eastAsia="Arial" w:hAnsi="Arial"/>
                <w:sz w:val="20"/>
                <w:szCs w:val="20"/>
              </w:rPr>
              <w:t xml:space="preserve">Interpretation metier du seuil :</w:t>
            </w:r>
          </w:p>
          <w:p>
            <w:pPr>
              <w:spacing w:after="40" w:before="40" w:line="280"/>
            </w:pPr>
            <w:r>
              <w:rPr>
                <w:rFonts w:ascii="Arial" w:cs="Arial" w:eastAsia="Arial" w:hAnsi="Arial"/>
                <w:sz w:val="20"/>
                <w:szCs w:val="20"/>
              </w:rPr>
              <w:t xml:space="preserve">  Seuil bas (ex: 0.3) : plus de fraudes detectees (rappel eleve) mais plus de faux positifs</w:t>
            </w:r>
          </w:p>
          <w:p>
            <w:pPr>
              <w:spacing w:after="40" w:before="40" w:line="280"/>
            </w:pPr>
            <w:r>
              <w:rPr>
                <w:rFonts w:ascii="Arial" w:cs="Arial" w:eastAsia="Arial" w:hAnsi="Arial"/>
                <w:sz w:val="20"/>
                <w:szCs w:val="20"/>
              </w:rPr>
              <w:t xml:space="preserve">    -&gt; acceptable si le cout d'une fraude manquee &gt;&gt; cout d'un blocage injuste</w:t>
            </w:r>
          </w:p>
          <w:p>
            <w:pPr>
              <w:spacing w:after="40" w:before="40" w:line="280"/>
            </w:pPr>
            <w:r>
              <w:rPr>
                <w:rFonts w:ascii="Arial" w:cs="Arial" w:eastAsia="Arial" w:hAnsi="Arial"/>
                <w:sz w:val="20"/>
                <w:szCs w:val="20"/>
              </w:rPr>
              <w:t xml:space="preserve"/>
            </w:r>
          </w:p>
          <w:p>
            <w:pPr>
              <w:spacing w:after="40" w:before="40" w:line="280"/>
            </w:pPr>
            <w:r>
              <w:rPr>
                <w:rFonts w:ascii="Arial" w:cs="Arial" w:eastAsia="Arial" w:hAnsi="Arial"/>
                <w:sz w:val="20"/>
                <w:szCs w:val="20"/>
              </w:rPr>
              <w:t xml:space="preserve">  Seuil optimal MCC = 0.84 : equilibre optimal mathematiquement</w:t>
            </w:r>
          </w:p>
          <w:p>
            <w:pPr>
              <w:spacing w:after="40" w:before="40" w:line="280"/>
            </w:pPr>
            <w:r>
              <w:rPr>
                <w:rFonts w:ascii="Arial" w:cs="Arial" w:eastAsia="Arial" w:hAnsi="Arial"/>
                <w:sz w:val="20"/>
                <w:szCs w:val="20"/>
              </w:rPr>
              <w:t xml:space="preserve">  Seuil optimal F1  = 0.84 : identique ici, ce qui confirme la robustesse</w:t>
            </w:r>
          </w:p>
          <w:p>
            <w:pPr>
              <w:spacing w:after="40" w:before="40" w:line="280"/>
            </w:pPr>
            <w:r>
              <w:rPr>
                <w:rFonts w:ascii="Arial" w:cs="Arial" w:eastAsia="Arial" w:hAnsi="Arial"/>
                <w:sz w:val="20"/>
                <w:szCs w:val="20"/>
              </w:rPr>
              <w:t xml:space="preserve"/>
            </w:r>
          </w:p>
          <w:p>
            <w:pPr>
              <w:spacing w:after="40" w:before="40" w:line="280"/>
            </w:pPr>
            <w:r>
              <w:rPr>
                <w:rFonts w:ascii="Arial" w:cs="Arial" w:eastAsia="Arial" w:hAnsi="Arial"/>
                <w:sz w:val="20"/>
                <w:szCs w:val="20"/>
              </w:rPr>
              <w:t xml:space="preserve">  Recommandation : utiliser seuil 0.84 avec le modele XGBoost + Isotonic Regression</w:t>
            </w:r>
          </w:p>
        </w:tc>
      </w:tr>
    </w:tbl>
    <w:p>
      <w:pPr>
        <w:pStyle w:val="Heading1"/>
        <w:pageBreakBefore/>
        <w:spacing w:after="240" w:before="0"/>
      </w:pPr>
      <w:r>
        <w:rPr>
          <w:rFonts w:ascii="Arial" w:cs="Arial" w:eastAsia="Arial" w:hAnsi="Arial"/>
          <w:b/>
          <w:bCs/>
          <w:sz w:val="32"/>
          <w:szCs w:val="32"/>
        </w:rPr>
        <w:t xml:space="preserve">Etape 4 : Interpretabilite par SHAP</w:t>
      </w:r>
    </w:p>
    <w:p>
      <w:pPr>
        <w:spacing w:after="80" w:before="80" w:line="300"/>
        <w:jc w:val="both"/>
      </w:pPr>
      <w:r>
        <w:rPr>
          <w:rFonts w:ascii="Arial" w:cs="Arial" w:eastAsia="Arial" w:hAnsi="Arial"/>
          <w:sz w:val="22"/>
          <w:szCs w:val="22"/>
        </w:rPr>
        <w:t xml:space="preserve">Les valeurs SHAP (SHapley Additive exPlanations) quantifient la contribution de chaque feature a chaque prediction individuelle, en s'appuyant sur la theorie des jeux cooperatifs (Shapley, 1953). Le TreeExplainer de Lundberg &amp; Lee (2017) calcule ces valeurs exactement (sans approximation) pour les modeles a arbres.</w:t>
      </w:r>
    </w:p>
    <w:p>
      <w:pPr>
        <w:spacing w:after="80" w:before="80" w:line="300"/>
        <w:jc w:val="both"/>
      </w:pPr>
      <w:r>
        <w:rPr>
          <w:rFonts w:ascii="Arial" w:cs="Arial" w:eastAsia="Arial" w:hAnsi="Arial"/>
          <w:sz w:val="22"/>
          <w:szCs w:val="22"/>
        </w:rPr>
        <w:t xml:space="preserve">L'echantillon SHAP comprend 500 observations (50 fraudes + 450 legitimes) selectionnees de facon stratifiee pour assurer la representativite des deux classes.</w:t>
      </w:r>
    </w:p>
    <w:p>
      <w:pPr>
        <w:pStyle w:val="Heading2"/>
        <w:spacing w:after="160" w:before="280"/>
      </w:pPr>
      <w:r>
        <w:rPr>
          <w:rFonts w:ascii="Arial" w:cs="Arial" w:eastAsia="Arial" w:hAnsi="Arial"/>
          <w:b/>
          <w:bCs/>
          <w:sz w:val="26"/>
          <w:szCs w:val="26"/>
        </w:rPr>
        <w:t xml:space="preserve">4.1 Importance Globale des Features</w:t>
      </w:r>
    </w:p>
    <w:p>
      <w:pPr>
        <w:spacing w:after="60" w:before="120"/>
        <w:jc w:val="center"/>
      </w:pPr>
      <w:r>
        <w:drawing>
          <wp:inline distT="0" distB="0" distL="0" distR="0">
            <wp:extent cx="5334000" cy="4362450"/>
            <wp:effectExtent t="0" r="0" b="0" l="0"/>
            <wp:docPr id="1" name="etape4_shap/figures/fig01_shap_summary_dot.png" descr="etape4_shap/figures/fig01_shap_summary_dot.png" title="etape4_shap/figures/fig01_shap_summary_do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5334000" cy="4362450"/>
                    </a:xfrm>
                    <a:prstGeom prst="rect">
                      <a:avLst/>
                    </a:prstGeom>
                  </pic:spPr>
                </pic:pic>
              </a:graphicData>
            </a:graphic>
          </wp:inline>
        </w:drawing>
      </w:r>
    </w:p>
    <w:p>
      <w:pPr>
        <w:spacing w:after="200" w:before="0"/>
        <w:jc w:val="center"/>
      </w:pPr>
      <w:r>
        <w:rPr>
          <w:i/>
          <w:iCs/>
          <w:color w:val="555555"/>
          <w:sz w:val="18"/>
          <w:szCs w:val="18"/>
        </w:rPr>
        <w:t xml:space="preserve">Figure 4.1 – SHAP Summary Plot (dot) : chaque point = 1 observation. Position X = impact sur P(fraude). Couleur = valeur de la feature.</w:t>
      </w:r>
    </w:p>
    <w:p>
      <w:pPr>
        <w:spacing w:after="60" w:before="120"/>
        <w:jc w:val="center"/>
      </w:pPr>
      <w:r>
        <w:drawing>
          <wp:inline distT="0" distB="0" distL="0" distR="0">
            <wp:extent cx="4953000" cy="3467100"/>
            <wp:effectExtent t="0" r="0" b="0" l="0"/>
            <wp:docPr id="1" name="etape4_shap/figures/fig02_shap_bar_importance.png" descr="etape4_shap/figures/fig02_shap_bar_importance.png" title="etape4_shap/figures/fig02_shap_bar_importan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4953000" cy="3467100"/>
                    </a:xfrm>
                    <a:prstGeom prst="rect">
                      <a:avLst/>
                    </a:prstGeom>
                  </pic:spPr>
                </pic:pic>
              </a:graphicData>
            </a:graphic>
          </wp:inline>
        </w:drawing>
      </w:r>
    </w:p>
    <w:p>
      <w:pPr>
        <w:spacing w:after="200" w:before="0"/>
        <w:jc w:val="center"/>
      </w:pPr>
      <w:r>
        <w:rPr>
          <w:i/>
          <w:iCs/>
          <w:color w:val="555555"/>
          <w:sz w:val="18"/>
          <w:szCs w:val="18"/>
        </w:rPr>
        <w:t xml:space="preserve">Figure 4.2 – Importance SHAP globale (|SHAP| moyen) : V4, V14 et V12 dominent</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1500"/>
        <w:gridCol w:w="6326"/>
      </w:tblGrid>
      <w:tr>
        <w:trPr>
          <w:tblHeader/>
        </w:trPr>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Feature</w:t>
            </w:r>
          </w:p>
        </w:tc>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|SHAP| moyen</w:t>
            </w:r>
          </w:p>
        </w:tc>
        <w:tc>
          <w:tcPr>
            <w:tcW w:type="dxa" w:w="6326"/>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Interpretation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V4</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2.725</w:t>
            </w:r>
          </w:p>
        </w:tc>
        <w:tc>
          <w:tcPr>
            <w:tcW w:type="dxa" w:w="63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Composante PCA fortement liee aux patterns de transaction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V14</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2.287</w:t>
            </w:r>
          </w:p>
        </w:tc>
        <w:tc>
          <w:tcPr>
            <w:tcW w:type="dxa" w:w="63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Signal le plus connu dans la litterature pour ce dataset</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V12</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1.847</w:t>
            </w:r>
          </w:p>
        </w:tc>
        <w:tc>
          <w:tcPr>
            <w:tcW w:type="dxa" w:w="63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Caracterise les transactions nocturnes atypiques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V10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1.473</w:t>
            </w:r>
          </w:p>
        </w:tc>
        <w:tc>
          <w:tcPr>
            <w:tcW w:type="dxa" w:w="63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Interaction avec V4 dans les zones de fraude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V3</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1.065</w:t>
            </w:r>
          </w:p>
        </w:tc>
        <w:tc>
          <w:tcPr>
            <w:tcW w:type="dxa" w:w="63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Deuxieme dimension temporelle de la PCA</w:t>
            </w:r>
          </w:p>
        </w:tc>
      </w:tr>
    </w:tbl>
    <w:p>
      <w:pPr>
        <w:pStyle w:val="Heading2"/>
        <w:spacing w:after="160" w:before="280"/>
      </w:pPr>
      <w:r>
        <w:rPr>
          <w:rFonts w:ascii="Arial" w:cs="Arial" w:eastAsia="Arial" w:hAnsi="Arial"/>
          <w:b/>
          <w:bCs/>
          <w:sz w:val="26"/>
          <w:szCs w:val="26"/>
        </w:rPr>
        <w:t xml:space="preserve">4.2 Explications Individuelles</w:t>
      </w:r>
    </w:p>
    <w:p>
      <w:pPr>
        <w:pStyle w:val="Heading3"/>
        <w:spacing w:after="120" w:before="200"/>
      </w:pPr>
      <w:r>
        <w:rPr>
          <w:rFonts w:ascii="Arial" w:cs="Arial" w:eastAsia="Arial" w:hAnsi="Arial"/>
          <w:b/>
          <w:bCs/>
          <w:sz w:val="22"/>
          <w:szCs w:val="22"/>
        </w:rPr>
        <w:t xml:space="preserve">4.2.1 Transaction Frauduleuse</w:t>
      </w:r>
    </w:p>
    <w:p>
      <w:pPr>
        <w:spacing w:after="80" w:before="80" w:line="300"/>
        <w:jc w:val="both"/>
      </w:pPr>
      <w:r>
        <w:rPr>
          <w:rFonts w:ascii="Arial" w:cs="Arial" w:eastAsia="Arial" w:hAnsi="Arial"/>
          <w:sz w:val="22"/>
          <w:szCs w:val="22"/>
        </w:rPr>
        <w:t xml:space="preserve">Le waterfall plot montre comment chaque feature pousse la prediction depuis la valeur de base E[f(x)] (log-odds moyen) vers la valeur finale predite pour cette transaction specifique.</w:t>
      </w:r>
    </w:p>
    <w:p>
      <w:pPr>
        <w:spacing w:after="60" w:before="120"/>
        <w:jc w:val="center"/>
      </w:pPr>
      <w:r>
        <w:drawing>
          <wp:inline distT="0" distB="0" distL="0" distR="0">
            <wp:extent cx="5334000" cy="3390900"/>
            <wp:effectExtent t="0" r="0" b="0" l="0"/>
            <wp:docPr id="1" name="etape4_shap/figures/fig03_shap_waterfall_fraud.png" descr="etape4_shap/figures/fig03_shap_waterfall_fraud.png" title="etape4_shap/figures/fig03_shap_waterfall_frau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5334000" cy="3390900"/>
                    </a:xfrm>
                    <a:prstGeom prst="rect">
                      <a:avLst/>
                    </a:prstGeom>
                  </pic:spPr>
                </pic:pic>
              </a:graphicData>
            </a:graphic>
          </wp:inline>
        </w:drawing>
      </w:r>
    </w:p>
    <w:p>
      <w:pPr>
        <w:spacing w:after="200" w:before="0"/>
        <w:jc w:val="center"/>
      </w:pPr>
      <w:r>
        <w:rPr>
          <w:i/>
          <w:iCs/>
          <w:color w:val="555555"/>
          <w:sz w:val="18"/>
          <w:szCs w:val="18"/>
        </w:rPr>
        <w:t xml:space="preserve">Figure 4.3 – Waterfall SHAP d'une transaction frauduleuse : contribution feature par feature</w:t>
      </w:r>
    </w:p>
    <w:p>
      <w:pPr>
        <w:pStyle w:val="Heading3"/>
        <w:spacing w:after="120" w:before="200"/>
      </w:pPr>
      <w:r>
        <w:rPr>
          <w:rFonts w:ascii="Arial" w:cs="Arial" w:eastAsia="Arial" w:hAnsi="Arial"/>
          <w:b/>
          <w:bCs/>
          <w:sz w:val="22"/>
          <w:szCs w:val="22"/>
        </w:rPr>
        <w:t xml:space="preserve">4.2.2 Transaction Legitime</w:t>
      </w:r>
    </w:p>
    <w:p>
      <w:pPr>
        <w:spacing w:after="60" w:before="120"/>
        <w:jc w:val="center"/>
      </w:pPr>
      <w:r>
        <w:drawing>
          <wp:inline distT="0" distB="0" distL="0" distR="0">
            <wp:extent cx="5334000" cy="3390900"/>
            <wp:effectExtent t="0" r="0" b="0" l="0"/>
            <wp:docPr id="1" name="etape4_shap/figures/fig04_shap_waterfall_legit.png" descr="etape4_shap/figures/fig04_shap_waterfall_legit.png" title="etape4_shap/figures/fig04_shap_waterfall_legi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5334000" cy="3390900"/>
                    </a:xfrm>
                    <a:prstGeom prst="rect">
                      <a:avLst/>
                    </a:prstGeom>
                  </pic:spPr>
                </pic:pic>
              </a:graphicData>
            </a:graphic>
          </wp:inline>
        </w:drawing>
      </w:r>
    </w:p>
    <w:p>
      <w:pPr>
        <w:spacing w:after="200" w:before="0"/>
        <w:jc w:val="center"/>
      </w:pPr>
      <w:r>
        <w:rPr>
          <w:i/>
          <w:iCs/>
          <w:color w:val="555555"/>
          <w:sz w:val="18"/>
          <w:szCs w:val="18"/>
        </w:rPr>
        <w:t xml:space="preserve">Figure 4.4 – Waterfall SHAP d'une transaction legitime : les features poussent la prediction vers 0</w:t>
      </w:r>
    </w:p>
    <w:p>
      <w:pPr>
        <w:pStyle w:val="Heading2"/>
        <w:spacing w:after="160" w:before="280"/>
      </w:pPr>
      <w:r>
        <w:rPr>
          <w:rFonts w:ascii="Arial" w:cs="Arial" w:eastAsia="Arial" w:hAnsi="Arial"/>
          <w:b/>
          <w:bCs/>
          <w:sz w:val="26"/>
          <w:szCs w:val="26"/>
        </w:rPr>
        <w:t xml:space="preserve">4.3 Relations entre Features et Predictions</w:t>
      </w:r>
    </w:p>
    <w:p>
      <w:pPr>
        <w:spacing w:after="80" w:before="80" w:line="300"/>
        <w:jc w:val="both"/>
      </w:pPr>
      <w:r>
        <w:rPr>
          <w:rFonts w:ascii="Arial" w:cs="Arial" w:eastAsia="Arial" w:hAnsi="Arial"/>
          <w:sz w:val="22"/>
          <w:szCs w:val="22"/>
        </w:rPr>
        <w:t xml:space="preserve">Les dependence plots visualisent la relation entre la valeur d'une feature et son impact SHAP sur P(fraude), avec coloration par la feature d'interaction la plus correle (detection automatique).</w:t>
      </w:r>
    </w:p>
    <w:p>
      <w:pPr>
        <w:spacing w:after="60" w:before="120"/>
        <w:jc w:val="center"/>
      </w:pPr>
      <w:r>
        <w:drawing>
          <wp:inline distT="0" distB="0" distL="0" distR="0">
            <wp:extent cx="5524500" cy="3943350"/>
            <wp:effectExtent t="0" r="0" b="0" l="0"/>
            <wp:docPr id="1" name="etape4_shap/figures/fig05_shap_dependence_top4.png" descr="etape4_shap/figures/fig05_shap_dependence_top4.png" title="etape4_shap/figures/fig05_shap_dependence_top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5524500" cy="3943350"/>
                    </a:xfrm>
                    <a:prstGeom prst="rect">
                      <a:avLst/>
                    </a:prstGeom>
                  </pic:spPr>
                </pic:pic>
              </a:graphicData>
            </a:graphic>
          </wp:inline>
        </w:drawing>
      </w:r>
    </w:p>
    <w:p>
      <w:pPr>
        <w:spacing w:after="200" w:before="0"/>
        <w:jc w:val="center"/>
      </w:pPr>
      <w:r>
        <w:rPr>
          <w:i/>
          <w:iCs/>
          <w:color w:val="555555"/>
          <w:sz w:val="18"/>
          <w:szCs w:val="18"/>
        </w:rPr>
        <w:t xml:space="preserve">Figure 4.5 – SHAP Dependence plots des 4 features les plus importantes</w:t>
      </w:r>
    </w:p>
    <w:p>
      <w:pPr>
        <w:pStyle w:val="Heading2"/>
        <w:spacing w:after="160" w:before="280"/>
      </w:pPr>
      <w:r>
        <w:rPr>
          <w:rFonts w:ascii="Arial" w:cs="Arial" w:eastAsia="Arial" w:hAnsi="Arial"/>
          <w:b/>
          <w:bCs/>
          <w:sz w:val="26"/>
          <w:szCs w:val="26"/>
        </w:rPr>
        <w:t xml:space="preserve">4.4 Analyse Fraude vs Legitime</w:t>
      </w:r>
    </w:p>
    <w:p>
      <w:pPr>
        <w:spacing w:after="60" w:before="120"/>
        <w:jc w:val="center"/>
      </w:pPr>
      <w:r>
        <w:drawing>
          <wp:inline distT="0" distB="0" distL="0" distR="0">
            <wp:extent cx="5715000" cy="2505075"/>
            <wp:effectExtent t="0" r="0" b="0" l="0"/>
            <wp:docPr id="1" name="etape4_shap/figures/fig06_shap_fraud_vs_legit.png" descr="etape4_shap/figures/fig06_shap_fraud_vs_legit.png" title="etape4_shap/figures/fig06_shap_fraud_vs_legi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5715000" cy="2505075"/>
                    </a:xfrm>
                    <a:prstGeom prst="rect">
                      <a:avLst/>
                    </a:prstGeom>
                  </pic:spPr>
                </pic:pic>
              </a:graphicData>
            </a:graphic>
          </wp:inline>
        </w:drawing>
      </w:r>
    </w:p>
    <w:p>
      <w:pPr>
        <w:spacing w:after="200" w:before="0"/>
        <w:jc w:val="center"/>
      </w:pPr>
      <w:r>
        <w:rPr>
          <w:i/>
          <w:iCs/>
          <w:color w:val="555555"/>
          <w:sz w:val="18"/>
          <w:szCs w:val="18"/>
        </w:rPr>
        <w:t xml:space="preserve">Figure 4.6 – Importance SHAP par classe (fraude vs legitime) et heatmap sur les transactions frauduleuses</w:t>
      </w:r>
    </w:p>
    <w:p>
      <w:pPr>
        <w:pStyle w:val="Heading2"/>
        <w:spacing w:after="160" w:before="280"/>
      </w:pPr>
      <w:r>
        <w:rPr>
          <w:rFonts w:ascii="Arial" w:cs="Arial" w:eastAsia="Arial" w:hAnsi="Arial"/>
          <w:b/>
          <w:bCs/>
          <w:sz w:val="26"/>
          <w:szCs w:val="26"/>
        </w:rPr>
        <w:t xml:space="preserve">4.5 Convergence XGBoost / Random Forest</w:t>
      </w:r>
    </w:p>
    <w:p>
      <w:pPr>
        <w:spacing w:after="80" w:before="80" w:line="300"/>
        <w:jc w:val="both"/>
      </w:pPr>
      <w:r>
        <w:rPr>
          <w:rFonts w:ascii="Arial" w:cs="Arial" w:eastAsia="Arial" w:hAnsi="Arial"/>
          <w:sz w:val="22"/>
          <w:szCs w:val="22"/>
        </w:rPr>
        <w:t xml:space="preserve">La comparaison des valeurs SHAP entre XGBoost et Random Forest valide la robustesse des interpretations : si les deux modeles independants identifient les memes features comme importantes, cette convergence augmente la confiance dans les explications.</w:t>
      </w:r>
    </w:p>
    <w:p>
      <w:pPr>
        <w:spacing w:after="60" w:before="120"/>
        <w:jc w:val="center"/>
      </w:pPr>
      <w:r>
        <w:drawing>
          <wp:inline distT="0" distB="0" distL="0" distR="0">
            <wp:extent cx="4953000" cy="3962400"/>
            <wp:effectExtent t="0" r="0" b="0" l="0"/>
            <wp:docPr id="1" name="etape4_shap/figures/fig07_shap_rf_summary.png" descr="etape4_shap/figures/fig07_shap_rf_summary.png" title="etape4_shap/figures/fig07_shap_rf_summar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4953000" cy="3962400"/>
                    </a:xfrm>
                    <a:prstGeom prst="rect">
                      <a:avLst/>
                    </a:prstGeom>
                  </pic:spPr>
                </pic:pic>
              </a:graphicData>
            </a:graphic>
          </wp:inline>
        </w:drawing>
      </w:r>
    </w:p>
    <w:p>
      <w:pPr>
        <w:spacing w:after="200" w:before="0"/>
        <w:jc w:val="center"/>
      </w:pPr>
      <w:r>
        <w:rPr>
          <w:i/>
          <w:iCs/>
          <w:color w:val="555555"/>
          <w:sz w:val="18"/>
          <w:szCs w:val="18"/>
        </w:rPr>
        <w:t xml:space="preserve">Figure 4.7 – SHAP Summary Plot Random Forest : V14, V4 et V12 confirment leur importance</w:t>
      </w:r>
    </w:p>
    <w:p>
      <w:pPr>
        <w:spacing w:after="60" w:before="120"/>
        <w:jc w:val="center"/>
      </w:pPr>
      <w:r>
        <w:drawing>
          <wp:inline distT="0" distB="0" distL="0" distR="0">
            <wp:extent cx="5715000" cy="1228725"/>
            <wp:effectExtent t="0" r="0" b="0" l="0"/>
            <wp:docPr id="1" name="etape4_shap/figures/fig08_shap_force_fraud.png" descr="etape4_shap/figures/fig08_shap_force_fraud.png" title="etape4_shap/figures/fig08_shap_force_frau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5715000" cy="1228725"/>
                    </a:xfrm>
                    <a:prstGeom prst="rect">
                      <a:avLst/>
                    </a:prstGeom>
                  </pic:spPr>
                </pic:pic>
              </a:graphicData>
            </a:graphic>
          </wp:inline>
        </w:drawing>
      </w:r>
    </w:p>
    <w:p>
      <w:pPr>
        <w:spacing w:after="200" w:before="0"/>
        <w:jc w:val="center"/>
      </w:pPr>
      <w:r>
        <w:rPr>
          <w:i/>
          <w:iCs/>
          <w:color w:val="555555"/>
          <w:sz w:val="18"/>
          <w:szCs w:val="18"/>
        </w:rPr>
        <w:t xml:space="preserve">Figure 4.8 – Force plot d'une fraude : contributions ordonnees par impact</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2"/>
              <w:left w:val="single" w:color="2E75B6" w:sz="2"/>
              <w:bottom w:val="single" w:color="2E75B6" w:sz="2"/>
              <w:right w:val="single" w:color="2E75B6" w:sz="2"/>
            </w:tcBorders>
            <w:shd w:fill="EBF3FB" w:val="clear"/>
            <w:tcMar>
              <w:top w:type="dxa" w:w="120"/>
              <w:left w:type="dxa" w:w="200"/>
              <w:bottom w:type="dxa" w:w="120"/>
              <w:right w:type="dxa" w:w="200"/>
            </w:tcMar>
          </w:tcPr>
          <w:p>
            <w:pPr>
              <w:spacing w:after="40" w:before="40" w:line="280"/>
            </w:pPr>
            <w:r>
              <w:rPr>
                <w:rFonts w:ascii="Arial" w:cs="Arial" w:eastAsia="Arial" w:hAnsi="Arial"/>
                <w:sz w:val="20"/>
                <w:szCs w:val="20"/>
              </w:rPr>
              <w:t xml:space="preserve">Convergence XGBoost / Random Forest :</w:t>
            </w:r>
          </w:p>
          <w:p>
            <w:pPr>
              <w:spacing w:after="40" w:before="40" w:line="280"/>
            </w:pPr>
            <w:r>
              <w:rPr>
                <w:rFonts w:ascii="Arial" w:cs="Arial" w:eastAsia="Arial" w:hAnsi="Arial"/>
                <w:sz w:val="20"/>
                <w:szCs w:val="20"/>
              </w:rPr>
              <w:t xml:space="preserve">  Les deux modeles identifient V4, V14 et V12 dans le top 3.</w:t>
            </w:r>
          </w:p>
          <w:p>
            <w:pPr>
              <w:spacing w:after="40" w:before="40" w:line="280"/>
            </w:pPr>
            <w:r>
              <w:rPr>
                <w:rFonts w:ascii="Arial" w:cs="Arial" w:eastAsia="Arial" w:hAnsi="Arial"/>
                <w:sz w:val="20"/>
                <w:szCs w:val="20"/>
              </w:rPr>
              <w:t xml:space="preserve">  Cette convergence est importante : elle signifie que les explications</w:t>
            </w:r>
          </w:p>
          <w:p>
            <w:pPr>
              <w:spacing w:after="40" w:before="40" w:line="280"/>
            </w:pPr>
            <w:r>
              <w:rPr>
                <w:rFonts w:ascii="Arial" w:cs="Arial" w:eastAsia="Arial" w:hAnsi="Arial"/>
                <w:sz w:val="20"/>
                <w:szCs w:val="20"/>
              </w:rPr>
              <w:t xml:space="preserve">  ne dependent pas de l'architecture du modele mais reflettent des</w:t>
            </w:r>
          </w:p>
          <w:p>
            <w:pPr>
              <w:spacing w:after="40" w:before="40" w:line="280"/>
            </w:pPr>
            <w:r>
              <w:rPr>
                <w:rFonts w:ascii="Arial" w:cs="Arial" w:eastAsia="Arial" w:hAnsi="Arial"/>
                <w:sz w:val="20"/>
                <w:szCs w:val="20"/>
              </w:rPr>
              <w:t xml:space="preserve">  patterns reels dans les donnees.</w:t>
            </w:r>
          </w:p>
          <w:p>
            <w:pPr>
              <w:spacing w:after="40" w:before="40" w:line="280"/>
            </w:pPr>
            <w:r>
              <w:rPr>
                <w:rFonts w:ascii="Arial" w:cs="Arial" w:eastAsia="Arial" w:hAnsi="Arial"/>
                <w:sz w:val="20"/>
                <w:szCs w:val="20"/>
              </w:rPr>
              <w:t xml:space="preserve"/>
            </w:r>
          </w:p>
          <w:p>
            <w:pPr>
              <w:spacing w:after="40" w:before="40" w:line="280"/>
            </w:pPr>
            <w:r>
              <w:rPr>
                <w:rFonts w:ascii="Arial" w:cs="Arial" w:eastAsia="Arial" w:hAnsi="Arial"/>
                <w:sz w:val="20"/>
                <w:szCs w:val="20"/>
              </w:rPr>
              <w:t xml:space="preserve">Interpretation des features PCA :</w:t>
            </w:r>
          </w:p>
          <w:p>
            <w:pPr>
              <w:spacing w:after="40" w:before="40" w:line="280"/>
            </w:pPr>
            <w:r>
              <w:rPr>
                <w:rFonts w:ascii="Arial" w:cs="Arial" w:eastAsia="Arial" w:hAnsi="Arial"/>
                <w:sz w:val="20"/>
                <w:szCs w:val="20"/>
              </w:rPr>
              <w:t xml:space="preserve">  Bien que les features V1-V28 soient anonymisees (PCA sur donnees CB),</w:t>
            </w:r>
          </w:p>
          <w:p>
            <w:pPr>
              <w:spacing w:after="40" w:before="40" w:line="280"/>
            </w:pPr>
            <w:r>
              <w:rPr>
                <w:rFonts w:ascii="Arial" w:cs="Arial" w:eastAsia="Arial" w:hAnsi="Arial"/>
                <w:sz w:val="20"/>
                <w:szCs w:val="20"/>
              </w:rPr>
              <w:t xml:space="preserve">  leur comportement SHAP revele leur role fonctionnel :</w:t>
            </w:r>
          </w:p>
          <w:p>
            <w:pPr>
              <w:spacing w:after="40" w:before="40" w:line="280"/>
            </w:pPr>
            <w:r>
              <w:rPr>
                <w:rFonts w:ascii="Arial" w:cs="Arial" w:eastAsia="Arial" w:hAnsi="Arial"/>
                <w:sz w:val="20"/>
                <w:szCs w:val="20"/>
              </w:rPr>
              <w:t xml:space="preserve">  - V14 tres negatif -&gt; signal fort de fraude (transaction inhabituelle)</w:t>
            </w:r>
          </w:p>
          <w:p>
            <w:pPr>
              <w:spacing w:after="40" w:before="40" w:line="280"/>
            </w:pPr>
            <w:r>
              <w:rPr>
                <w:rFonts w:ascii="Arial" w:cs="Arial" w:eastAsia="Arial" w:hAnsi="Arial"/>
                <w:sz w:val="20"/>
                <w:szCs w:val="20"/>
              </w:rPr>
              <w:t xml:space="preserve">  - V4 eleve -&gt; pattern de montant ou de frequence anormal</w:t>
            </w:r>
          </w:p>
          <w:p>
            <w:pPr>
              <w:spacing w:after="40" w:before="40" w:line="280"/>
            </w:pPr>
            <w:r>
              <w:rPr>
                <w:rFonts w:ascii="Arial" w:cs="Arial" w:eastAsia="Arial" w:hAnsi="Arial"/>
                <w:sz w:val="20"/>
                <w:szCs w:val="20"/>
              </w:rPr>
              <w:t xml:space="preserve">  - Amount faible ou atypique -&gt; caracteristique des fraudes de test</w:t>
            </w:r>
          </w:p>
        </w:tc>
      </w:tr>
    </w:tbl>
    <w:p>
      <w:pPr>
        <w:pStyle w:val="Heading1"/>
        <w:pageBreakBefore/>
        <w:spacing w:after="240" w:before="0"/>
      </w:pPr>
      <w:r>
        <w:rPr>
          <w:rFonts w:ascii="Arial" w:cs="Arial" w:eastAsia="Arial" w:hAnsi="Arial"/>
          <w:b/>
          <w:bCs/>
          <w:sz w:val="32"/>
          <w:szCs w:val="32"/>
        </w:rPr>
        <w:t xml:space="preserve">Conclusion</w:t>
      </w:r>
    </w:p>
    <w:p>
      <w:pPr>
        <w:spacing w:after="80" w:before="80" w:line="300"/>
        <w:jc w:val="both"/>
      </w:pPr>
      <w:r>
        <w:rPr>
          <w:rFonts w:ascii="Arial" w:cs="Arial" w:eastAsia="Arial" w:hAnsi="Arial"/>
          <w:sz w:val="22"/>
          <w:szCs w:val="22"/>
        </w:rPr>
        <w:t xml:space="preserve">Ce projet a demontre la faisabilite d'un systeme de classification robuste pour la detection de fraudes bancaires en presence d'un desequilibre extreme (578:1). Les principales contributions sont :</w:t>
      </w:r>
    </w:p>
    <w:p>
      <w:pPr>
        <w:spacing w:after="0" w:before="80"/>
      </w:pPr>
      <w:r>
        <w:t xml:space="preserve"/>
      </w:r>
    </w:p>
    <w:p>
      <w:pPr>
        <w:pStyle w:val="ListParagraph"/>
        <w:numPr>
          <w:ilvl w:val="0"/>
          <w:numId w:val="2"/>
        </w:numPr>
        <w:spacing w:after="60" w:before="60" w:line="280"/>
      </w:pPr>
      <w:r>
        <w:rPr>
          <w:rFonts w:ascii="Arial" w:cs="Arial" w:eastAsia="Arial" w:hAnsi="Arial"/>
          <w:sz w:val="22"/>
          <w:szCs w:val="22"/>
        </w:rPr>
        <w:t xml:space="preserve">Feature Engineering : 7 nouvelles variables creees (encodage cyclique du temps, interactions non lineaires, transformations de Amount), selectionnees par Mutual Information.</w:t>
      </w:r>
    </w:p>
    <w:p>
      <w:pPr>
        <w:pStyle w:val="ListParagraph"/>
        <w:numPr>
          <w:ilvl w:val="0"/>
          <w:numId w:val="2"/>
        </w:numPr>
        <w:spacing w:after="60" w:before="60" w:line="280"/>
      </w:pPr>
      <w:r>
        <w:rPr>
          <w:rFonts w:ascii="Arial" w:cs="Arial" w:eastAsia="Arial" w:hAnsi="Arial"/>
          <w:sz w:val="22"/>
          <w:szCs w:val="22"/>
        </w:rPr>
        <w:t xml:space="preserve">Comparaison rigoureuse de 4 methodes de reequilibrage : class_weight, SMOTE, ADASYN et NearMiss, avec visualisation PCA 2D de chaque espace transforme.</w:t>
      </w:r>
    </w:p>
    <w:p>
      <w:pPr>
        <w:pStyle w:val="ListParagraph"/>
        <w:numPr>
          <w:ilvl w:val="0"/>
          <w:numId w:val="2"/>
        </w:numPr>
        <w:spacing w:after="60" w:before="60" w:line="280"/>
      </w:pPr>
      <w:r>
        <w:rPr>
          <w:rFonts w:ascii="Arial" w:cs="Arial" w:eastAsia="Arial" w:hAnsi="Arial"/>
          <w:sz w:val="22"/>
          <w:szCs w:val="22"/>
        </w:rPr>
        <w:t xml:space="preserve">Trois modeles complementaires : regression logistique (baseline interpretable), Random Forest (robustesse, analyse de proximite), XGBoost (performance maximale).</w:t>
      </w:r>
    </w:p>
    <w:p>
      <w:pPr>
        <w:pStyle w:val="ListParagraph"/>
        <w:numPr>
          <w:ilvl w:val="0"/>
          <w:numId w:val="2"/>
        </w:numPr>
        <w:spacing w:after="60" w:before="60" w:line="280"/>
      </w:pPr>
      <w:r>
        <w:rPr>
          <w:rFonts w:ascii="Arial" w:cs="Arial" w:eastAsia="Arial" w:hAnsi="Arial"/>
          <w:sz w:val="22"/>
          <w:szCs w:val="22"/>
        </w:rPr>
        <w:t xml:space="preserve">Analyse de proximite RF originale : identification et explication des outliers de prediction (points ambigus a la frontiere de decision).</w:t>
      </w:r>
    </w:p>
    <w:p>
      <w:pPr>
        <w:pStyle w:val="ListParagraph"/>
        <w:numPr>
          <w:ilvl w:val="0"/>
          <w:numId w:val="2"/>
        </w:numPr>
        <w:spacing w:after="60" w:before="60" w:line="280"/>
      </w:pPr>
      <w:r>
        <w:rPr>
          <w:rFonts w:ascii="Arial" w:cs="Arial" w:eastAsia="Arial" w:hAnsi="Arial"/>
          <w:sz w:val="22"/>
          <w:szCs w:val="22"/>
        </w:rPr>
        <w:t xml:space="preserve">Optimisation bayesienne avec 50 trials TPE : MCC de 0.866 avec justification theorique complete de chaque borne d'hyperparametre.</w:t>
      </w:r>
    </w:p>
    <w:p>
      <w:pPr>
        <w:pStyle w:val="ListParagraph"/>
        <w:numPr>
          <w:ilvl w:val="0"/>
          <w:numId w:val="2"/>
        </w:numPr>
        <w:spacing w:after="60" w:before="60" w:line="280"/>
      </w:pPr>
      <w:r>
        <w:rPr>
          <w:rFonts w:ascii="Arial" w:cs="Arial" w:eastAsia="Arial" w:hAnsi="Arial"/>
          <w:sz w:val="22"/>
          <w:szCs w:val="22"/>
        </w:rPr>
        <w:t xml:space="preserve">Calibration Isotonic Regression : Brier Score de 0.00034 (amelioration de 15% vs brut), fiabilite des probabilites verifiee par reliability diagrams.</w:t>
      </w:r>
    </w:p>
    <w:p>
      <w:pPr>
        <w:pStyle w:val="ListParagraph"/>
        <w:numPr>
          <w:ilvl w:val="0"/>
          <w:numId w:val="2"/>
        </w:numPr>
        <w:spacing w:after="60" w:before="60" w:line="280"/>
      </w:pPr>
      <w:r>
        <w:rPr>
          <w:rFonts w:ascii="Arial" w:cs="Arial" w:eastAsia="Arial" w:hAnsi="Arial"/>
          <w:sz w:val="22"/>
          <w:szCs w:val="22"/>
        </w:rPr>
        <w:t xml:space="preserve">Interpretabilite SHAP complete : explications globales et individuelles, convergence XGBoost/RF sur les features V4, V14, V12.</w:t>
      </w:r>
    </w:p>
    <w:p>
      <w:pPr>
        <w:spacing w:after="0"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226"/>
      </w:tblGrid>
      <w:tr>
        <w:trPr>
          <w:tblHeader/>
        </w:trP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Critere</w:t>
            </w:r>
          </w:p>
        </w:tc>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Valeur/Choix</w:t>
            </w:r>
          </w:p>
        </w:tc>
        <w:tc>
          <w:tcPr>
            <w:tcW w:type="dxa" w:w="3226"/>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Commentaire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Meilleur modele (production)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XGBoost + Optuna + Isotonic</w:t>
            </w:r>
          </w:p>
        </w:tc>
        <w:tc>
          <w:tcPr>
            <w:tcW w:type="dxa" w:w="32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MCC=0.885, F1=0.942, Brier=0.00034</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Feature la plus discriminante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V4 (|SHAP| = 2.725)</w:t>
            </w:r>
          </w:p>
        </w:tc>
        <w:tc>
          <w:tcPr>
            <w:tcW w:type="dxa" w:w="32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Composante PCA des patterns CB</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Seuil de decision optimal</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0.84</w:t>
            </w:r>
          </w:p>
        </w:tc>
        <w:tc>
          <w:tcPr>
            <w:tcW w:type="dxa" w:w="32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Maximise MCC et F1-Macro simultanement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Nombre de fraudes detectees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86/98 sur test set</w:t>
            </w:r>
          </w:p>
        </w:tc>
        <w:tc>
          <w:tcPr>
            <w:tcW w:type="dxa" w:w="32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Recall fraude = 87.8%</w:t>
            </w:r>
          </w:p>
        </w:tc>
      </w:tr>
    </w:tbl>
    <w:p>
      <w:pPr>
        <w:spacing w:after="0" w:before="200"/>
      </w:pPr>
      <w:r>
        <w:t xml:space="preserve"/>
      </w:r>
    </w:p>
    <w:p>
      <w:pPr>
        <w:pStyle w:val="Heading2"/>
        <w:spacing w:after="160" w:before="280"/>
      </w:pPr>
      <w:r>
        <w:rPr>
          <w:rFonts w:ascii="Arial" w:cs="Arial" w:eastAsia="Arial" w:hAnsi="Arial"/>
          <w:b/>
          <w:bCs/>
          <w:sz w:val="26"/>
          <w:szCs w:val="26"/>
        </w:rPr>
        <w:t xml:space="preserve">Perspectives</w:t>
      </w:r>
    </w:p>
    <w:p>
      <w:pPr>
        <w:pStyle w:val="ListParagraph"/>
        <w:numPr>
          <w:ilvl w:val="0"/>
          <w:numId w:val="2"/>
        </w:numPr>
        <w:spacing w:after="60" w:before="60" w:line="280"/>
      </w:pPr>
      <w:r>
        <w:rPr>
          <w:rFonts w:ascii="Arial" w:cs="Arial" w:eastAsia="Arial" w:hAnsi="Arial"/>
          <w:sz w:val="22"/>
          <w:szCs w:val="22"/>
        </w:rPr>
        <w:t xml:space="preserve">Deploiement en temps reel : le modele XGBoost + calibration peut etre serialise (pickle) et integre dans une API REST pour le scoring en ligne.</w:t>
      </w:r>
    </w:p>
    <w:p>
      <w:pPr>
        <w:pStyle w:val="ListParagraph"/>
        <w:numPr>
          <w:ilvl w:val="0"/>
          <w:numId w:val="2"/>
        </w:numPr>
        <w:spacing w:after="60" w:before="60" w:line="280"/>
      </w:pPr>
      <w:r>
        <w:rPr>
          <w:rFonts w:ascii="Arial" w:cs="Arial" w:eastAsia="Arial" w:hAnsi="Arial"/>
          <w:sz w:val="22"/>
          <w:szCs w:val="22"/>
        </w:rPr>
        <w:t xml:space="preserve">Retraining continu : les patterns de fraude evoluent ; un monitoring des metriques (data drift) avec retrainement periodique est recommande.</w:t>
      </w:r>
    </w:p>
    <w:p>
      <w:pPr>
        <w:pStyle w:val="ListParagraph"/>
        <w:numPr>
          <w:ilvl w:val="0"/>
          <w:numId w:val="2"/>
        </w:numPr>
        <w:spacing w:after="60" w:before="60" w:line="280"/>
      </w:pPr>
      <w:r>
        <w:rPr>
          <w:rFonts w:ascii="Arial" w:cs="Arial" w:eastAsia="Arial" w:hAnsi="Arial"/>
          <w:sz w:val="22"/>
          <w:szCs w:val="22"/>
        </w:rPr>
        <w:t xml:space="preserve">Couts asymetriques : integrer explicitement le cout metier (cout fraude manquee &gt;&gt; cout faux positif) dans la fonction objectif via une perte asymetrique personnalisee.</w:t>
      </w:r>
    </w:p>
    <w:p>
      <w:pPr>
        <w:pStyle w:val="ListParagraph"/>
        <w:numPr>
          <w:ilvl w:val="0"/>
          <w:numId w:val="2"/>
        </w:numPr>
        <w:spacing w:after="60" w:before="60" w:line="280"/>
      </w:pPr>
      <w:r>
        <w:rPr>
          <w:rFonts w:ascii="Arial" w:cs="Arial" w:eastAsia="Arial" w:hAnsi="Arial"/>
          <w:sz w:val="22"/>
          <w:szCs w:val="22"/>
        </w:rPr>
        <w:t xml:space="preserve">Amelioration SHAP : calculer les SHAP values sur l'integralite du test set (vs 500 pts echantillonnes) pour des explications globales plus stables.</w:t>
      </w:r>
    </w:p>
    <w:p>
      <w:pPr>
        <w:pStyle w:val="Heading1"/>
        <w:pageBreakBefore/>
        <w:spacing w:after="240" w:before="0"/>
      </w:pPr>
      <w:r>
        <w:rPr>
          <w:rFonts w:ascii="Arial" w:cs="Arial" w:eastAsia="Arial" w:hAnsi="Arial"/>
          <w:b/>
          <w:bCs/>
          <w:sz w:val="32"/>
          <w:szCs w:val="32"/>
        </w:rPr>
        <w:t xml:space="preserve">References Bibliographiques</w:t>
      </w:r>
    </w:p>
    <w:p>
      <w:pPr>
        <w:spacing w:after="80" w:before="80" w:line="300"/>
        <w:jc w:val="both"/>
      </w:pPr>
      <w:r>
        <w:rPr>
          <w:rFonts w:ascii="Arial" w:cs="Arial" w:eastAsia="Arial" w:hAnsi="Arial"/>
          <w:sz w:val="22"/>
          <w:szCs w:val="22"/>
        </w:rPr>
        <w:t xml:space="preserve">[1] Davis, J., &amp; Goadrich, M. (2006). The relationship between Precision-Recall and ROC curves. In Proceedings of the 23rd ICML. ACM.</w:t>
      </w:r>
    </w:p>
    <w:p>
      <w:pPr>
        <w:spacing w:after="0" w:before="80"/>
      </w:pPr>
      <w:r>
        <w:t xml:space="preserve"/>
      </w:r>
    </w:p>
    <w:p>
      <w:pPr>
        <w:spacing w:after="80" w:before="80" w:line="300"/>
        <w:jc w:val="both"/>
      </w:pPr>
      <w:r>
        <w:rPr>
          <w:rFonts w:ascii="Arial" w:cs="Arial" w:eastAsia="Arial" w:hAnsi="Arial"/>
          <w:sz w:val="22"/>
          <w:szCs w:val="22"/>
        </w:rPr>
        <w:t xml:space="preserve">[2] Chicco, D., &amp; Jurman, G. (2020). The advantages of the Matthews correlation coefficient (MCC) over F1 score and accuracy in binary classification evaluation. BMC Genomics, 21(1), 1-13.</w:t>
      </w:r>
    </w:p>
    <w:p>
      <w:pPr>
        <w:spacing w:after="0" w:before="80"/>
      </w:pPr>
      <w:r>
        <w:t xml:space="preserve"/>
      </w:r>
    </w:p>
    <w:p>
      <w:pPr>
        <w:spacing w:after="80" w:before="80" w:line="300"/>
        <w:jc w:val="both"/>
      </w:pPr>
      <w:r>
        <w:rPr>
          <w:rFonts w:ascii="Arial" w:cs="Arial" w:eastAsia="Arial" w:hAnsi="Arial"/>
          <w:sz w:val="22"/>
          <w:szCs w:val="22"/>
        </w:rPr>
        <w:t xml:space="preserve">[3] Lundberg, S. M., &amp; Lee, S. I. (2017). A unified approach to interpreting model predictions. Advances in Neural Information Processing Systems (NeurIPS), 30.</w:t>
      </w:r>
    </w:p>
    <w:p>
      <w:pPr>
        <w:spacing w:after="0" w:before="80"/>
      </w:pPr>
      <w:r>
        <w:t xml:space="preserve"/>
      </w:r>
    </w:p>
    <w:p>
      <w:pPr>
        <w:spacing w:after="80" w:before="80" w:line="300"/>
        <w:jc w:val="both"/>
      </w:pPr>
      <w:r>
        <w:rPr>
          <w:rFonts w:ascii="Arial" w:cs="Arial" w:eastAsia="Arial" w:hAnsi="Arial"/>
          <w:sz w:val="22"/>
          <w:szCs w:val="22"/>
        </w:rPr>
        <w:t xml:space="preserve">[4] Chen, T., &amp; Guestrin, C. (2016). XGBoost: A scalable tree boosting system. In Proceedings of the 22nd ACM SIGKDD. ACM.</w:t>
      </w:r>
    </w:p>
    <w:p>
      <w:pPr>
        <w:spacing w:after="0" w:before="80"/>
      </w:pPr>
      <w:r>
        <w:t xml:space="preserve"/>
      </w:r>
    </w:p>
    <w:p>
      <w:pPr>
        <w:spacing w:after="80" w:before="80" w:line="300"/>
        <w:jc w:val="both"/>
      </w:pPr>
      <w:r>
        <w:rPr>
          <w:rFonts w:ascii="Arial" w:cs="Arial" w:eastAsia="Arial" w:hAnsi="Arial"/>
          <w:sz w:val="22"/>
          <w:szCs w:val="22"/>
        </w:rPr>
        <w:t xml:space="preserve">[5] Chawla, N. V., Bowyer, K. W., Hall, L. O., &amp; Kegelmeyer, W. P. (2002). SMOTE: Synthetic Minority Over-sampling Technique. JAIR, 16, 321-357.</w:t>
      </w:r>
    </w:p>
    <w:p>
      <w:pPr>
        <w:spacing w:after="0" w:before="80"/>
      </w:pPr>
      <w:r>
        <w:t xml:space="preserve"/>
      </w:r>
    </w:p>
    <w:p>
      <w:pPr>
        <w:spacing w:after="80" w:before="80" w:line="300"/>
        <w:jc w:val="both"/>
      </w:pPr>
      <w:r>
        <w:rPr>
          <w:rFonts w:ascii="Arial" w:cs="Arial" w:eastAsia="Arial" w:hAnsi="Arial"/>
          <w:sz w:val="22"/>
          <w:szCs w:val="22"/>
        </w:rPr>
        <w:t xml:space="preserve">[6] He, H., Bai, Y., Garcia, E. A., &amp; Li, S. (2008). ADASYN: Adaptive synthetic sampling approach for imbalanced learning. In IEEE IJCNN.</w:t>
      </w:r>
    </w:p>
    <w:p>
      <w:pPr>
        <w:spacing w:after="0" w:before="80"/>
      </w:pPr>
      <w:r>
        <w:t xml:space="preserve"/>
      </w:r>
    </w:p>
    <w:p>
      <w:pPr>
        <w:spacing w:after="80" w:before="80" w:line="300"/>
        <w:jc w:val="both"/>
      </w:pPr>
      <w:r>
        <w:rPr>
          <w:rFonts w:ascii="Arial" w:cs="Arial" w:eastAsia="Arial" w:hAnsi="Arial"/>
          <w:sz w:val="22"/>
          <w:szCs w:val="22"/>
        </w:rPr>
        <w:t xml:space="preserve">[7] Platt, J. (1999). Probabilistic outputs for support vector machines and comparisons to regularized likelihood methods. Advances in Large Margin Classifiers, 10(3).</w:t>
      </w:r>
    </w:p>
    <w:p>
      <w:pPr>
        <w:spacing w:after="0" w:before="80"/>
      </w:pPr>
      <w:r>
        <w:t xml:space="preserve"/>
      </w:r>
    </w:p>
    <w:p>
      <w:pPr>
        <w:spacing w:after="80" w:before="80" w:line="300"/>
        <w:jc w:val="both"/>
      </w:pPr>
      <w:r>
        <w:rPr>
          <w:rFonts w:ascii="Arial" w:cs="Arial" w:eastAsia="Arial" w:hAnsi="Arial"/>
          <w:sz w:val="22"/>
          <w:szCs w:val="22"/>
        </w:rPr>
        <w:t xml:space="preserve">[8] Akiba, T., Sano, S., Yanase, T., Ohta, T., &amp; Koyama, M. (2019). Optuna: A next-generation hyperparameter optimization framework. In KDD 2019.</w:t>
      </w:r>
    </w:p>
    <w:p>
      <w:pPr>
        <w:spacing w:after="0" w:before="80"/>
      </w:pPr>
      <w:r>
        <w:t xml:space="preserve"/>
      </w:r>
    </w:p>
    <w:p>
      <w:pPr>
        <w:spacing w:after="80" w:before="80" w:line="300"/>
        <w:jc w:val="both"/>
      </w:pPr>
      <w:r>
        <w:rPr>
          <w:rFonts w:ascii="Arial" w:cs="Arial" w:eastAsia="Arial" w:hAnsi="Arial"/>
          <w:sz w:val="22"/>
          <w:szCs w:val="22"/>
        </w:rPr>
        <w:t xml:space="preserve">[9] Dal Pozzolo, A., Caelen, O., Johnson, R. A., &amp; Bontempi, G. (2015). Calibrating probability with undersampling for unbalanced classification. In IEEE SSCI.</w:t>
      </w:r>
    </w:p>
    <w:p>
      <w:pPr>
        <w:spacing w:after="0" w:before="80"/>
      </w:pPr>
      <w:r>
        <w:t xml:space="preserve"/>
      </w:r>
    </w:p>
    <w:p>
      <w:pPr>
        <w:spacing w:after="80" w:before="80" w:line="300"/>
        <w:jc w:val="both"/>
      </w:pPr>
      <w:r>
        <w:rPr>
          <w:rFonts w:ascii="Arial" w:cs="Arial" w:eastAsia="Arial" w:hAnsi="Arial"/>
          <w:sz w:val="22"/>
          <w:szCs w:val="22"/>
        </w:rPr>
        <w:t xml:space="preserve">[10] Shapley, L. S. (1953). A value for n-person games. Contributions to the Theory of Games, 2(28), 307-317.</w:t>
      </w:r>
    </w:p>
    <w:sectPr>
      <w:headerReference w:type="default" r:id="rId7"/>
      <w:footerReference w:type="default" r:id="rId8"/>
      <w:pgSz w:w="11906" w:h="16838" w:orient="portrait"/>
      <w:pgMar w:top="1440" w:right="1134" w:bottom="1440"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spacing w:before="120"/>
      <w:jc w:val="center"/>
    </w:pPr>
    <w:r>
      <w:rPr>
        <w:rFonts w:ascii="Arial" w:cs="Arial" w:eastAsia="Arial" w:hAnsi="Arial"/>
        <w:color w:val="555555"/>
        <w:sz w:val="18"/>
        <w:szCs w:val="18"/>
      </w:rPr>
      <w:t xml:space="preserve">Page </w:t>
    </w:r>
    <w:r>
      <w:rPr>
        <w:rFonts w:ascii="Arial" w:cs="Arial" w:eastAsia="Arial" w:hAnsi="Arial"/>
        <w:color w:val="2E75B6"/>
        <w:sz w:val="18"/>
        <w:szCs w:val="18"/>
      </w:rPr>
      <w:fldChar w:fldCharType="begin"/>
      <w:instrText xml:space="preserve">PAGE</w:instrText>
      <w:fldChar w:fldCharType="separate"/>
      <w:fldChar w:fldCharType="end"/>
    </w:r>
    <w:r>
      <w:rPr>
        <w:rFonts w:ascii="Arial" w:cs="Arial" w:eastAsia="Arial" w:hAnsi="Arial"/>
        <w:color w:val="555555"/>
        <w:sz w:val="18"/>
        <w:szCs w:val="18"/>
      </w:rPr>
      <w:t xml:space="preserve"> / </w:t>
    </w:r>
    <w:r>
      <w:rPr>
        <w:rFonts w:ascii="Arial" w:cs="Arial" w:eastAsia="Arial" w:hAnsi="Arial"/>
        <w:color w:val="55555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spacing w:after="120"/>
      <w:jc w:val="right"/>
    </w:pPr>
    <w:r>
      <w:rPr>
        <w:rFonts w:ascii="Arial" w:cs="Arial" w:eastAsia="Arial" w:hAnsi="Arial"/>
        <w:color w:val="555555"/>
        <w:sz w:val="18"/>
        <w:szCs w:val="18"/>
      </w:rPr>
      <w:t xml:space="preserve">Classification Robuste – Detection de Fraudes Bancaires</w:t>
    </w:r>
    <w:r>
      <w:rPr>
        <w:rFonts w:ascii="Arial" w:cs="Arial" w:eastAsia="Arial" w:hAnsi="Arial"/>
        <w:color w:val="2E75B6"/>
        <w:sz w:val="18"/>
        <w:szCs w:val="18"/>
      </w:rPr>
      <w:t xml:space="preserve">   |   Mustapha EL MIFDALI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3" w:space="4"/>
      </w:pBdr>
      <w:spacing w:after="240" w:before="480"/>
      <w:outlineLvl w:val="0"/>
    </w:pPr>
    <w:rPr>
      <w:rFonts w:ascii="Arial" w:cs="Arial" w:eastAsia="Arial" w:hAnsi="Arial"/>
      <w:b/>
      <w:bCs/>
      <w:color w:val="1F2D3D"/>
      <w:sz w:val="32"/>
      <w:szCs w:val="32"/>
    </w:rPr>
  </w:style>
  <w:style w:type="paragraph" w:styleId="Heading2">
    <w:name w:val="Heading 2"/>
    <w:basedOn w:val="Normal"/>
    <w:next w:val="Normal"/>
    <w:qFormat/>
    <w:pPr>
      <w:spacing w:after="160" w:before="320"/>
      <w:outlineLvl w:val="1"/>
    </w:pPr>
    <w:rPr>
      <w:rFonts w:ascii="Arial" w:cs="Arial" w:eastAsia="Arial" w:hAnsi="Arial"/>
      <w:b/>
      <w:bCs/>
      <w:color w:val="2E75B6"/>
      <w:sz w:val="26"/>
      <w:szCs w:val="26"/>
    </w:rPr>
  </w:style>
  <w:style w:type="paragraph" w:styleId="Heading3">
    <w:name w:val="Heading 3"/>
    <w:basedOn w:val="Normal"/>
    <w:next w:val="Normal"/>
    <w:qFormat/>
    <w:pPr>
      <w:spacing w:after="120" w:before="240"/>
      <w:outlineLvl w:val="2"/>
    </w:pPr>
    <w:rPr>
      <w:rFonts w:ascii="Arial" w:cs="Arial" w:eastAsia="Arial" w:hAnsi="Arial"/>
      <w:b/>
      <w:bCs/>
      <w:i/>
      <w:iCs/>
      <w:color w:val="55555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f81f8cdbccbc9d66ac4593c8cf9297c88dd3b4b0.png"/><Relationship Id="rId10" Type="http://schemas.openxmlformats.org/officeDocument/2006/relationships/image" Target="media/6f19d396b2bb6f8e4bead33f434ceb07d5c310eb.png"/><Relationship Id="rId11" Type="http://schemas.openxmlformats.org/officeDocument/2006/relationships/image" Target="media/0fa5cbddd3f6f782b1a0be57818c509f5d832a91.png"/><Relationship Id="rId12" Type="http://schemas.openxmlformats.org/officeDocument/2006/relationships/image" Target="media/eef16f57156fa48b1de884dabe316d3b872914f3.png"/><Relationship Id="rId13" Type="http://schemas.openxmlformats.org/officeDocument/2006/relationships/image" Target="media/4b85318bf03d9581815afbf46fe100939111d115.png"/><Relationship Id="rId14" Type="http://schemas.openxmlformats.org/officeDocument/2006/relationships/image" Target="media/a2bec0969519b28a19ee5c71ec3246fee0bc3741.png"/><Relationship Id="rId15" Type="http://schemas.openxmlformats.org/officeDocument/2006/relationships/image" Target="media/e49573ab24b067e9e224e9a3c274342911165068.png"/><Relationship Id="rId16" Type="http://schemas.openxmlformats.org/officeDocument/2006/relationships/image" Target="media/376be3af88e0ac2ffad21382c9074a2f48667da7.png"/><Relationship Id="rId17" Type="http://schemas.openxmlformats.org/officeDocument/2006/relationships/image" Target="media/ac105032e8c88aa1782d5d8241e7404cdfe543eb.png"/><Relationship Id="rId18" Type="http://schemas.openxmlformats.org/officeDocument/2006/relationships/image" Target="media/536060195a128bf2f8d7f3e3ecca1707508e3dec.png"/><Relationship Id="rId19" Type="http://schemas.openxmlformats.org/officeDocument/2006/relationships/image" Target="media/9a31eba24e842684806d48fcee86926d472bd4fe.png"/><Relationship Id="rId20" Type="http://schemas.openxmlformats.org/officeDocument/2006/relationships/image" Target="media/7613f96a9fe537aaf0df3ffd9ead722ba6ec9977.png"/><Relationship Id="rId21" Type="http://schemas.openxmlformats.org/officeDocument/2006/relationships/image" Target="media/4c7da3ed839923cb189b5e740440df856a5866a5.png"/><Relationship Id="rId22" Type="http://schemas.openxmlformats.org/officeDocument/2006/relationships/image" Target="media/4730d40a94034d9ee113bfdc8066c667d4b0ab2d.png"/><Relationship Id="rId23" Type="http://schemas.openxmlformats.org/officeDocument/2006/relationships/image" Target="media/9d42ecf08a866174aa7e6186d2cd4753fd06b66e.png"/><Relationship Id="rId24" Type="http://schemas.openxmlformats.org/officeDocument/2006/relationships/image" Target="media/30ad86c7012cc567c9826caaa8af8b09b1cda1ea.png"/><Relationship Id="rId25" Type="http://schemas.openxmlformats.org/officeDocument/2006/relationships/image" Target="media/d69b2ceaee88a3e6a21214e46ac2cce212158ee6.png"/><Relationship Id="rId26" Type="http://schemas.openxmlformats.org/officeDocument/2006/relationships/image" Target="media/5b1c047016f1c93183e45ac06f1b95726309c3be.png"/><Relationship Id="rId27" Type="http://schemas.openxmlformats.org/officeDocument/2006/relationships/image" Target="media/03bea5dd239f2adfa3cf85dbbd75d5bff1918ef4.png"/><Relationship Id="rId28" Type="http://schemas.openxmlformats.org/officeDocument/2006/relationships/image" Target="media/101775d0f268e0606ad693e53aaeb3aaac7e0975.png"/><Relationship Id="rId29" Type="http://schemas.openxmlformats.org/officeDocument/2006/relationships/image" Target="media/58503a2871b5d8406c83411a1a3083cfff13eda0.png"/><Relationship Id="rId30" Type="http://schemas.openxmlformats.org/officeDocument/2006/relationships/image" Target="media/232e632a5c7ecb9212c358fa75da1330d9053254.png"/><Relationship Id="rId31" Type="http://schemas.openxmlformats.org/officeDocument/2006/relationships/image" Target="media/2424bc81082540674f452751e29f6a5feb46b735.png"/><Relationship Id="rId32" Type="http://schemas.openxmlformats.org/officeDocument/2006/relationships/image" Target="media/9f279ccf435491bdfc1765718b9f3488b34be1a9.png"/><Relationship Id="rId33" Type="http://schemas.openxmlformats.org/officeDocument/2006/relationships/image" Target="media/771ca66e0a85227b80717a201e81dc321dae87a8.png"/><Relationship Id="rId34" Type="http://schemas.openxmlformats.org/officeDocument/2006/relationships/image" Target="media/68aaf1882dd7745754e076596ae88a0e524c5e82.png"/><Relationship Id="rId35" Type="http://schemas.openxmlformats.org/officeDocument/2006/relationships/image" Target="media/0f16f5e574ba9d94c7e2eff5a783126bbb5f3c2e.png"/><Relationship Id="rId36" Type="http://schemas.openxmlformats.org/officeDocument/2006/relationships/image" Target="media/c41bbc923b661fdad7bc96c6938e515ee17353fa.png"/><Relationship Id="rId37" Type="http://schemas.openxmlformats.org/officeDocument/2006/relationships/image" Target="media/bf344763896e36b230c6d7ac1ffc4437927adf33.png"/><Relationship Id="rId38" Type="http://schemas.openxmlformats.org/officeDocument/2006/relationships/image" Target="media/e5ada725321c52abb27784cbc89f66830b673944.png"/><Relationship Id="rId39" Type="http://schemas.openxmlformats.org/officeDocument/2006/relationships/image" Target="media/81d28479c63804768ef1358085731ed9fabc3b78.png"/><Relationship Id="rId40" Type="http://schemas.openxmlformats.org/officeDocument/2006/relationships/image" Target="media/287e3e14dfb039dadda8cb66cfd32cf1487a8070.png"/><Relationship Id="rId41" Type="http://schemas.openxmlformats.org/officeDocument/2006/relationships/image" Target="media/ff15f6e2a631db3e318c67b82f156bd3c1e546a2.png"/><Relationship Id="rId42" Type="http://schemas.openxmlformats.org/officeDocument/2006/relationships/image" Target="media/34757b975c52b86781a949bd904b3adb7e224620.png"/><Relationship Id="rId43" Type="http://schemas.openxmlformats.org/officeDocument/2006/relationships/image" Target="media/f84f779094b543636fe54a83836c9e55abe1cc0a.png"/><Relationship Id="rId44" Type="http://schemas.openxmlformats.org/officeDocument/2006/relationships/image" Target="media/94188e59b8e972fc818fc374b3586a392a788073.png"/><Relationship Id="rId45" Type="http://schemas.openxmlformats.org/officeDocument/2006/relationships/image" Target="media/56786c4847861365999abaa9ae22ec5cc2c827cf.png"/><Relationship Id="rId46" Type="http://schemas.openxmlformats.org/officeDocument/2006/relationships/image" Target="media/a700bf426ee56fa68744b7c95e821185bc1bb1da.png"/><Relationship Id="rId47" Type="http://schemas.openxmlformats.org/officeDocument/2006/relationships/image" Target="media/7292643ff04863ee283ec0d7b42af9adce611109.png"/><Relationship Id="rId4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2026-06-01T18:30:10.368Z</dcterms:created>
  <dcterms:modified xsi:type="dcterms:W3CDTF">2026-06-01T18:30:10.380Z</dcterms:modified>
</cp:coreProperties>
</file>

<file path=docProps/custom.xml><?xml version="1.0" encoding="utf-8"?>
<Properties xmlns="http://schemas.openxmlformats.org/officeDocument/2006/custom-properties" xmlns:vt="http://schemas.openxmlformats.org/officeDocument/2006/docPropsVTypes"/>
</file>