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6"/>
          <w:szCs w:val="36"/>
        </w:rPr>
        <w:t xml:space="preserve">Literature Review</w:t>
      </w:r>
    </w:p>
    <w:p>
      <w:pPr>
        <w:spacing w:after="40"/>
        <w:jc w:val="center"/>
      </w:pPr>
      <w:r>
        <w:rPr>
          <w:rFonts w:ascii="Times New Roman" w:cs="Times New Roman" w:eastAsia="Times New Roman" w:hAnsi="Times New Roman"/>
          <w:b/>
          <w:bCs/>
          <w:i/>
          <w:iCs/>
          <w:sz w:val="26"/>
          <w:szCs w:val="26"/>
        </w:rPr>
        <w:t xml:space="preserve">A Cost-Aware Decision Framework for Adaptive Optimization of Apache Spark Data Pipelines</w:t>
      </w:r>
    </w:p>
    <w:p>
      <w:pPr>
        <w:spacing w:after="20"/>
        <w:jc w:val="center"/>
      </w:pPr>
      <w:r>
        <w:rPr>
          <w:rFonts w:ascii="Times New Roman" w:cs="Times New Roman" w:eastAsia="Times New Roman" w:hAnsi="Times New Roman"/>
          <w:sz w:val="22"/>
          <w:szCs w:val="22"/>
        </w:rPr>
        <w:t xml:space="preserve">Mustaqeem Shaikh | M.Sc. Computer Science 2 | Roll No. 9251</w:t>
      </w:r>
    </w:p>
    <w:p>
      <w:pPr>
        <w:spacing w:after="300"/>
        <w:jc w:val="center"/>
      </w:pPr>
      <w:r>
        <w:rPr>
          <w:rFonts w:ascii="Times New Roman" w:cs="Times New Roman" w:eastAsia="Times New Roman" w:hAnsi="Times New Roman"/>
          <w:sz w:val="22"/>
          <w:szCs w:val="22"/>
        </w:rPr>
        <w:t xml:space="preserve">29 August 2026</w:t>
      </w:r>
    </w:p>
    <w:p>
      <w:pPr>
        <w:pStyle w:val="Heading1"/>
        <w:spacing w:after="200" w:before="360"/>
      </w:pPr>
      <w:r>
        <w:rPr>
          <w:rFonts w:ascii="Times New Roman" w:cs="Times New Roman" w:eastAsia="Times New Roman" w:hAnsi="Times New Roman"/>
          <w:b/>
          <w:bCs/>
          <w:sz w:val="28"/>
          <w:szCs w:val="28"/>
        </w:rPr>
        <w:t xml:space="preserve">1. Introduction</w:t>
      </w:r>
    </w:p>
    <w:p>
      <w:pPr>
        <w:spacing w:after="200" w:line="360"/>
        <w:jc w:val="both"/>
      </w:pPr>
      <w:r>
        <w:rPr>
          <w:rFonts w:ascii="Times New Roman" w:cs="Times New Roman" w:eastAsia="Times New Roman" w:hAnsi="Times New Roman"/>
          <w:sz w:val="24"/>
          <w:szCs w:val="24"/>
        </w:rPr>
        <w:t xml:space="preserve">Apache Spark pipelines running on cloud infrastructure can be improved through several well-established mechanisms, including execution-parameter tuning, Adaptive Query Execution, and physical data-layout maintenance such as file compaction. A substantial body of research and several production systems already automate individual aspects of these mechanisms. However, applying an optimization action itself consumes compute resources and incurs cost, so an action that improves a single execution is not automatically economical across the full lifetime of a recurring pipeline. This review surveys the literature relevant to this problem across six themes: Spark configuration and execution tuning; workload-aware optimization; data compaction and small-file management; table and data-layout optimization; optimization cost and break-even analysis; and cost-aware cloud resource and analytics optimization. Each theme is examined for how it treats cost, workload-awareness, and the decision of whether an optimization should be applied at all, since this last question is the specific gap the proposed study addresses.</w:t>
      </w:r>
    </w:p>
    <w:p>
      <w:pPr>
        <w:pStyle w:val="Heading1"/>
        <w:spacing w:after="200" w:before="360"/>
      </w:pPr>
      <w:r>
        <w:rPr>
          <w:rFonts w:ascii="Times New Roman" w:cs="Times New Roman" w:eastAsia="Times New Roman" w:hAnsi="Times New Roman"/>
          <w:b/>
          <w:bCs/>
          <w:sz w:val="28"/>
          <w:szCs w:val="28"/>
        </w:rPr>
        <w:t xml:space="preserve">2. Spark Configuration and Execution Tuning</w:t>
      </w:r>
    </w:p>
    <w:p>
      <w:pPr>
        <w:spacing w:after="200" w:line="360"/>
        <w:jc w:val="both"/>
      </w:pPr>
      <w:r>
        <w:rPr>
          <w:rFonts w:ascii="Times New Roman" w:cs="Times New Roman" w:eastAsia="Times New Roman" w:hAnsi="Times New Roman"/>
          <w:sz w:val="24"/>
          <w:szCs w:val="24"/>
        </w:rPr>
        <w:t xml:space="preserve">A large body of work addresses automatic tuning of Spark's execution parameters. Nguyen et al. [1] proposed one of the earliest general frameworks for automatic Spark configuration tuning, using machine-learning-based performance-influence models to recommend parameter settings for a given application. Buchaca Prats et al. [2] addressed the high cost of repeated tuning runs by proposing a method that predicts good configurations from a single profiling run, reducing the number of executions needed to tune a job. Xin et al. [3] presented LOCAT, a low-overhead online configuration auto-tuner designed so that the tuning process itself does not degrade production performance, while Li et al. [4] proposed a generalized online tuning formulation supporting multiple simultaneous tuning goals and constraints across diverse Spark SQL workloads.</w:t>
      </w:r>
    </w:p>
    <w:p>
      <w:pPr>
        <w:spacing w:after="200" w:line="360"/>
        <w:jc w:val="both"/>
      </w:pPr>
      <w:r>
        <w:rPr>
          <w:rFonts w:ascii="Times New Roman" w:cs="Times New Roman" w:eastAsia="Times New Roman" w:hAnsi="Times New Roman"/>
          <w:sz w:val="24"/>
          <w:szCs w:val="24"/>
        </w:rPr>
        <w:t xml:space="preserve">More recent work has pushed tuning toward finer granularity and lower overhead. Lyu et al. [5] introduced a Spark optimizer that performs adaptive, fine-grained parameter tuning integrated with Adaptive Query Execution, adjusting parameters at the level of individual query stages rather than for a whole job. Li et al. [6] proposed LOFTune, which targets a favourable trade-off between tuning overhead and configuration flexibility for Spark SQL. Herodotou et al. [7] provide a comprehensive survey of automatic parameter-tuning techniques across big-data processing systems and explicitly identify cost-aware, workload-adaptive tuning as an open research direction.</w:t>
      </w:r>
    </w:p>
    <w:p>
      <w:pPr>
        <w:spacing w:after="200" w:line="360"/>
        <w:jc w:val="both"/>
      </w:pPr>
      <w:r>
        <w:rPr>
          <w:rFonts w:ascii="Times New Roman" w:cs="Times New Roman" w:eastAsia="Times New Roman" w:hAnsi="Times New Roman"/>
          <w:sz w:val="24"/>
          <w:szCs w:val="24"/>
        </w:rPr>
        <w:t xml:space="preserve">Across this theme, the common objective is execution performance, with tuning overhead treated, at most, as a search-efficiency cost to be minimised rather than as one term in an explicit economic trade-off against future workload savings. None of these works ask whether tuning a given pipeline is worthwhile in the first place given how often it will run; they instead assume tuning is desirable and focus on making it cheaper or more accurate to search for good settings. This distinction motivates the proposed study's treatment of shuffle/partition tuning (A1) as a candidate action to be selectively applied, rather than as a process to be perpetually optimised.</w:t>
      </w:r>
    </w:p>
    <w:p>
      <w:pPr>
        <w:pStyle w:val="Heading1"/>
        <w:spacing w:after="200" w:before="360"/>
      </w:pPr>
      <w:r>
        <w:rPr>
          <w:rFonts w:ascii="Times New Roman" w:cs="Times New Roman" w:eastAsia="Times New Roman" w:hAnsi="Times New Roman"/>
          <w:b/>
          <w:bCs/>
          <w:sz w:val="28"/>
          <w:szCs w:val="28"/>
        </w:rPr>
        <w:t xml:space="preserve">3. Workload-Aware Optimization Approaches</w:t>
      </w:r>
    </w:p>
    <w:p>
      <w:pPr>
        <w:spacing w:after="200" w:line="360"/>
        <w:jc w:val="both"/>
      </w:pPr>
      <w:r>
        <w:rPr>
          <w:rFonts w:ascii="Times New Roman" w:cs="Times New Roman" w:eastAsia="Times New Roman" w:hAnsi="Times New Roman"/>
          <w:sz w:val="24"/>
          <w:szCs w:val="24"/>
        </w:rPr>
        <w:t xml:space="preserve">A related line of work incorporates workload characteristics directly into optimization decisions. Shen et al. [8] proposed Rover, an online Spark SQL tuning service that uses generalized transfer learning across workloads to reduce the cost of tuning each new workload from scratch. Xue et al. [9] describe enhancements to Adaptive Query Execution for robust query execution in lakehouse systems at scale, allowing runtime statistics to drive plan adaptation. Parayil et al. [10] conducted a large-scale empirical study characterizing cloud workload properties to inform broader cloud-efficiency decisions, and Bao et al. [11] proposed a learning-based approach to automatic parameter recommendation for big-data analytics frameworks generally, using workload features as model inputs.</w:t>
      </w:r>
    </w:p>
    <w:p>
      <w:pPr>
        <w:spacing w:after="200" w:line="360"/>
        <w:jc w:val="both"/>
      </w:pPr>
      <w:r>
        <w:rPr>
          <w:rFonts w:ascii="Times New Roman" w:cs="Times New Roman" w:eastAsia="Times New Roman" w:hAnsi="Times New Roman"/>
          <w:sz w:val="24"/>
          <w:szCs w:val="24"/>
        </w:rPr>
        <w:t xml:space="preserve">These works establish that workload characteristics are a well-accepted and effective signal for driving optimization decisions, which supports the proposed study's choice to vary data volume, file fragmentation, shuffle volume, and execution frequency as controlled workload variables. However, in each case workload-awareness is used to improve or accelerate a performance-oriented search, not to determine whether the cost of applying an available optimization is justified by its expected future benefit. This is the specific direction the proposed study extends.</w:t>
      </w:r>
    </w:p>
    <w:p>
      <w:pPr>
        <w:pStyle w:val="Heading1"/>
        <w:spacing w:after="200" w:before="360"/>
      </w:pPr>
      <w:r>
        <w:rPr>
          <w:rFonts w:ascii="Times New Roman" w:cs="Times New Roman" w:eastAsia="Times New Roman" w:hAnsi="Times New Roman"/>
          <w:b/>
          <w:bCs/>
          <w:sz w:val="28"/>
          <w:szCs w:val="28"/>
        </w:rPr>
        <w:t xml:space="preserve">4. Data Compaction and Small-File Management</w:t>
      </w:r>
    </w:p>
    <w:p>
      <w:pPr>
        <w:spacing w:after="200" w:line="360"/>
        <w:jc w:val="both"/>
      </w:pPr>
      <w:r>
        <w:rPr>
          <w:rFonts w:ascii="Times New Roman" w:cs="Times New Roman" w:eastAsia="Times New Roman" w:hAnsi="Times New Roman"/>
          <w:sz w:val="24"/>
          <w:szCs w:val="24"/>
        </w:rPr>
        <w:t xml:space="preserve">File compaction, the second optimization action considered in the proposed study, has been studied both in industrial systems and in practitioner literature. Gruenheid et al. [12] present AutoComp, a production framework for automated data compaction in log-structured data-lake tables, developed from deployment experience at LinkedIn. AutoComp explicitly considers the trade-off between compaction benefit and compaction cost when deciding whether and when to compact a given table, making it the closest prior work on the specific question of compaction economics. Industry guidance, such as Goswami and Sarkar [13] for Apache Iceberg on Amazon EMR, and the official Delta Lake documentation on the OPTIMIZE bin-packing command [14], describes compaction mechanisms and recommended practice but does not offer a controlled, quantitative evaluation of when compaction becomes economically worthwhile.</w:t>
      </w:r>
    </w:p>
    <w:p>
      <w:pPr>
        <w:spacing w:after="200" w:line="360"/>
        <w:jc w:val="both"/>
      </w:pPr>
      <w:r>
        <w:rPr>
          <w:rFonts w:ascii="Times New Roman" w:cs="Times New Roman" w:eastAsia="Times New Roman" w:hAnsi="Times New Roman"/>
          <w:sz w:val="24"/>
          <w:szCs w:val="24"/>
        </w:rPr>
        <w:t xml:space="preserve">AutoComp [12] demonstrates that cost-aware compaction decision-making is both a real industrial need and an actively researched problem, which strengthens the motivation for the proposed study. The proposed study does not attempt to reproduce or replace AutoComp; rather, it treats file compaction as one of two controlled experimental actions and evaluates it, together with shuffle/partition tuning, under a shared, explicit cost-benefit and break-even model — a combination not addressed by AutoComp or the practitioner sources reviewed here.</w:t>
      </w:r>
    </w:p>
    <w:p>
      <w:pPr>
        <w:pStyle w:val="Heading1"/>
        <w:spacing w:after="200" w:before="360"/>
      </w:pPr>
      <w:r>
        <w:rPr>
          <w:rFonts w:ascii="Times New Roman" w:cs="Times New Roman" w:eastAsia="Times New Roman" w:hAnsi="Times New Roman"/>
          <w:b/>
          <w:bCs/>
          <w:sz w:val="28"/>
          <w:szCs w:val="28"/>
        </w:rPr>
        <w:t xml:space="preserve">5. Table and Data-Layout Optimization</w:t>
      </w:r>
    </w:p>
    <w:p>
      <w:pPr>
        <w:spacing w:after="200" w:line="360"/>
        <w:jc w:val="both"/>
      </w:pPr>
      <w:r>
        <w:rPr>
          <w:rFonts w:ascii="Times New Roman" w:cs="Times New Roman" w:eastAsia="Times New Roman" w:hAnsi="Times New Roman"/>
          <w:sz w:val="24"/>
          <w:szCs w:val="24"/>
        </w:rPr>
        <w:t xml:space="preserve">Closely related to compaction is the broader problem of optimizing table-level data layout. Meduri et al. [15] present PTO, a workload-driven predictive table optimizer for lakehouse systems that uses machine-learning models to predict whether applying a layout optimization, such as partitioning, target file size, or Z-ordering, will benefit a given workload before the optimization is actually applied. This is the single closest related work to the proposed study, since PTO also frames physical-layout optimization as a decision problem informed by expected workload benefit rather than as a search for the single best layout. Complementary practitioner discussion, such as the comparison of sort- and bin-pack-based compaction strategies in Apache Iceberg [16], illustrates that even within a single optimization action, multiple strategies exist with different cost-performance trade-offs, though such sources remain qualitative rather than experimentally controlled.</w:t>
      </w:r>
    </w:p>
    <w:p>
      <w:pPr>
        <w:spacing w:after="200" w:line="360"/>
        <w:jc w:val="both"/>
      </w:pPr>
      <w:r>
        <w:rPr>
          <w:rFonts w:ascii="Times New Roman" w:cs="Times New Roman" w:eastAsia="Times New Roman" w:hAnsi="Times New Roman"/>
          <w:sz w:val="24"/>
          <w:szCs w:val="24"/>
        </w:rPr>
        <w:t xml:space="preserve">PTO [15] differs from the proposed study in scope and method. It is a machine-learning predictive system trained to evaluate layout-optimization benefit at the scale of production lakehouse table catalogs, using sampling and learned cost models. The proposed study, in contrast, is a smaller controlled experiment that (a) uses a simple, interpretable, explicitly-derived cost-benefit rule rather than a trained predictive model, and (b) evaluates two different categories of optimization action together — an execution-level action (shuffle/partition tuning) and a storage-level action (compaction) — under a single, common economic objective. This combination has not been addressed by PTO or by the compaction-specific literature reviewed above.</w:t>
      </w:r>
    </w:p>
    <w:p>
      <w:pPr>
        <w:pStyle w:val="Heading1"/>
        <w:spacing w:after="200" w:before="360"/>
      </w:pPr>
      <w:r>
        <w:rPr>
          <w:rFonts w:ascii="Times New Roman" w:cs="Times New Roman" w:eastAsia="Times New Roman" w:hAnsi="Times New Roman"/>
          <w:b/>
          <w:bCs/>
          <w:sz w:val="28"/>
          <w:szCs w:val="28"/>
        </w:rPr>
        <w:t xml:space="preserve">6. Optimization Cost and Break-Even Analysis</w:t>
      </w:r>
    </w:p>
    <w:p>
      <w:pPr>
        <w:spacing w:after="200" w:line="360"/>
        <w:jc w:val="both"/>
      </w:pPr>
      <w:r>
        <w:rPr>
          <w:rFonts w:ascii="Times New Roman" w:cs="Times New Roman" w:eastAsia="Times New Roman" w:hAnsi="Times New Roman"/>
          <w:sz w:val="24"/>
          <w:szCs w:val="24"/>
        </w:rPr>
        <w:t xml:space="preserve">The theoretical foundation most directly relevant to the proposed study's cost-benefit model comes from work that explicitly treats optimization cost as something to be amortized over future executions. Fekry et al. [17], in the paper most central to this study, demonstrate empirically that the cost of tuning a big-data analytics configuration may need to be weighed against the number of future executions over which the tuning benefit will be realized, and propose a break-even perspective for deciding whether tuning is cost-effective; an extended technical version of the same system, Tuneful, is also available [18]. Sidhanta et al. [19] propose OptEx, a closed-form analytical model of Spark job execution time and cost, used to determine a cost-optimal cluster composition for a Spark job under a completion-time deadline; while OptEx models cost explicitly, it optimizes cluster sizing for a single job rather than evaluating whether an optimization action is worth applying across a recurring workload. A recent preprint by Chang [20] proposes a cross-layer decision-timing framework for cost-based database systems that derives a measurement-driven break-even point for deciding when hardware-accelerator offload is economically justified; although this work addresses CPU/GPU offload decisions in database query execution rather than Spark pipeline optimization, and remains an unpublished, single-author preprint at the time of writing, it demonstrates that the break-even-point mechanism central to the proposed study's Optimization Break-Even Point (OBEP) is an established pattern being actively applied across adjacent systems domains.</w:t>
      </w:r>
    </w:p>
    <w:p>
      <w:pPr>
        <w:spacing w:after="200" w:line="360"/>
        <w:jc w:val="both"/>
      </w:pPr>
      <w:r>
        <w:rPr>
          <w:rFonts w:ascii="Times New Roman" w:cs="Times New Roman" w:eastAsia="Times New Roman" w:hAnsi="Times New Roman"/>
          <w:sz w:val="24"/>
          <w:szCs w:val="24"/>
        </w:rPr>
        <w:t xml:space="preserve">Taken together, this group of works provides the strongest direct justification for the proposed study's central methodological choice. Fekry et al. [17], [18] establish that cost amortization over future executions is both a valid and a previously under-explored evaluation criterion for optimization decisions in data-analytics systems generally. The proposed study builds directly on this established principle, but narrows and extends it: rather than general configuration tuning, it applies the break-even framing specifically to two concrete Spark actions, shuffle/partition tuning and file compaction, evaluated jointly under a single cost objective — a combination not previously studied.</w:t>
      </w:r>
    </w:p>
    <w:p>
      <w:pPr>
        <w:pStyle w:val="Heading1"/>
        <w:spacing w:after="200" w:before="360"/>
      </w:pPr>
      <w:r>
        <w:rPr>
          <w:rFonts w:ascii="Times New Roman" w:cs="Times New Roman" w:eastAsia="Times New Roman" w:hAnsi="Times New Roman"/>
          <w:b/>
          <w:bCs/>
          <w:sz w:val="28"/>
          <w:szCs w:val="28"/>
        </w:rPr>
        <w:t xml:space="preserve">7. Cost-Aware Cloud Resource and Analytics Optimization</w:t>
      </w:r>
    </w:p>
    <w:p>
      <w:pPr>
        <w:spacing w:after="200" w:line="360"/>
        <w:jc w:val="both"/>
      </w:pPr>
      <w:r>
        <w:rPr>
          <w:rFonts w:ascii="Times New Roman" w:cs="Times New Roman" w:eastAsia="Times New Roman" w:hAnsi="Times New Roman"/>
          <w:sz w:val="24"/>
          <w:szCs w:val="24"/>
        </w:rPr>
        <w:t xml:space="preserve">A broader body of work addresses cost-aware decision-making in cloud analytics at the level of resource selection rather than pipeline-level optimization. Alipourfard et al. [21] present CherryPick, which uses Bayesian optimization to identify near-optimal cloud virtual-machine configurations for recurring big-data analytics jobs, balancing cost against a performance target. Hsu et al. [22] propose Micky, which reduces the cost of configuration search further by finding a single cloud configuration that performs near-optimally across a group of related workloads rather than optimizing each workload independently. Yadwadkar et al. [23] present PARIS, a data-driven system for selecting the best virtual-machine type across multiple public cloud providers using a hybrid offline/online performance and cost model. Mohapatra and Oh [24] propose Smartpick, a serverless-enabled data-analytics system, implemented and evaluated on Spark, that predicts workload requirements to select between serverless and virtual-machine compute resources according to cost-performance goals.</w:t>
      </w:r>
    </w:p>
    <w:p>
      <w:pPr>
        <w:spacing w:after="200" w:line="360"/>
        <w:jc w:val="both"/>
      </w:pPr>
      <w:r>
        <w:rPr>
          <w:rFonts w:ascii="Times New Roman" w:cs="Times New Roman" w:eastAsia="Times New Roman" w:hAnsi="Times New Roman"/>
          <w:sz w:val="24"/>
          <w:szCs w:val="24"/>
        </w:rPr>
        <w:t xml:space="preserve">These works confirm that cost-aware decision-making is a well-established and active concern in cloud analytics systems broadly, which supports the overall motivation for the proposed study. However, all four operate at the level of infrastructure or resource selection — choosing which virtual machine, cluster size, or compute model to use — rather than at the level of deciding whether to apply a specific pipeline-level optimization action to an already-provisioned Spark pipeline. This is a distinct decision layer from the one addressed by the proposed study, and the two are complementary rather than overlapping.</w:t>
      </w:r>
    </w:p>
    <w:p>
      <w:pPr>
        <w:pStyle w:val="Heading1"/>
        <w:spacing w:after="200" w:before="360"/>
      </w:pPr>
      <w:r>
        <w:rPr>
          <w:rFonts w:ascii="Times New Roman" w:cs="Times New Roman" w:eastAsia="Times New Roman" w:hAnsi="Times New Roman"/>
          <w:b/>
          <w:bCs/>
          <w:sz w:val="28"/>
          <w:szCs w:val="28"/>
        </w:rPr>
        <w:t xml:space="preserve">8. Synthesis and Identified Research Gap</w:t>
      </w:r>
    </w:p>
    <w:p>
      <w:pPr>
        <w:spacing w:after="200" w:line="360"/>
        <w:jc w:val="both"/>
      </w:pPr>
      <w:r>
        <w:rPr>
          <w:rFonts w:ascii="Times New Roman" w:cs="Times New Roman" w:eastAsia="Times New Roman" w:hAnsi="Times New Roman"/>
          <w:sz w:val="24"/>
          <w:szCs w:val="24"/>
        </w:rPr>
        <w:t xml:space="preserve">The literature reviewed above establishes three things clearly. First, Spark execution tuning [1]–[7] and physical data-layout/compaction optimization [12]–[16] are both mature, actively researched mechanisms in their own right, with well-known techniques and, in the case of PTO [15] and AutoComp [12], recent state-of-the-art systems that already consider optimization benefit and, to varying degrees, cost. Second, workload characteristics are a well-validated and effective signal for driving optimization decisions across this literature [8]–[11], [15]. Third, and most specific to this study, the principle of weighing optimization cost against the number of future executions to determine a break-even point has been demonstrated to be both valid and valuable in general configuration tuning [17], [18], in Spark cluster-cost modelling [19], and, most recently, in an adjacent systems domain applying an equivalent break-even mechanism to hardware-accelerator decisions [20].</w:t>
      </w:r>
    </w:p>
    <w:p>
      <w:pPr>
        <w:spacing w:after="200" w:line="360"/>
        <w:jc w:val="both"/>
      </w:pPr>
      <w:r>
        <w:rPr>
          <w:rFonts w:ascii="Times New Roman" w:cs="Times New Roman" w:eastAsia="Times New Roman" w:hAnsi="Times New Roman"/>
          <w:sz w:val="24"/>
          <w:szCs w:val="24"/>
        </w:rPr>
        <w:t xml:space="preserve">What the reviewed literature does not provide is a controlled, empirical evaluation that applies this break-even, cost-amortization principle jointly to two distinct categories of Spark optimization action — an execution-level action (shuffle/partition configuration tuning) and a storage-level action (file compaction) — under a single, explicit, interpretable cost-benefit decision rule, and that determines, for both action types together, the workload conditions and execution frequencies under which each becomes economically justified relative to a static baseline configuration. PTO [15] and AutoComp [12] address closely related questions but restrict themselves to layout/compaction decisions using predictive machine-learning models at production scale, rather than a smaller, interpretable, dual-action controlled comparison. This is the specific, focused empirical gap the proposed study addresses.</w:t>
      </w:r>
    </w:p>
    <w:p>
      <w:pPr>
        <w:pStyle w:val="Heading1"/>
        <w:spacing w:after="200" w:before="360"/>
      </w:pPr>
      <w:r>
        <w:rPr>
          <w:rFonts w:ascii="Times New Roman" w:cs="Times New Roman" w:eastAsia="Times New Roman" w:hAnsi="Times New Roman"/>
          <w:b/>
          <w:bCs/>
          <w:sz w:val="28"/>
          <w:szCs w:val="28"/>
        </w:rPr>
        <w:t xml:space="preserve">References</w:t>
      </w:r>
    </w:p>
    <w:p>
      <w:pPr>
        <w:spacing w:after="140" w:line="300"/>
        <w:ind w:left="504" w:hanging="504"/>
      </w:pPr>
      <w:r>
        <w:rPr>
          <w:rFonts w:ascii="Times New Roman" w:cs="Times New Roman" w:eastAsia="Times New Roman" w:hAnsi="Times New Roman"/>
          <w:sz w:val="22"/>
          <w:szCs w:val="22"/>
        </w:rPr>
        <w:t xml:space="preserve">[1] N. Nguyen, M. M. H. Khan, and K. Wang, "Towards automatic tuning of Apache Spark configuration," in Proc. 2018 IEEE 11th Int. Conf. Cloud Computing (CLOUD), San Francisco, CA, USA, 2018, pp. 417–425.</w:t>
      </w:r>
    </w:p>
    <w:p>
      <w:pPr>
        <w:spacing w:after="140" w:line="300"/>
        <w:ind w:left="504" w:hanging="504"/>
      </w:pPr>
      <w:r>
        <w:rPr>
          <w:rFonts w:ascii="Times New Roman" w:cs="Times New Roman" w:eastAsia="Times New Roman" w:hAnsi="Times New Roman"/>
          <w:sz w:val="22"/>
          <w:szCs w:val="22"/>
        </w:rPr>
        <w:t xml:space="preserve">[2] D. Buchaca Prats, F. Albuquerque Portella, C. H. A. Costa, and J. L. Berral, "You only run once: Spark auto-tuning from a single run," IEEE Trans. Netw. Service Manage., vol. 17, no. 4, pp. 2039–2051, Dec. 2020, doi: 10.1109/TNSM.2020.3034824.</w:t>
      </w:r>
    </w:p>
    <w:p>
      <w:pPr>
        <w:spacing w:after="140" w:line="300"/>
        <w:ind w:left="504" w:hanging="504"/>
      </w:pPr>
      <w:r>
        <w:rPr>
          <w:rFonts w:ascii="Times New Roman" w:cs="Times New Roman" w:eastAsia="Times New Roman" w:hAnsi="Times New Roman"/>
          <w:sz w:val="22"/>
          <w:szCs w:val="22"/>
        </w:rPr>
        <w:t xml:space="preserve">[3] J. Xin, K. Hwang, and Z. Yu, "LOCAT: Low-overhead online configuration auto-tuning of Spark SQL applications," in Proc. 2022 Int. Conf. Management of Data (SIGMOD '22), Philadelphia, PA, USA, 2022, pp. 1345–1358, doi: 10.1145/3514221.3526157.</w:t>
      </w:r>
    </w:p>
    <w:p>
      <w:pPr>
        <w:spacing w:after="140" w:line="300"/>
        <w:ind w:left="504" w:hanging="504"/>
      </w:pPr>
      <w:r>
        <w:rPr>
          <w:rFonts w:ascii="Times New Roman" w:cs="Times New Roman" w:eastAsia="Times New Roman" w:hAnsi="Times New Roman"/>
          <w:sz w:val="22"/>
          <w:szCs w:val="22"/>
        </w:rPr>
        <w:t xml:space="preserve">[4] Y. Li et al., "Towards general and efficient online tuning for Spark," Proc. VLDB Endow., vol. 16, no. 12, pp. 3570–3583, 2023.</w:t>
      </w:r>
    </w:p>
    <w:p>
      <w:pPr>
        <w:spacing w:after="140" w:line="300"/>
        <w:ind w:left="504" w:hanging="504"/>
      </w:pPr>
      <w:r>
        <w:rPr>
          <w:rFonts w:ascii="Times New Roman" w:cs="Times New Roman" w:eastAsia="Times New Roman" w:hAnsi="Times New Roman"/>
          <w:sz w:val="22"/>
          <w:szCs w:val="22"/>
        </w:rPr>
        <w:t xml:space="preserve">[5] C. Lyu et al., "A Spark optimizer for adaptive, fine-grained parameter tuning," Proc. VLDB Endow., vol. 17, no. 12, pp. 3565–3578, 2024, doi: 10.14778/3681954.3682021.</w:t>
      </w:r>
    </w:p>
    <w:p>
      <w:pPr>
        <w:spacing w:after="140" w:line="300"/>
        <w:ind w:left="504" w:hanging="504"/>
      </w:pPr>
      <w:r>
        <w:rPr>
          <w:rFonts w:ascii="Times New Roman" w:cs="Times New Roman" w:eastAsia="Times New Roman" w:hAnsi="Times New Roman"/>
          <w:sz w:val="22"/>
          <w:szCs w:val="22"/>
        </w:rPr>
        <w:t xml:space="preserve">[6] J. Li, J. Ye, Y. Mao, Y. Gao, and L. Chen, "LOFTune: A low-overhead and flexible approach for Spark SQL configuration tuning," IEEE Trans. Knowl. Data Eng., 2025.</w:t>
      </w:r>
    </w:p>
    <w:p>
      <w:pPr>
        <w:spacing w:after="140" w:line="300"/>
        <w:ind w:left="504" w:hanging="504"/>
      </w:pPr>
      <w:r>
        <w:rPr>
          <w:rFonts w:ascii="Times New Roman" w:cs="Times New Roman" w:eastAsia="Times New Roman" w:hAnsi="Times New Roman"/>
          <w:sz w:val="22"/>
          <w:szCs w:val="22"/>
        </w:rPr>
        <w:t xml:space="preserve">[7] H. Herodotou, Y. Chen, and J. Lu, "A survey on automatic parameter tuning for big data processing systems," ACM Comput. Surv., vol. 53, no. 2, Art. 43, pp. 1–37, Apr. 2020, doi: 10.1145/3381027.</w:t>
      </w:r>
    </w:p>
    <w:p>
      <w:pPr>
        <w:spacing w:after="140" w:line="300"/>
        <w:ind w:left="504" w:hanging="504"/>
      </w:pPr>
      <w:r>
        <w:rPr>
          <w:rFonts w:ascii="Times New Roman" w:cs="Times New Roman" w:eastAsia="Times New Roman" w:hAnsi="Times New Roman"/>
          <w:sz w:val="22"/>
          <w:szCs w:val="22"/>
        </w:rPr>
        <w:t xml:space="preserve">[8] Y. Shen et al., "Rover: An online Spark SQL tuning service via generalized transfer learning," in Proc. 29th ACM SIGKDD Conf. Knowledge Discovery and Data Mining (KDD '23), Long Beach, CA, USA, 2023, doi: 10.1145/3580305.3599953.</w:t>
      </w:r>
    </w:p>
    <w:p>
      <w:pPr>
        <w:spacing w:after="140" w:line="300"/>
        <w:ind w:left="504" w:hanging="504"/>
      </w:pPr>
      <w:r>
        <w:rPr>
          <w:rFonts w:ascii="Times New Roman" w:cs="Times New Roman" w:eastAsia="Times New Roman" w:hAnsi="Times New Roman"/>
          <w:sz w:val="22"/>
          <w:szCs w:val="22"/>
        </w:rPr>
        <w:t xml:space="preserve">[9] M. Xue et al., "Adaptive and robust query execution for lakehouses at scale," Proc. VLDB Endow., vol. 17, no. 12, pp. 3947–3959, 2024.</w:t>
      </w:r>
    </w:p>
    <w:p>
      <w:pPr>
        <w:spacing w:after="140" w:line="300"/>
        <w:ind w:left="504" w:hanging="504"/>
      </w:pPr>
      <w:r>
        <w:rPr>
          <w:rFonts w:ascii="Times New Roman" w:cs="Times New Roman" w:eastAsia="Times New Roman" w:hAnsi="Times New Roman"/>
          <w:sz w:val="22"/>
          <w:szCs w:val="22"/>
        </w:rPr>
        <w:t xml:space="preserve">[10] A. Parayil et al., "Towards workload-aware cloud efficiency: A large-scale empirical study of cloud workload characteristics," in Proc. 16th ACM/SPEC Int. Conf. Performance Engineering (ICPE '25), 2025, pp. 136–146, doi: 10.1145/3676151.3722008.</w:t>
      </w:r>
    </w:p>
    <w:p>
      <w:pPr>
        <w:spacing w:after="140" w:line="300"/>
        <w:ind w:left="504" w:hanging="504"/>
      </w:pPr>
      <w:r>
        <w:rPr>
          <w:rFonts w:ascii="Times New Roman" w:cs="Times New Roman" w:eastAsia="Times New Roman" w:hAnsi="Times New Roman"/>
          <w:sz w:val="22"/>
          <w:szCs w:val="22"/>
        </w:rPr>
        <w:t xml:space="preserve">[11] L. Bao, X. Liu, and W. Chen, "Learning-based automatic parameter tuning for big data analytics frameworks," in Proc. 2018 IEEE Int. Conf. Big Data (Big Data), Seattle, WA, USA, 2018, pp. 181–190, doi: 10.1109/BigData.2018.8622018.</w:t>
      </w:r>
    </w:p>
    <w:p>
      <w:pPr>
        <w:spacing w:after="140" w:line="300"/>
        <w:ind w:left="504" w:hanging="504"/>
      </w:pPr>
      <w:r>
        <w:rPr>
          <w:rFonts w:ascii="Times New Roman" w:cs="Times New Roman" w:eastAsia="Times New Roman" w:hAnsi="Times New Roman"/>
          <w:sz w:val="22"/>
          <w:szCs w:val="22"/>
        </w:rPr>
        <w:t xml:space="preserve">[12] A. Gruenheid et al., "AutoComp: Automated data compaction for log-structured tables in data lakes," in Companion Proc. 2025 Int. Conf. Management of Data (SIGMOD-Companion '25), 2025, pp. 404–417, doi: 10.1145/3722212.3724430.</w:t>
      </w:r>
    </w:p>
    <w:p>
      <w:pPr>
        <w:spacing w:after="140" w:line="300"/>
        <w:ind w:left="504" w:hanging="504"/>
      </w:pPr>
      <w:r>
        <w:rPr>
          <w:rFonts w:ascii="Times New Roman" w:cs="Times New Roman" w:eastAsia="Times New Roman" w:hAnsi="Times New Roman"/>
          <w:sz w:val="22"/>
          <w:szCs w:val="22"/>
        </w:rPr>
        <w:t xml:space="preserve">[13] A. Goswami and R. Sarkar, "Apache Iceberg optimization: Solving the small files problem in Amazon EMR," AWS Big Data Blog, 2023.</w:t>
      </w:r>
    </w:p>
    <w:p>
      <w:pPr>
        <w:spacing w:after="140" w:line="300"/>
        <w:ind w:left="504" w:hanging="504"/>
      </w:pPr>
      <w:r>
        <w:rPr>
          <w:rFonts w:ascii="Times New Roman" w:cs="Times New Roman" w:eastAsia="Times New Roman" w:hAnsi="Times New Roman"/>
          <w:sz w:val="22"/>
          <w:szCs w:val="22"/>
        </w:rPr>
        <w:t xml:space="preserve">[14] Delta Lake Project, "Compaction (bin-packing) — Delta Lake documentation," 2025. [Online].</w:t>
      </w:r>
    </w:p>
    <w:p>
      <w:pPr>
        <w:spacing w:after="140" w:line="300"/>
        <w:ind w:left="504" w:hanging="504"/>
      </w:pPr>
      <w:r>
        <w:rPr>
          <w:rFonts w:ascii="Times New Roman" w:cs="Times New Roman" w:eastAsia="Times New Roman" w:hAnsi="Times New Roman"/>
          <w:sz w:val="22"/>
          <w:szCs w:val="22"/>
        </w:rPr>
        <w:t xml:space="preserve">[15] V. V. Meduri, D. Kreismann, R. Barber, and B. Reinwald, "PTO: A workload-driven predictive table optimizer for lakehouse systems," Proc. ACM Manage. Data, vol. 4, no. 1, 2026, doi: 10.1145/3786681.</w:t>
      </w:r>
    </w:p>
    <w:p>
      <w:pPr>
        <w:spacing w:after="140" w:line="300"/>
        <w:ind w:left="504" w:hanging="504"/>
      </w:pPr>
      <w:r>
        <w:rPr>
          <w:rFonts w:ascii="Times New Roman" w:cs="Times New Roman" w:eastAsia="Times New Roman" w:hAnsi="Times New Roman"/>
          <w:sz w:val="22"/>
          <w:szCs w:val="22"/>
        </w:rPr>
        <w:t xml:space="preserve">[16] A. Gilad, "Cracking the ice: The battle between sort and binpack in Apache Iceberg," industry blog, 2025.</w:t>
      </w:r>
    </w:p>
    <w:p>
      <w:pPr>
        <w:spacing w:after="140" w:line="300"/>
        <w:ind w:left="504" w:hanging="504"/>
      </w:pPr>
      <w:r>
        <w:rPr>
          <w:rFonts w:ascii="Times New Roman" w:cs="Times New Roman" w:eastAsia="Times New Roman" w:hAnsi="Times New Roman"/>
          <w:sz w:val="22"/>
          <w:szCs w:val="22"/>
        </w:rPr>
        <w:t xml:space="preserve">[17] A. Fekry, L. Carata, T. Pasquier, A. Rice, and A. Hopper, "To tune or not to tune? In search of optimal configurations for data analytics," in Proc. 26th ACM SIGKDD Conf. Knowledge Discovery and Data Mining (KDD '20), 2020, pp. 2494–2504, doi: 10.1145/3394486.3403299.</w:t>
      </w:r>
    </w:p>
    <w:p>
      <w:pPr>
        <w:spacing w:after="140" w:line="300"/>
        <w:ind w:left="504" w:hanging="504"/>
      </w:pPr>
      <w:r>
        <w:rPr>
          <w:rFonts w:ascii="Times New Roman" w:cs="Times New Roman" w:eastAsia="Times New Roman" w:hAnsi="Times New Roman"/>
          <w:sz w:val="22"/>
          <w:szCs w:val="22"/>
        </w:rPr>
        <w:t xml:space="preserve">[18] A. Fekry, L. Carata, T. Pasquier, A. Rice, and A. Hopper, "Tuneful: An online significance-aware configuration tuner for big data analytics," arXiv preprint, 2020.</w:t>
      </w:r>
    </w:p>
    <w:p>
      <w:pPr>
        <w:spacing w:after="140" w:line="300"/>
        <w:ind w:left="504" w:hanging="504"/>
      </w:pPr>
      <w:r>
        <w:rPr>
          <w:rFonts w:ascii="Times New Roman" w:cs="Times New Roman" w:eastAsia="Times New Roman" w:hAnsi="Times New Roman"/>
          <w:sz w:val="22"/>
          <w:szCs w:val="22"/>
        </w:rPr>
        <w:t xml:space="preserve">[19] S. Sidhanta, W. Golab, and S. Mukhopadhyay, "OptEx: A deadline-aware cost optimization model for Spark," in Proc. 2016 16th IEEE/ACM Int. Symp. Cluster, Cloud and Grid Computing (CCGrid), Cartagena, Colombia, 2016, pp. 193–202, doi: 10.1109/CCGrid.2016.111.</w:t>
      </w:r>
    </w:p>
    <w:p>
      <w:pPr>
        <w:spacing w:after="140" w:line="300"/>
        <w:ind w:left="504" w:hanging="504"/>
      </w:pPr>
      <w:r>
        <w:rPr>
          <w:rFonts w:ascii="Times New Roman" w:cs="Times New Roman" w:eastAsia="Times New Roman" w:hAnsi="Times New Roman"/>
          <w:sz w:val="22"/>
          <w:szCs w:val="22"/>
        </w:rPr>
        <w:t xml:space="preserve">[20] I. Chang, "Cross-layer decision timing orchestration in cost-based database systems: Resolving structural temporal misalignment," arXiv preprint arXiv:2603.02253, Feb. 2026. (Unpublished preprint, not yet peer-reviewed.)</w:t>
      </w:r>
    </w:p>
    <w:p>
      <w:pPr>
        <w:spacing w:after="140" w:line="300"/>
        <w:ind w:left="504" w:hanging="504"/>
      </w:pPr>
      <w:r>
        <w:rPr>
          <w:rFonts w:ascii="Times New Roman" w:cs="Times New Roman" w:eastAsia="Times New Roman" w:hAnsi="Times New Roman"/>
          <w:sz w:val="22"/>
          <w:szCs w:val="22"/>
        </w:rPr>
        <w:t xml:space="preserve">[21] O. Alipourfard, H. H. Liu, J. Chen, S. Venkataraman, M. Yu, and M. Zhang, "CherryPick: Adaptively unearthing the best cloud configurations for big data analytics," in Proc. 14th USENIX Symp. Networked Systems Design and Implementation (NSDI '17), Boston, MA, USA, 2017, pp. 469–482.</w:t>
      </w:r>
    </w:p>
    <w:p>
      <w:pPr>
        <w:spacing w:after="140" w:line="300"/>
        <w:ind w:left="504" w:hanging="504"/>
      </w:pPr>
      <w:r>
        <w:rPr>
          <w:rFonts w:ascii="Times New Roman" w:cs="Times New Roman" w:eastAsia="Times New Roman" w:hAnsi="Times New Roman"/>
          <w:sz w:val="22"/>
          <w:szCs w:val="22"/>
        </w:rPr>
        <w:t xml:space="preserve">[22] C.-J. Hsu, V. Nair, T. Menzies, and V. Freeh, "Micky: A cheaper alternative for selecting cloud instances," in Proc. 2018 IEEE 11th Int. Conf. Cloud Computing (CLOUD), San Francisco, CA, USA, 2018.</w:t>
      </w:r>
    </w:p>
    <w:p>
      <w:pPr>
        <w:spacing w:after="140" w:line="300"/>
        <w:ind w:left="504" w:hanging="504"/>
      </w:pPr>
      <w:r>
        <w:rPr>
          <w:rFonts w:ascii="Times New Roman" w:cs="Times New Roman" w:eastAsia="Times New Roman" w:hAnsi="Times New Roman"/>
          <w:sz w:val="22"/>
          <w:szCs w:val="22"/>
        </w:rPr>
        <w:t xml:space="preserve">[23] N. J. Yadwadkar, B. Hariharan, J. E. Gonzalez, B. Smith, and R. H. Katz, "Selecting the best VM across multiple public clouds: A data-driven performance modeling approach," in Proc. 2017 Symp. Cloud Computing (SoCC '17), Santa Clara, CA, USA, 2017, pp. 452–465, doi: 10.1145/3127479.3131614.</w:t>
      </w:r>
    </w:p>
    <w:p>
      <w:pPr>
        <w:spacing w:after="140" w:line="300"/>
        <w:ind w:left="504" w:hanging="504"/>
      </w:pPr>
      <w:r>
        <w:rPr>
          <w:rFonts w:ascii="Times New Roman" w:cs="Times New Roman" w:eastAsia="Times New Roman" w:hAnsi="Times New Roman"/>
          <w:sz w:val="22"/>
          <w:szCs w:val="22"/>
        </w:rPr>
        <w:t xml:space="preserve">[24] A. Das Mohapatra and K. Oh, "Smartpick: Workload prediction for serverless-enabled scalable data analytics systems," in Proc. 24th ACM/IFIP Int. Middleware Conf. (Middleware '23), 2023, doi: 10.1145/3590140.3592850.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8"/>
        <w:szCs w:val="18"/>
      </w:rPr>
      <w:t xml:space="preserve">Literature Review — Mustaqeem Shaikh (Roll No. 9251)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2026-08-28T06:27:09.107Z</dcterms:created>
  <dcterms:modified xsi:type="dcterms:W3CDTF">2026-08-28T06:27:09.107Z</dcterms:modified>
</cp:coreProperties>
</file>

<file path=docProps/custom.xml><?xml version="1.0" encoding="utf-8"?>
<Properties xmlns="http://schemas.openxmlformats.org/officeDocument/2006/custom-properties" xmlns:vt="http://schemas.openxmlformats.org/officeDocument/2006/docPropsVTypes"/>
</file>