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5B" w:rsidRDefault="004F2366" w:rsidP="00A3475B">
      <w:pPr>
        <w:pStyle w:val="LabTitle"/>
      </w:pPr>
      <w:r>
        <w:t>Packet Tracer</w:t>
      </w:r>
      <w:r w:rsidR="003E3CB9">
        <w:t xml:space="preserve"> - </w:t>
      </w:r>
      <w:r>
        <w:t>Skills Integration Challenge</w:t>
      </w:r>
      <w:r w:rsidR="00EB60AE" w:rsidRPr="00FD4A68">
        <w:t xml:space="preserve"> </w:t>
      </w:r>
    </w:p>
    <w:p w:rsidR="00EB60AE" w:rsidRDefault="00EB60AE" w:rsidP="00EB60AE">
      <w:pPr>
        <w:pStyle w:val="LabSection"/>
      </w:pPr>
      <w:r>
        <w:t>Topology</w:t>
      </w:r>
    </w:p>
    <w:p w:rsidR="00EB60AE" w:rsidRDefault="00EC40ED" w:rsidP="00EB60AE">
      <w:pPr>
        <w:pStyle w:val="Visual"/>
      </w:pPr>
      <w:r>
        <w:rPr>
          <w:noProof/>
          <w:lang w:val="da-DK" w:eastAsia="da-DK"/>
        </w:rPr>
        <w:drawing>
          <wp:inline distT="0" distB="0" distL="0" distR="0">
            <wp:extent cx="3990975" cy="2476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7B" w:rsidRPr="00BB73FF" w:rsidRDefault="00603E7B" w:rsidP="00603E7B">
      <w:pPr>
        <w:pStyle w:val="LabSection"/>
      </w:pPr>
      <w:r w:rsidRPr="00BB73FF">
        <w:lastRenderedPageBreak/>
        <w:t>Addressing Table</w:t>
      </w:r>
    </w:p>
    <w:tbl>
      <w:tblPr>
        <w:tblW w:w="8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1084"/>
        <w:gridCol w:w="1710"/>
        <w:gridCol w:w="1800"/>
        <w:gridCol w:w="2601"/>
      </w:tblGrid>
      <w:tr w:rsidR="00500E71" w:rsidTr="004604CC">
        <w:trPr>
          <w:cantSplit/>
          <w:trHeight w:val="206"/>
          <w:jc w:val="center"/>
        </w:trPr>
        <w:tc>
          <w:tcPr>
            <w:tcW w:w="161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E87D62" w:rsidRDefault="00500E71" w:rsidP="004604CC">
            <w:pPr>
              <w:pStyle w:val="TableHeading"/>
            </w:pPr>
            <w:r w:rsidRPr="00E87D62">
              <w:t>Device</w:t>
            </w:r>
          </w:p>
        </w:tc>
        <w:tc>
          <w:tcPr>
            <w:tcW w:w="10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E87D62" w:rsidRDefault="00500E71" w:rsidP="004604CC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E87D62" w:rsidRDefault="00500E71" w:rsidP="004604CC">
            <w:pPr>
              <w:pStyle w:val="TableHeading"/>
            </w:pPr>
            <w: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E87D62" w:rsidRDefault="00500E71" w:rsidP="004604CC">
            <w:pPr>
              <w:pStyle w:val="TableHeading"/>
            </w:pPr>
            <w:r>
              <w:t>Subnet Mask</w:t>
            </w:r>
          </w:p>
        </w:tc>
        <w:tc>
          <w:tcPr>
            <w:tcW w:w="26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E87D62" w:rsidRDefault="00500E71" w:rsidP="004604CC">
            <w:pPr>
              <w:pStyle w:val="TableHeading"/>
            </w:pPr>
            <w:r w:rsidRPr="00E87D62">
              <w:t>Default Gateway</w:t>
            </w:r>
          </w:p>
        </w:tc>
      </w:tr>
      <w:tr w:rsidR="00500E71" w:rsidTr="004604CC">
        <w:trPr>
          <w:cantSplit/>
          <w:trHeight w:val="413"/>
          <w:jc w:val="center"/>
        </w:trPr>
        <w:tc>
          <w:tcPr>
            <w:tcW w:w="161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E87D62" w:rsidRDefault="00500E71" w:rsidP="00167DC7">
            <w:pPr>
              <w:pStyle w:val="TableHeading"/>
            </w:pPr>
          </w:p>
        </w:tc>
        <w:tc>
          <w:tcPr>
            <w:tcW w:w="10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E87D62" w:rsidRDefault="00500E71" w:rsidP="00167DC7">
            <w:pPr>
              <w:pStyle w:val="TableHeading"/>
            </w:pPr>
          </w:p>
        </w:tc>
        <w:tc>
          <w:tcPr>
            <w:tcW w:w="35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Default="00500E71" w:rsidP="003F0A5F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6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E87D62" w:rsidRDefault="00500E71" w:rsidP="00167DC7">
            <w:pPr>
              <w:pStyle w:val="TableHeading"/>
            </w:pPr>
          </w:p>
        </w:tc>
      </w:tr>
      <w:tr w:rsidR="0056487B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R1</w:t>
            </w:r>
          </w:p>
        </w:tc>
        <w:tc>
          <w:tcPr>
            <w:tcW w:w="1084" w:type="dxa"/>
            <w:vMerge w:val="restart"/>
            <w:vAlign w:val="center"/>
          </w:tcPr>
          <w:p w:rsidR="0056487B" w:rsidRPr="00E87D62" w:rsidRDefault="003F44FF" w:rsidP="004604CC">
            <w:pPr>
              <w:pStyle w:val="TableText"/>
            </w:pPr>
            <w:r>
              <w:t>G</w:t>
            </w:r>
            <w:r w:rsidR="0056487B">
              <w:t>0/0</w:t>
            </w:r>
          </w:p>
        </w:tc>
        <w:tc>
          <w:tcPr>
            <w:tcW w:w="1710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172.16.10</w:t>
            </w:r>
            <w:r w:rsidRPr="00726433">
              <w:t>.</w:t>
            </w:r>
            <w:r>
              <w:t>1</w:t>
            </w:r>
          </w:p>
        </w:tc>
        <w:tc>
          <w:tcPr>
            <w:tcW w:w="1800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N/A</w:t>
            </w:r>
          </w:p>
        </w:tc>
      </w:tr>
      <w:tr w:rsidR="0056487B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E87D62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56487B" w:rsidRPr="00E87D62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2001:DB8:CAFE:1</w:t>
            </w:r>
            <w:r w:rsidRPr="00073044">
              <w:t>::1/64</w:t>
            </w:r>
          </w:p>
        </w:tc>
        <w:tc>
          <w:tcPr>
            <w:tcW w:w="2601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N/A</w:t>
            </w:r>
          </w:p>
        </w:tc>
      </w:tr>
      <w:tr w:rsidR="0056487B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Default="0056487B" w:rsidP="004604CC">
            <w:pPr>
              <w:pStyle w:val="TableText"/>
            </w:pPr>
          </w:p>
        </w:tc>
        <w:tc>
          <w:tcPr>
            <w:tcW w:w="1084" w:type="dxa"/>
            <w:vMerge w:val="restart"/>
            <w:vAlign w:val="center"/>
          </w:tcPr>
          <w:p w:rsidR="0056487B" w:rsidRDefault="003F44FF" w:rsidP="004604CC">
            <w:pPr>
              <w:pStyle w:val="TableText"/>
            </w:pPr>
            <w:r>
              <w:t>G</w:t>
            </w:r>
            <w:r w:rsidR="0056487B">
              <w:t>0/1</w:t>
            </w:r>
          </w:p>
        </w:tc>
        <w:tc>
          <w:tcPr>
            <w:tcW w:w="1710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172.16.10</w:t>
            </w:r>
            <w:r w:rsidRPr="00726433">
              <w:t>.</w:t>
            </w:r>
            <w:r>
              <w:t>65</w:t>
            </w:r>
          </w:p>
        </w:tc>
        <w:tc>
          <w:tcPr>
            <w:tcW w:w="1800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N/A</w:t>
            </w:r>
          </w:p>
        </w:tc>
      </w:tr>
      <w:tr w:rsidR="0056487B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56487B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56487B" w:rsidRDefault="0056487B" w:rsidP="004604CC">
            <w:pPr>
              <w:pStyle w:val="TableText"/>
            </w:pPr>
            <w:r>
              <w:t>2001:DB8:CAFE:2</w:t>
            </w:r>
            <w:r w:rsidRPr="00073044">
              <w:t>::1/64</w:t>
            </w:r>
          </w:p>
        </w:tc>
        <w:tc>
          <w:tcPr>
            <w:tcW w:w="2601" w:type="dxa"/>
            <w:vAlign w:val="center"/>
          </w:tcPr>
          <w:p w:rsidR="0056487B" w:rsidRPr="00E87D62" w:rsidRDefault="0056487B" w:rsidP="004604CC">
            <w:pPr>
              <w:pStyle w:val="TableText"/>
            </w:pPr>
            <w:r>
              <w:t>N/A</w:t>
            </w:r>
          </w:p>
        </w:tc>
      </w:tr>
      <w:tr w:rsidR="0056487B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Default="0056487B" w:rsidP="004604CC">
            <w:pPr>
              <w:pStyle w:val="TableText"/>
            </w:pPr>
          </w:p>
        </w:tc>
        <w:tc>
          <w:tcPr>
            <w:tcW w:w="1084" w:type="dxa"/>
            <w:vAlign w:val="center"/>
          </w:tcPr>
          <w:p w:rsidR="0056487B" w:rsidRDefault="0056487B" w:rsidP="004604CC">
            <w:pPr>
              <w:pStyle w:val="TableText"/>
            </w:pPr>
            <w:r>
              <w:t>Link-local</w:t>
            </w:r>
          </w:p>
        </w:tc>
        <w:tc>
          <w:tcPr>
            <w:tcW w:w="3510" w:type="dxa"/>
            <w:gridSpan w:val="2"/>
            <w:vAlign w:val="center"/>
          </w:tcPr>
          <w:p w:rsidR="0056487B" w:rsidRPr="00726433" w:rsidDel="0056487B" w:rsidRDefault="0056487B" w:rsidP="004604CC">
            <w:pPr>
              <w:pStyle w:val="TableText"/>
            </w:pPr>
            <w:r>
              <w:t>FE80::1</w:t>
            </w:r>
          </w:p>
        </w:tc>
        <w:tc>
          <w:tcPr>
            <w:tcW w:w="2601" w:type="dxa"/>
            <w:vAlign w:val="center"/>
          </w:tcPr>
          <w:p w:rsidR="0056487B" w:rsidRDefault="0056487B" w:rsidP="004604CC">
            <w:pPr>
              <w:pStyle w:val="TableText"/>
            </w:pPr>
            <w:r>
              <w:t>N/A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Align w:val="center"/>
          </w:tcPr>
          <w:p w:rsidR="00A019DE" w:rsidRDefault="00A019DE" w:rsidP="004604CC">
            <w:pPr>
              <w:pStyle w:val="TableText"/>
            </w:pPr>
            <w:r>
              <w:t>S</w:t>
            </w:r>
            <w:r w:rsidR="004604CC">
              <w:t>1</w:t>
            </w:r>
          </w:p>
        </w:tc>
        <w:tc>
          <w:tcPr>
            <w:tcW w:w="1084" w:type="dxa"/>
            <w:vAlign w:val="center"/>
          </w:tcPr>
          <w:p w:rsidR="00A019DE" w:rsidRDefault="00A019DE" w:rsidP="004604CC">
            <w:pPr>
              <w:pStyle w:val="TableText"/>
            </w:pPr>
            <w:r>
              <w:t>VLAN1</w:t>
            </w:r>
          </w:p>
        </w:tc>
        <w:tc>
          <w:tcPr>
            <w:tcW w:w="1710" w:type="dxa"/>
            <w:vAlign w:val="center"/>
          </w:tcPr>
          <w:p w:rsidR="00A019DE" w:rsidRPr="00726433" w:rsidRDefault="0056487B" w:rsidP="004604CC">
            <w:pPr>
              <w:pStyle w:val="TableText"/>
            </w:pPr>
            <w:r>
              <w:t>172.16.10</w:t>
            </w:r>
            <w:r w:rsidR="00A019DE">
              <w:t>.62</w:t>
            </w:r>
          </w:p>
        </w:tc>
        <w:tc>
          <w:tcPr>
            <w:tcW w:w="1800" w:type="dxa"/>
            <w:vAlign w:val="center"/>
          </w:tcPr>
          <w:p w:rsidR="00A019DE" w:rsidRPr="00726433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>
              <w:t>.1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Align w:val="center"/>
          </w:tcPr>
          <w:p w:rsidR="00A019DE" w:rsidRDefault="00A019DE" w:rsidP="004604CC">
            <w:pPr>
              <w:pStyle w:val="TableText"/>
            </w:pPr>
            <w:r>
              <w:t>S</w:t>
            </w:r>
            <w:r w:rsidR="004604CC">
              <w:t>2</w:t>
            </w:r>
          </w:p>
        </w:tc>
        <w:tc>
          <w:tcPr>
            <w:tcW w:w="1084" w:type="dxa"/>
            <w:vAlign w:val="center"/>
          </w:tcPr>
          <w:p w:rsidR="00A019DE" w:rsidRDefault="00A019DE" w:rsidP="004604CC">
            <w:pPr>
              <w:pStyle w:val="TableText"/>
            </w:pPr>
            <w:r>
              <w:t>VLAN1</w:t>
            </w:r>
          </w:p>
        </w:tc>
        <w:tc>
          <w:tcPr>
            <w:tcW w:w="1710" w:type="dxa"/>
            <w:vAlign w:val="center"/>
          </w:tcPr>
          <w:p w:rsidR="00A019DE" w:rsidRPr="00726433" w:rsidRDefault="0056487B" w:rsidP="004604CC">
            <w:pPr>
              <w:pStyle w:val="TableText"/>
            </w:pPr>
            <w:r>
              <w:t>172.16.10</w:t>
            </w:r>
            <w:r w:rsidR="00A019DE">
              <w:t>.126</w:t>
            </w:r>
          </w:p>
        </w:tc>
        <w:tc>
          <w:tcPr>
            <w:tcW w:w="1800" w:type="dxa"/>
            <w:vAlign w:val="center"/>
          </w:tcPr>
          <w:p w:rsidR="00A019DE" w:rsidRPr="00726433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>
              <w:t>.</w:t>
            </w:r>
            <w:r w:rsidR="0009227D">
              <w:t>65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ManagerA</w:t>
            </w:r>
          </w:p>
        </w:tc>
        <w:tc>
          <w:tcPr>
            <w:tcW w:w="1084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 w:rsidRPr="00726433">
              <w:t>.</w:t>
            </w:r>
            <w:r w:rsidR="00A019DE">
              <w:t>3</w:t>
            </w:r>
          </w:p>
        </w:tc>
        <w:tc>
          <w:tcPr>
            <w:tcW w:w="1800" w:type="dxa"/>
            <w:vAlign w:val="center"/>
          </w:tcPr>
          <w:p w:rsidR="00A019DE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172.16.10.1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Default="0056487B" w:rsidP="004604CC">
            <w:pPr>
              <w:pStyle w:val="TableText"/>
            </w:pPr>
            <w:r>
              <w:t>2001:DB8:CAFE:1</w:t>
            </w:r>
            <w:r w:rsidR="00A019DE">
              <w:t>::3</w:t>
            </w:r>
            <w:r w:rsidR="00A019DE" w:rsidRPr="00073044">
              <w:t>/64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Fe80::1</w:t>
            </w:r>
          </w:p>
        </w:tc>
        <w:bookmarkStart w:id="0" w:name="_GoBack"/>
        <w:bookmarkEnd w:id="0"/>
      </w:tr>
      <w:tr w:rsidR="00A019DE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Accounting.pka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 w:rsidRPr="00726433">
              <w:t>.</w:t>
            </w:r>
            <w:r w:rsidR="00A019DE">
              <w:t>2</w:t>
            </w:r>
          </w:p>
        </w:tc>
        <w:tc>
          <w:tcPr>
            <w:tcW w:w="1800" w:type="dxa"/>
            <w:vAlign w:val="center"/>
          </w:tcPr>
          <w:p w:rsidR="00A019DE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172.16.10.1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Default="0056487B" w:rsidP="004604CC">
            <w:pPr>
              <w:pStyle w:val="TableText"/>
            </w:pPr>
            <w:r>
              <w:t>2001:DB8:CAFE:1</w:t>
            </w:r>
            <w:r w:rsidR="00A019DE">
              <w:t>::2</w:t>
            </w:r>
            <w:r w:rsidR="00A019DE" w:rsidRPr="00073044">
              <w:t>/64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Fe80::1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ManagerB</w:t>
            </w:r>
          </w:p>
        </w:tc>
        <w:tc>
          <w:tcPr>
            <w:tcW w:w="1084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 w:rsidRPr="00726433">
              <w:t>.</w:t>
            </w:r>
            <w:r w:rsidR="00A019DE">
              <w:t>67</w:t>
            </w:r>
          </w:p>
        </w:tc>
        <w:tc>
          <w:tcPr>
            <w:tcW w:w="1800" w:type="dxa"/>
            <w:vAlign w:val="center"/>
          </w:tcPr>
          <w:p w:rsidR="00A019DE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172.16.10.65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Default="0056487B" w:rsidP="004604CC">
            <w:pPr>
              <w:pStyle w:val="TableText"/>
            </w:pPr>
            <w:r>
              <w:t>2001:DB8:CAFE:2</w:t>
            </w:r>
            <w:r w:rsidR="00A019DE">
              <w:t>::3</w:t>
            </w:r>
            <w:r w:rsidR="00A019DE" w:rsidRPr="00073044">
              <w:t>/64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Fe80::1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Website.pka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Default="00A019DE" w:rsidP="004604CC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center"/>
          </w:tcPr>
          <w:p w:rsidR="00A019DE" w:rsidRDefault="0056487B" w:rsidP="004604CC">
            <w:pPr>
              <w:pStyle w:val="TableText"/>
            </w:pPr>
            <w:r>
              <w:t>172.16.10</w:t>
            </w:r>
            <w:r w:rsidR="00A019DE" w:rsidRPr="00726433">
              <w:t>.</w:t>
            </w:r>
            <w:r w:rsidR="00A019DE">
              <w:t>66</w:t>
            </w:r>
          </w:p>
        </w:tc>
        <w:tc>
          <w:tcPr>
            <w:tcW w:w="1800" w:type="dxa"/>
            <w:vAlign w:val="center"/>
          </w:tcPr>
          <w:p w:rsidR="00A019DE" w:rsidRDefault="00A019DE" w:rsidP="004604CC">
            <w:pPr>
              <w:pStyle w:val="TableText"/>
            </w:pPr>
            <w:r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172.16.10.65</w:t>
            </w:r>
          </w:p>
        </w:tc>
      </w:tr>
      <w:tr w:rsidR="00A019DE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Default="0056487B" w:rsidP="004604CC">
            <w:pPr>
              <w:pStyle w:val="TableText"/>
            </w:pPr>
            <w:r>
              <w:t>2001:DB8:CAFE:2</w:t>
            </w:r>
            <w:r w:rsidR="00A019DE">
              <w:t>::2</w:t>
            </w:r>
            <w:r w:rsidR="00A019DE" w:rsidRPr="00073044">
              <w:t>/64</w:t>
            </w:r>
          </w:p>
        </w:tc>
        <w:tc>
          <w:tcPr>
            <w:tcW w:w="2601" w:type="dxa"/>
            <w:vAlign w:val="center"/>
          </w:tcPr>
          <w:p w:rsidR="00A019DE" w:rsidRPr="0009227D" w:rsidRDefault="009D320C" w:rsidP="004604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Fe80::1</w:t>
            </w:r>
          </w:p>
        </w:tc>
      </w:tr>
    </w:tbl>
    <w:p w:rsidR="00EB69ED" w:rsidRPr="00C07FD9" w:rsidRDefault="00EB69ED" w:rsidP="00EB69ED">
      <w:pPr>
        <w:pStyle w:val="LabSection"/>
      </w:pPr>
      <w:r>
        <w:t>Scenario</w:t>
      </w:r>
    </w:p>
    <w:p w:rsidR="00EB69ED" w:rsidRPr="008C2EE6" w:rsidRDefault="00EB69ED" w:rsidP="00EB69ED">
      <w:pPr>
        <w:pStyle w:val="BodyTextL25"/>
        <w:rPr>
          <w:rStyle w:val="AnswerGray"/>
          <w:shd w:val="clear" w:color="auto" w:fill="auto"/>
        </w:rPr>
      </w:pPr>
      <w:r>
        <w:t>You</w:t>
      </w:r>
      <w:r w:rsidR="00307DD3">
        <w:t>r company</w:t>
      </w:r>
      <w:r>
        <w:t xml:space="preserve"> ha</w:t>
      </w:r>
      <w:r w:rsidR="00307DD3">
        <w:t>s</w:t>
      </w:r>
      <w:r>
        <w:t xml:space="preserve"> won a contract to set up a small network for </w:t>
      </w:r>
      <w:r w:rsidR="00DA3ED5">
        <w:t>a re</w:t>
      </w:r>
      <w:r w:rsidR="0056487B">
        <w:t xml:space="preserve">staurant owner. </w:t>
      </w:r>
      <w:r w:rsidR="00D50151">
        <w:t>There are two</w:t>
      </w:r>
      <w:r w:rsidR="00DA3ED5">
        <w:t xml:space="preserve"> restaurants near each other, and they all share one connection. The </w:t>
      </w:r>
      <w:r w:rsidR="004604CC">
        <w:t xml:space="preserve">equipment and cabling is installed </w:t>
      </w:r>
      <w:r w:rsidR="003D566D">
        <w:t xml:space="preserve">and the </w:t>
      </w:r>
      <w:r w:rsidR="004604CC">
        <w:t>network administrator</w:t>
      </w:r>
      <w:r w:rsidR="00DA3ED5">
        <w:t xml:space="preserve"> has designed </w:t>
      </w:r>
      <w:r w:rsidR="00307DD3">
        <w:t xml:space="preserve">the </w:t>
      </w:r>
      <w:r w:rsidR="004604CC">
        <w:t>implementation plan. You job is</w:t>
      </w:r>
      <w:r w:rsidR="0056487B">
        <w:t xml:space="preserve"> to</w:t>
      </w:r>
      <w:r w:rsidR="004604CC">
        <w:t xml:space="preserve"> implement the</w:t>
      </w:r>
      <w:r w:rsidR="003D566D">
        <w:t xml:space="preserve"> rest of the</w:t>
      </w:r>
      <w:r w:rsidR="004604CC">
        <w:t xml:space="preserve"> </w:t>
      </w:r>
      <w:r w:rsidR="003D566D">
        <w:t xml:space="preserve">addressing scheme according to the abbreviated </w:t>
      </w:r>
      <w:r w:rsidR="003D566D" w:rsidRPr="003D566D">
        <w:t>Addressing Table</w:t>
      </w:r>
      <w:r w:rsidR="003D566D">
        <w:t xml:space="preserve"> </w:t>
      </w:r>
      <w:r w:rsidR="003D566D" w:rsidRPr="003D566D">
        <w:t>and</w:t>
      </w:r>
      <w:r w:rsidR="003D566D">
        <w:t xml:space="preserve"> verify connectivity</w:t>
      </w:r>
      <w:r w:rsidR="00DA3ED5">
        <w:t>.</w:t>
      </w:r>
    </w:p>
    <w:p w:rsidR="004604CC" w:rsidRDefault="004604CC" w:rsidP="004604CC">
      <w:pPr>
        <w:pStyle w:val="LabSection"/>
      </w:pPr>
      <w:r>
        <w:t>Requirements</w:t>
      </w:r>
    </w:p>
    <w:p w:rsidR="0009227D" w:rsidRDefault="0009227D" w:rsidP="004604CC">
      <w:pPr>
        <w:pStyle w:val="Bulletlevel1"/>
      </w:pPr>
      <w:r>
        <w:t xml:space="preserve">Complete the </w:t>
      </w:r>
      <w:r>
        <w:rPr>
          <w:b/>
        </w:rPr>
        <w:t>Addressing Table</w:t>
      </w:r>
      <w:r>
        <w:t xml:space="preserve"> documentation.</w:t>
      </w:r>
    </w:p>
    <w:p w:rsidR="004604CC" w:rsidRDefault="004604CC" w:rsidP="004604CC">
      <w:pPr>
        <w:pStyle w:val="Bulletlevel1"/>
      </w:pPr>
      <w:r>
        <w:t xml:space="preserve">Configure </w:t>
      </w:r>
      <w:r w:rsidRPr="003D566D">
        <w:rPr>
          <w:b/>
        </w:rPr>
        <w:t>R1</w:t>
      </w:r>
      <w:r>
        <w:t xml:space="preserve"> with IPv4 and IPv6 </w:t>
      </w:r>
      <w:r w:rsidR="003D566D">
        <w:t>addressing.</w:t>
      </w:r>
    </w:p>
    <w:p w:rsidR="004604CC" w:rsidRDefault="004604CC" w:rsidP="004604CC">
      <w:pPr>
        <w:pStyle w:val="Bulletlevel1"/>
      </w:pPr>
      <w:r>
        <w:t xml:space="preserve">Configure </w:t>
      </w:r>
      <w:r>
        <w:rPr>
          <w:b/>
        </w:rPr>
        <w:t>S1</w:t>
      </w:r>
      <w:r>
        <w:t xml:space="preserve"> with IPv4 addressing</w:t>
      </w:r>
      <w:r w:rsidR="003D566D">
        <w:t xml:space="preserve">. </w:t>
      </w:r>
      <w:r>
        <w:rPr>
          <w:b/>
        </w:rPr>
        <w:t>S2</w:t>
      </w:r>
      <w:r>
        <w:t xml:space="preserve"> is already configured.</w:t>
      </w:r>
    </w:p>
    <w:p w:rsidR="004604CC" w:rsidRDefault="003D566D" w:rsidP="004604CC">
      <w:pPr>
        <w:pStyle w:val="Bulletlevel1"/>
      </w:pPr>
      <w:r>
        <w:t xml:space="preserve">Configure </w:t>
      </w:r>
      <w:r>
        <w:rPr>
          <w:b/>
        </w:rPr>
        <w:t>ManagerA</w:t>
      </w:r>
      <w:r>
        <w:t xml:space="preserve"> with IPv4 and IPv6 addressing. The rest of the clients are already configured.</w:t>
      </w:r>
    </w:p>
    <w:p w:rsidR="003D566D" w:rsidRDefault="003D566D" w:rsidP="004604CC">
      <w:pPr>
        <w:pStyle w:val="Bulletlevel1"/>
      </w:pPr>
      <w:r>
        <w:t xml:space="preserve">Verify connectivity. All clients should be able to ping each other and access the websites on </w:t>
      </w:r>
      <w:r>
        <w:rPr>
          <w:b/>
        </w:rPr>
        <w:t xml:space="preserve">Accounting.pka </w:t>
      </w:r>
      <w:r>
        <w:t xml:space="preserve">and </w:t>
      </w:r>
      <w:r>
        <w:rPr>
          <w:b/>
        </w:rPr>
        <w:t>Website.pka</w:t>
      </w:r>
      <w:r>
        <w:t>.</w:t>
      </w:r>
    </w:p>
    <w:p w:rsidR="00EC40ED" w:rsidRDefault="00EC40ED" w:rsidP="00EC40ED">
      <w:pPr>
        <w:pStyle w:val="LabSection"/>
      </w:pPr>
      <w:r>
        <w:t>Suggested Scoring Rubric</w:t>
      </w:r>
    </w:p>
    <w:p w:rsidR="00EC40ED" w:rsidRPr="00EC40ED" w:rsidRDefault="00EC40ED" w:rsidP="00EC40ED">
      <w:pPr>
        <w:pStyle w:val="BodyTextL25"/>
      </w:pPr>
      <w:r>
        <w:t xml:space="preserve">Packet Tracer scores 80 points. Completing the </w:t>
      </w:r>
      <w:r w:rsidRPr="00EC40ED">
        <w:rPr>
          <w:b/>
        </w:rPr>
        <w:t>Addressing Table</w:t>
      </w:r>
      <w:r>
        <w:t xml:space="preserve"> is worth 20 points.</w:t>
      </w:r>
    </w:p>
    <w:p w:rsidR="00EC40ED" w:rsidRPr="004604CC" w:rsidRDefault="00EC40ED" w:rsidP="00EC40ED">
      <w:pPr>
        <w:pStyle w:val="Bulletlevel1"/>
        <w:numPr>
          <w:ilvl w:val="0"/>
          <w:numId w:val="0"/>
        </w:numPr>
        <w:ind w:left="720" w:hanging="360"/>
      </w:pPr>
    </w:p>
    <w:sectPr w:rsidR="00EC40ED" w:rsidRPr="004604CC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2D2" w:rsidRDefault="00DE72D2" w:rsidP="0090659A">
      <w:pPr>
        <w:spacing w:after="0" w:line="240" w:lineRule="auto"/>
      </w:pPr>
      <w:r>
        <w:separator/>
      </w:r>
    </w:p>
    <w:p w:rsidR="00DE72D2" w:rsidRDefault="00DE72D2"/>
    <w:p w:rsidR="00DE72D2" w:rsidRDefault="00DE72D2"/>
    <w:p w:rsidR="00DE72D2" w:rsidRDefault="00DE72D2"/>
    <w:p w:rsidR="00DE72D2" w:rsidRDefault="00DE72D2"/>
  </w:endnote>
  <w:endnote w:type="continuationSeparator" w:id="0">
    <w:p w:rsidR="00DE72D2" w:rsidRDefault="00DE72D2" w:rsidP="0090659A">
      <w:pPr>
        <w:spacing w:after="0" w:line="240" w:lineRule="auto"/>
      </w:pPr>
      <w:r>
        <w:continuationSeparator/>
      </w:r>
    </w:p>
    <w:p w:rsidR="00DE72D2" w:rsidRDefault="00DE72D2"/>
    <w:p w:rsidR="00DE72D2" w:rsidRDefault="00DE72D2"/>
    <w:p w:rsidR="00DE72D2" w:rsidRDefault="00DE72D2"/>
    <w:p w:rsidR="00DE72D2" w:rsidRDefault="00DE7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71" w:rsidRPr="0090659A" w:rsidRDefault="00500E71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736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361A" w:rsidRPr="0090659A">
      <w:rPr>
        <w:b/>
        <w:szCs w:val="16"/>
      </w:rPr>
      <w:fldChar w:fldCharType="separate"/>
    </w:r>
    <w:r w:rsidR="009D320C">
      <w:rPr>
        <w:b/>
        <w:noProof/>
        <w:szCs w:val="16"/>
      </w:rPr>
      <w:t>2</w:t>
    </w:r>
    <w:r w:rsidR="0027361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736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361A" w:rsidRPr="0090659A">
      <w:rPr>
        <w:b/>
        <w:szCs w:val="16"/>
      </w:rPr>
      <w:fldChar w:fldCharType="separate"/>
    </w:r>
    <w:r w:rsidR="009D320C">
      <w:rPr>
        <w:b/>
        <w:noProof/>
        <w:szCs w:val="16"/>
      </w:rPr>
      <w:t>2</w:t>
    </w:r>
    <w:r w:rsidR="0027361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71" w:rsidRPr="0090659A" w:rsidRDefault="00500E71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736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7361A" w:rsidRPr="0090659A">
      <w:rPr>
        <w:b/>
        <w:szCs w:val="16"/>
      </w:rPr>
      <w:fldChar w:fldCharType="separate"/>
    </w:r>
    <w:r w:rsidR="009D320C">
      <w:rPr>
        <w:b/>
        <w:noProof/>
        <w:szCs w:val="16"/>
      </w:rPr>
      <w:t>1</w:t>
    </w:r>
    <w:r w:rsidR="0027361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736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7361A" w:rsidRPr="0090659A">
      <w:rPr>
        <w:b/>
        <w:szCs w:val="16"/>
      </w:rPr>
      <w:fldChar w:fldCharType="separate"/>
    </w:r>
    <w:r w:rsidR="009D320C">
      <w:rPr>
        <w:b/>
        <w:noProof/>
        <w:szCs w:val="16"/>
      </w:rPr>
      <w:t>2</w:t>
    </w:r>
    <w:r w:rsidR="0027361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2D2" w:rsidRDefault="00DE72D2" w:rsidP="0090659A">
      <w:pPr>
        <w:spacing w:after="0" w:line="240" w:lineRule="auto"/>
      </w:pPr>
      <w:r>
        <w:separator/>
      </w:r>
    </w:p>
    <w:p w:rsidR="00DE72D2" w:rsidRDefault="00DE72D2"/>
    <w:p w:rsidR="00DE72D2" w:rsidRDefault="00DE72D2"/>
    <w:p w:rsidR="00DE72D2" w:rsidRDefault="00DE72D2"/>
    <w:p w:rsidR="00DE72D2" w:rsidRDefault="00DE72D2"/>
  </w:footnote>
  <w:footnote w:type="continuationSeparator" w:id="0">
    <w:p w:rsidR="00DE72D2" w:rsidRDefault="00DE72D2" w:rsidP="0090659A">
      <w:pPr>
        <w:spacing w:after="0" w:line="240" w:lineRule="auto"/>
      </w:pPr>
      <w:r>
        <w:continuationSeparator/>
      </w:r>
    </w:p>
    <w:p w:rsidR="00DE72D2" w:rsidRDefault="00DE72D2"/>
    <w:p w:rsidR="00DE72D2" w:rsidRDefault="00DE72D2"/>
    <w:p w:rsidR="00DE72D2" w:rsidRDefault="00DE72D2"/>
    <w:p w:rsidR="00DE72D2" w:rsidRDefault="00DE72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71" w:rsidRDefault="00131342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E71" w:rsidRDefault="00500E71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4AEB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5CC6"/>
    <w:rsid w:val="00090C07"/>
    <w:rsid w:val="00091366"/>
    <w:rsid w:val="00091E8D"/>
    <w:rsid w:val="0009227D"/>
    <w:rsid w:val="0009378D"/>
    <w:rsid w:val="00095A9C"/>
    <w:rsid w:val="000962EF"/>
    <w:rsid w:val="00097163"/>
    <w:rsid w:val="000A22C8"/>
    <w:rsid w:val="000B1924"/>
    <w:rsid w:val="000B2344"/>
    <w:rsid w:val="000B34C8"/>
    <w:rsid w:val="000B7DE5"/>
    <w:rsid w:val="000C3610"/>
    <w:rsid w:val="000C378A"/>
    <w:rsid w:val="000C7C14"/>
    <w:rsid w:val="000D1F76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2AC5"/>
    <w:rsid w:val="00112B06"/>
    <w:rsid w:val="001133DD"/>
    <w:rsid w:val="00120CBE"/>
    <w:rsid w:val="0012734E"/>
    <w:rsid w:val="0013114E"/>
    <w:rsid w:val="00131342"/>
    <w:rsid w:val="00131D3C"/>
    <w:rsid w:val="001366EC"/>
    <w:rsid w:val="0014219C"/>
    <w:rsid w:val="001425ED"/>
    <w:rsid w:val="00154E3A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67D8"/>
    <w:rsid w:val="001B6F95"/>
    <w:rsid w:val="001C05A1"/>
    <w:rsid w:val="001C1B13"/>
    <w:rsid w:val="001C1D9E"/>
    <w:rsid w:val="001C2BC9"/>
    <w:rsid w:val="001C7C3B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34FA0"/>
    <w:rsid w:val="0024101B"/>
    <w:rsid w:val="00242E3A"/>
    <w:rsid w:val="002506CF"/>
    <w:rsid w:val="0025107F"/>
    <w:rsid w:val="00252D40"/>
    <w:rsid w:val="00257BE6"/>
    <w:rsid w:val="00260CD4"/>
    <w:rsid w:val="002639D8"/>
    <w:rsid w:val="00263FBC"/>
    <w:rsid w:val="00265F77"/>
    <w:rsid w:val="00266C83"/>
    <w:rsid w:val="0027287B"/>
    <w:rsid w:val="0027361A"/>
    <w:rsid w:val="002768DC"/>
    <w:rsid w:val="002778FC"/>
    <w:rsid w:val="0028146B"/>
    <w:rsid w:val="00283B34"/>
    <w:rsid w:val="00285D92"/>
    <w:rsid w:val="00287428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78D"/>
    <w:rsid w:val="002C6AD6"/>
    <w:rsid w:val="002D35A3"/>
    <w:rsid w:val="002D4B69"/>
    <w:rsid w:val="002D6C2A"/>
    <w:rsid w:val="002D7A86"/>
    <w:rsid w:val="002E5AB6"/>
    <w:rsid w:val="002F14F3"/>
    <w:rsid w:val="002F45FF"/>
    <w:rsid w:val="002F6D17"/>
    <w:rsid w:val="00302887"/>
    <w:rsid w:val="003056EB"/>
    <w:rsid w:val="003071FF"/>
    <w:rsid w:val="00307DD3"/>
    <w:rsid w:val="00310652"/>
    <w:rsid w:val="00312C12"/>
    <w:rsid w:val="0031371D"/>
    <w:rsid w:val="003158C9"/>
    <w:rsid w:val="0031789F"/>
    <w:rsid w:val="00320788"/>
    <w:rsid w:val="003233A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0CC8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566D"/>
    <w:rsid w:val="003E3CB9"/>
    <w:rsid w:val="003E5BE5"/>
    <w:rsid w:val="003E66E1"/>
    <w:rsid w:val="003E7E56"/>
    <w:rsid w:val="003F0721"/>
    <w:rsid w:val="003F0A5F"/>
    <w:rsid w:val="003F0B1E"/>
    <w:rsid w:val="003F18D1"/>
    <w:rsid w:val="003F44FF"/>
    <w:rsid w:val="003F4F0E"/>
    <w:rsid w:val="003F6E06"/>
    <w:rsid w:val="004008F6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04CC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B6052"/>
    <w:rsid w:val="004C0909"/>
    <w:rsid w:val="004C3B68"/>
    <w:rsid w:val="004C3F97"/>
    <w:rsid w:val="004C59EA"/>
    <w:rsid w:val="004C6601"/>
    <w:rsid w:val="004C6D02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2366"/>
    <w:rsid w:val="004F344A"/>
    <w:rsid w:val="004F4F0C"/>
    <w:rsid w:val="005005E1"/>
    <w:rsid w:val="00500E7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2148"/>
    <w:rsid w:val="00536F43"/>
    <w:rsid w:val="005374FB"/>
    <w:rsid w:val="00537BAF"/>
    <w:rsid w:val="00543769"/>
    <w:rsid w:val="005438F9"/>
    <w:rsid w:val="005440F2"/>
    <w:rsid w:val="005447CE"/>
    <w:rsid w:val="005510BA"/>
    <w:rsid w:val="005526F9"/>
    <w:rsid w:val="0055399D"/>
    <w:rsid w:val="00554B4E"/>
    <w:rsid w:val="005565A7"/>
    <w:rsid w:val="00556BD5"/>
    <w:rsid w:val="00556C02"/>
    <w:rsid w:val="00556DF8"/>
    <w:rsid w:val="00563249"/>
    <w:rsid w:val="0056487B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6E62"/>
    <w:rsid w:val="005B02C6"/>
    <w:rsid w:val="005B1920"/>
    <w:rsid w:val="005B2C05"/>
    <w:rsid w:val="005B7178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8F4"/>
    <w:rsid w:val="00644958"/>
    <w:rsid w:val="0064506A"/>
    <w:rsid w:val="0065089E"/>
    <w:rsid w:val="00657393"/>
    <w:rsid w:val="00657CC5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B9B"/>
    <w:rsid w:val="00763D8B"/>
    <w:rsid w:val="007657F6"/>
    <w:rsid w:val="00766B4E"/>
    <w:rsid w:val="0077125A"/>
    <w:rsid w:val="007724EC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A0C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27AD9"/>
    <w:rsid w:val="00830613"/>
    <w:rsid w:val="008313F3"/>
    <w:rsid w:val="008405BB"/>
    <w:rsid w:val="00842302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5F33"/>
    <w:rsid w:val="00877432"/>
    <w:rsid w:val="00877E20"/>
    <w:rsid w:val="008836A3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C22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08A7"/>
    <w:rsid w:val="008F14E2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320C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9DE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75B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43B3"/>
    <w:rsid w:val="00AB49B9"/>
    <w:rsid w:val="00AB758A"/>
    <w:rsid w:val="00AC1E7E"/>
    <w:rsid w:val="00AC4D43"/>
    <w:rsid w:val="00AC507D"/>
    <w:rsid w:val="00AC54EF"/>
    <w:rsid w:val="00AC66E4"/>
    <w:rsid w:val="00AD4578"/>
    <w:rsid w:val="00AD68E9"/>
    <w:rsid w:val="00AE3BD6"/>
    <w:rsid w:val="00AE56C0"/>
    <w:rsid w:val="00AF0942"/>
    <w:rsid w:val="00B00914"/>
    <w:rsid w:val="00B02A8E"/>
    <w:rsid w:val="00B0498D"/>
    <w:rsid w:val="00B052EE"/>
    <w:rsid w:val="00B072F7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72BB"/>
    <w:rsid w:val="00B62809"/>
    <w:rsid w:val="00B66528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D2A86"/>
    <w:rsid w:val="00BD5DA3"/>
    <w:rsid w:val="00BD6D7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2F72"/>
    <w:rsid w:val="00C90311"/>
    <w:rsid w:val="00C91C26"/>
    <w:rsid w:val="00C9207E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51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2915"/>
    <w:rsid w:val="00DC6050"/>
    <w:rsid w:val="00DE2B64"/>
    <w:rsid w:val="00DE2DFD"/>
    <w:rsid w:val="00DE6F44"/>
    <w:rsid w:val="00DE72D2"/>
    <w:rsid w:val="00DF45C1"/>
    <w:rsid w:val="00DF7C1C"/>
    <w:rsid w:val="00E037D9"/>
    <w:rsid w:val="00E03FB8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3432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B001B"/>
    <w:rsid w:val="00EB07E1"/>
    <w:rsid w:val="00EB24A9"/>
    <w:rsid w:val="00EB60AE"/>
    <w:rsid w:val="00EB69ED"/>
    <w:rsid w:val="00EB6C33"/>
    <w:rsid w:val="00EC40ED"/>
    <w:rsid w:val="00EC592D"/>
    <w:rsid w:val="00EC6B93"/>
    <w:rsid w:val="00ED0EB0"/>
    <w:rsid w:val="00ED13C0"/>
    <w:rsid w:val="00ED6019"/>
    <w:rsid w:val="00ED7830"/>
    <w:rsid w:val="00EE18CD"/>
    <w:rsid w:val="00EE3909"/>
    <w:rsid w:val="00EF25F7"/>
    <w:rsid w:val="00EF4205"/>
    <w:rsid w:val="00EF5939"/>
    <w:rsid w:val="00F01714"/>
    <w:rsid w:val="00F0258F"/>
    <w:rsid w:val="00F028CB"/>
    <w:rsid w:val="00F02D06"/>
    <w:rsid w:val="00F06FDD"/>
    <w:rsid w:val="00F10819"/>
    <w:rsid w:val="00F10CC1"/>
    <w:rsid w:val="00F11E57"/>
    <w:rsid w:val="00F16B46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C1F9E"/>
    <w:rsid w:val="00FD33AB"/>
    <w:rsid w:val="00FD4724"/>
    <w:rsid w:val="00FD4A68"/>
    <w:rsid w:val="00FD4D05"/>
    <w:rsid w:val="00FD68ED"/>
    <w:rsid w:val="00FD69AB"/>
    <w:rsid w:val="00FE21D0"/>
    <w:rsid w:val="00FE2824"/>
    <w:rsid w:val="00FE4D46"/>
    <w:rsid w:val="00FE661F"/>
    <w:rsid w:val="00FE721C"/>
    <w:rsid w:val="00FF0400"/>
    <w:rsid w:val="00FF2663"/>
    <w:rsid w:val="00FF26CA"/>
    <w:rsid w:val="00FF30E1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181C4"/>
  <w15:docId w15:val="{701419BE-9460-4F6F-B17B-C0533AF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50443"/>
  </w:style>
  <w:style w:type="character" w:styleId="Slutnotehenvisning">
    <w:name w:val="endnote reference"/>
    <w:basedOn w:val="Standardskrifttypeiafsni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4A32E-BBBB-4947-BD27-92E817FDCD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2A102-A99F-4EDA-BC20-47965929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Mustafa Shah</cp:lastModifiedBy>
  <cp:revision>3</cp:revision>
  <dcterms:created xsi:type="dcterms:W3CDTF">2013-05-24T20:34:00Z</dcterms:created>
  <dcterms:modified xsi:type="dcterms:W3CDTF">2023-11-17T11:00:00Z</dcterms:modified>
</cp:coreProperties>
</file>