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Comparativa de Windows Server 2016, 2019, y 2022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Característica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Windows Server 2016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Windows Server 2019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Windows Server 2022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Fecha de lanzamiento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Octubre de 2016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Octubre de 2018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Agosto de 2021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Ediciones principales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Standard, Datacenter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Standard, Datacenter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Standard, Datacenter, Datacenter: Azure Edition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Soporte en Azure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Sí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Sí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Sí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Novedades destacadas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Contenedores de Windows Server</w:t>
              <w:br/>
              <w:t>- Nano Server</w:t>
              <w:br/>
              <w:t>- Mejora en seguridad con Credential Guard y Device Guard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Integración con Kubernetes</w:t>
              <w:br/>
              <w:t>- Mejoras en Hyper-V</w:t>
              <w:br/>
              <w:t>- Windows Admin Center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Revisión en caliente (Hotpatch) en Azure Edition</w:t>
              <w:br/>
              <w:t>- SMB sobre QUIC en Azure Edition</w:t>
              <w:br/>
              <w:t>- Mejoras en seguridad y rendimiento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Soporte de Azure Edition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Sí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Canal de mantenimiento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LTSC (Canal de Servicio a Largo Plazo)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LTSC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LTSC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Actualizaciones de producto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 nuevas versiones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 nuevas versiones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Anuales en Azure Edition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br/>
        <w:t>Soporte de Azure para Windows Server: Azure admite la ejecución de diversas versiones de Windows Server, incluyendo 2016, 2019 y 2022. Además, Azure ofrece Windows Server Datacenter: Azure Edition, optimizada para entornos en la nube con características como la revisión en caliente y SMB sobre QUIC. Estas funcionalidades proporcionan mayor seguridad y eficiencia en operaciones en la nube. Para más detalles sobre las capacidades y soporte de Windows Server en Azure, consulta la documentación oficial de Microsoft.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LibreOffice/24.8.4.2$Linux_X86_64 LibreOffice_project/480$Build-2</Application>
  <AppVersion>15.0000</AppVersion>
  <Pages>1</Pages>
  <Words>234</Words>
  <Characters>1300</Characters>
  <CharactersWithSpaces>1501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2025-01-16T15:16:34Z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