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PHÂN TÍCH VÀ HIỆU CHỈNH CLASS DIAGRAM</w:t>
      </w:r>
    </w:p>
    <w:p>
      <w:pPr>
        <w:jc w:val="center"/>
      </w:pPr>
      <w:r>
        <w:rPr>
          <w:b/>
          <w:sz w:val="30"/>
        </w:rPr>
        <w:t>Đề tài: Xây dựng ứng dụng quản lý cửa hàng dụng cụ thể thao</w:t>
      </w:r>
    </w:p>
    <w:p>
      <w:r>
        <w:t>Căn cứ: yeucau_doan_OOP.doc.docx (tiêu chí chấm và hướng dẫn triển khai) và class-diagram.docx (12 lớp nghiệp vụ và hình sơ đồ ban đầu).</w:t>
      </w:r>
    </w:p>
    <w:p>
      <w:pPr>
        <w:pStyle w:val="Heading1"/>
      </w:pPr>
      <w:r>
        <w:t>1. Đối chiếu yêu cầu đồ án</w:t>
      </w:r>
    </w:p>
    <w:tbl>
      <w:tblPr>
        <w:tblStyle w:val="LightShading-Accent1"/>
        <w:tblW w:type="auto" w:w="0"/>
        <w:jc w:val="center"/>
        <w:tblLook w:firstColumn="1" w:firstRow="1" w:lastColumn="0" w:lastRow="0" w:noHBand="0" w:noVBand="1" w:val="04A0"/>
      </w:tblPr>
      <w:tblGrid>
        <w:gridCol w:w="7181"/>
        <w:gridCol w:w="7181"/>
        <w:gridCol w:w="7181"/>
      </w:tblGrid>
      <w:tr>
        <w:tc>
          <w:tcPr>
            <w:tcW w:type="dxa" w:w="7181"/>
          </w:tcPr>
          <w:p>
            <w:pPr>
              <w:spacing w:after="40"/>
            </w:pPr>
            <w:r>
              <w:rPr>
                <w:sz w:val="19"/>
              </w:rPr>
              <w:t>Yêu cầu chấm điểm</w:t>
            </w:r>
          </w:p>
        </w:tc>
        <w:tc>
          <w:tcPr>
            <w:tcW w:type="dxa" w:w="7181"/>
          </w:tcPr>
          <w:p>
            <w:pPr>
              <w:spacing w:after="40"/>
            </w:pPr>
            <w:r>
              <w:rPr>
                <w:sz w:val="19"/>
              </w:rPr>
              <w:t>Thiết kế sau khi điều chỉnh</w:t>
            </w:r>
          </w:p>
        </w:tc>
        <w:tc>
          <w:tcPr>
            <w:tcW w:type="dxa" w:w="7181"/>
          </w:tcPr>
          <w:p>
            <w:pPr>
              <w:spacing w:after="40"/>
            </w:pPr>
            <w:r>
              <w:rPr>
                <w:sz w:val="19"/>
              </w:rPr>
              <w:t>Vị trí kiểm chứng</w:t>
            </w:r>
          </w:p>
        </w:tc>
      </w:tr>
      <w:tr>
        <w:tc>
          <w:tcPr>
            <w:tcW w:type="dxa" w:w="7181"/>
            <w:vAlign w:val="center"/>
          </w:tcPr>
          <w:p>
            <w:pPr>
              <w:spacing w:after="40"/>
            </w:pPr>
            <w:r>
              <w:rPr>
                <w:sz w:val="19"/>
              </w:rPr>
              <w:t>Ít nhất 15 class</w:t>
            </w:r>
          </w:p>
        </w:tc>
        <w:tc>
          <w:tcPr>
            <w:tcW w:type="dxa" w:w="7181"/>
            <w:vAlign w:val="center"/>
          </w:tcPr>
          <w:p>
            <w:pPr>
              <w:spacing w:after="40"/>
            </w:pPr>
            <w:r>
              <w:rPr>
                <w:sz w:val="19"/>
              </w:rPr>
              <w:t>20 class, không tính interface và enum</w:t>
            </w:r>
          </w:p>
        </w:tc>
        <w:tc>
          <w:tcPr>
            <w:tcW w:type="dxa" w:w="7181"/>
            <w:vAlign w:val="center"/>
          </w:tcPr>
          <w:p>
            <w:pPr>
              <w:spacing w:after="40"/>
            </w:pPr>
            <w:r>
              <w:rPr>
                <w:sz w:val="19"/>
              </w:rPr>
              <w:t>Toàn bộ sơ đồ</w:t>
            </w:r>
          </w:p>
        </w:tc>
      </w:tr>
      <w:tr>
        <w:tc>
          <w:tcPr>
            <w:tcW w:type="dxa" w:w="7181"/>
            <w:vAlign w:val="center"/>
          </w:tcPr>
          <w:p>
            <w:pPr>
              <w:spacing w:after="40"/>
            </w:pPr>
            <w:r>
              <w:rPr>
                <w:sz w:val="19"/>
              </w:rPr>
              <w:t>Constructor</w:t>
            </w:r>
          </w:p>
        </w:tc>
        <w:tc>
          <w:tcPr>
            <w:tcW w:type="dxa" w:w="7181"/>
            <w:vAlign w:val="center"/>
          </w:tcPr>
          <w:p>
            <w:pPr>
              <w:spacing w:after="40"/>
            </w:pPr>
            <w:r>
              <w:rPr>
                <w:sz w:val="19"/>
              </w:rPr>
              <w:t>Mọi lớp có constructor; lớp abstract có protected/public constructor</w:t>
            </w:r>
          </w:p>
        </w:tc>
        <w:tc>
          <w:tcPr>
            <w:tcW w:type="dxa" w:w="7181"/>
            <w:vAlign w:val="center"/>
          </w:tcPr>
          <w:p>
            <w:pPr>
              <w:spacing w:after="40"/>
            </w:pPr>
            <w:r>
              <w:rPr>
                <w:sz w:val="19"/>
              </w:rPr>
              <w:t>Các ngăn phương thức của class</w:t>
            </w:r>
          </w:p>
        </w:tc>
      </w:tr>
      <w:tr>
        <w:tc>
          <w:tcPr>
            <w:tcW w:type="dxa" w:w="7181"/>
            <w:vAlign w:val="center"/>
          </w:tcPr>
          <w:p>
            <w:pPr>
              <w:spacing w:after="40"/>
            </w:pPr>
            <w:r>
              <w:rPr>
                <w:sz w:val="19"/>
              </w:rPr>
              <w:t>Kế thừa</w:t>
            </w:r>
          </w:p>
        </w:tc>
        <w:tc>
          <w:tcPr>
            <w:tcW w:type="dxa" w:w="7181"/>
            <w:vAlign w:val="center"/>
          </w:tcPr>
          <w:p>
            <w:pPr>
              <w:spacing w:after="40"/>
            </w:pPr>
            <w:r>
              <w:rPr>
                <w:sz w:val="19"/>
              </w:rPr>
              <w:t>SanPham ← GiayTheThao / QuanAoTheThao / DungCuTheThao</w:t>
            </w:r>
          </w:p>
        </w:tc>
        <w:tc>
          <w:tcPr>
            <w:tcW w:type="dxa" w:w="7181"/>
            <w:vAlign w:val="center"/>
          </w:tcPr>
          <w:p>
            <w:pPr>
              <w:spacing w:after="40"/>
            </w:pPr>
            <w:r>
              <w:rPr>
                <w:sz w:val="19"/>
              </w:rPr>
              <w:t>Trang 2</w:t>
            </w:r>
          </w:p>
        </w:tc>
      </w:tr>
      <w:tr>
        <w:tc>
          <w:tcPr>
            <w:tcW w:type="dxa" w:w="7181"/>
            <w:vAlign w:val="center"/>
          </w:tcPr>
          <w:p>
            <w:pPr>
              <w:spacing w:after="40"/>
            </w:pPr>
            <w:r>
              <w:rPr>
                <w:sz w:val="19"/>
              </w:rPr>
              <w:t>Đa hình</w:t>
            </w:r>
          </w:p>
        </w:tc>
        <w:tc>
          <w:tcPr>
            <w:tcW w:type="dxa" w:w="7181"/>
            <w:vAlign w:val="center"/>
          </w:tcPr>
          <w:p>
            <w:pPr>
              <w:spacing w:after="40"/>
            </w:pPr>
            <w:r>
              <w:rPr>
                <w:sz w:val="19"/>
              </w:rPr>
              <w:t>Hàm abstract hienThiThongTin() được override ở ba lớp con</w:t>
            </w:r>
          </w:p>
        </w:tc>
        <w:tc>
          <w:tcPr>
            <w:tcW w:type="dxa" w:w="7181"/>
            <w:vAlign w:val="center"/>
          </w:tcPr>
          <w:p>
            <w:pPr>
              <w:spacing w:after="40"/>
            </w:pPr>
            <w:r>
              <w:rPr>
                <w:sz w:val="19"/>
              </w:rPr>
              <w:t>Trang 2</w:t>
            </w:r>
          </w:p>
        </w:tc>
      </w:tr>
      <w:tr>
        <w:tc>
          <w:tcPr>
            <w:tcW w:type="dxa" w:w="7181"/>
            <w:vAlign w:val="center"/>
          </w:tcPr>
          <w:p>
            <w:pPr>
              <w:spacing w:after="40"/>
            </w:pPr>
            <w:r>
              <w:rPr>
                <w:sz w:val="19"/>
              </w:rPr>
              <w:t>Lớp mảng đối tượng (2 điểm)</w:t>
            </w:r>
          </w:p>
        </w:tc>
        <w:tc>
          <w:tcPr>
            <w:tcW w:type="dxa" w:w="7181"/>
            <w:vAlign w:val="center"/>
          </w:tcPr>
          <w:p>
            <w:pPr>
              <w:spacing w:after="40"/>
            </w:pPr>
            <w:r>
              <w:rPr>
                <w:sz w:val="19"/>
              </w:rPr>
              <w:t>DanhSachSanPham lưu SanPham[] + kích thước thực tế</w:t>
            </w:r>
          </w:p>
        </w:tc>
        <w:tc>
          <w:tcPr>
            <w:tcW w:type="dxa" w:w="7181"/>
            <w:vAlign w:val="center"/>
          </w:tcPr>
          <w:p>
            <w:pPr>
              <w:spacing w:after="40"/>
            </w:pPr>
            <w:r>
              <w:rPr>
                <w:sz w:val="19"/>
              </w:rPr>
              <w:t>Trang 2</w:t>
            </w:r>
          </w:p>
        </w:tc>
      </w:tr>
      <w:tr>
        <w:tc>
          <w:tcPr>
            <w:tcW w:type="dxa" w:w="7181"/>
            <w:vAlign w:val="center"/>
          </w:tcPr>
          <w:p>
            <w:pPr>
              <w:spacing w:after="40"/>
            </w:pPr>
            <w:r>
              <w:rPr>
                <w:sz w:val="19"/>
              </w:rPr>
              <w:t>CRUD, tìm kiếm, thống kê</w:t>
            </w:r>
          </w:p>
        </w:tc>
        <w:tc>
          <w:tcPr>
            <w:tcW w:type="dxa" w:w="7181"/>
            <w:vAlign w:val="center"/>
          </w:tcPr>
          <w:p>
            <w:pPr>
              <w:spacing w:after="40"/>
            </w:pPr>
            <w:r>
              <w:rPr>
                <w:sz w:val="19"/>
              </w:rPr>
              <w:t>Thêm 1/nhiều; sửa/xóa theo mã; tìm gần đúng; lọc theo danh mục/giá; cảnh báo tồn</w:t>
            </w:r>
          </w:p>
        </w:tc>
        <w:tc>
          <w:tcPr>
            <w:tcW w:type="dxa" w:w="7181"/>
            <w:vAlign w:val="center"/>
          </w:tcPr>
          <w:p>
            <w:pPr>
              <w:spacing w:after="40"/>
            </w:pPr>
            <w:r>
              <w:rPr>
                <w:sz w:val="19"/>
              </w:rPr>
              <w:t>Trang 2</w:t>
            </w:r>
          </w:p>
        </w:tc>
      </w:tr>
      <w:tr>
        <w:tc>
          <w:tcPr>
            <w:tcW w:type="dxa" w:w="7181"/>
            <w:vAlign w:val="center"/>
          </w:tcPr>
          <w:p>
            <w:pPr>
              <w:spacing w:after="40"/>
            </w:pPr>
            <w:r>
              <w:rPr>
                <w:sz w:val="19"/>
              </w:rPr>
              <w:t>Đọc/ghi file text</w:t>
            </w:r>
          </w:p>
        </w:tc>
        <w:tc>
          <w:tcPr>
            <w:tcW w:type="dxa" w:w="7181"/>
            <w:vAlign w:val="center"/>
          </w:tcPr>
          <w:p>
            <w:pPr>
              <w:spacing w:after="40"/>
            </w:pPr>
            <w:r>
              <w:rPr>
                <w:sz w:val="19"/>
              </w:rPr>
              <w:t>LuuTruFileText: ghi/đọc sản phẩm, hóa đơn, phiếu nhập</w:t>
            </w:r>
          </w:p>
        </w:tc>
        <w:tc>
          <w:tcPr>
            <w:tcW w:type="dxa" w:w="7181"/>
            <w:vAlign w:val="center"/>
          </w:tcPr>
          <w:p>
            <w:pPr>
              <w:spacing w:after="40"/>
            </w:pPr>
            <w:r>
              <w:rPr>
                <w:sz w:val="19"/>
              </w:rPr>
              <w:t>Trang 2–3</w:t>
            </w:r>
          </w:p>
        </w:tc>
      </w:tr>
      <w:tr>
        <w:tc>
          <w:tcPr>
            <w:tcW w:type="dxa" w:w="7181"/>
            <w:vAlign w:val="center"/>
          </w:tcPr>
          <w:p>
            <w:pPr>
              <w:spacing w:after="40"/>
            </w:pPr>
            <w:r>
              <w:rPr>
                <w:sz w:val="19"/>
              </w:rPr>
              <w:t>Static</w:t>
            </w:r>
          </w:p>
        </w:tc>
        <w:tc>
          <w:tcPr>
            <w:tcW w:type="dxa" w:w="7181"/>
            <w:vAlign w:val="center"/>
          </w:tcPr>
          <w:p>
            <w:pPr>
              <w:spacing w:after="40"/>
            </w:pPr>
            <w:r>
              <w:rPr>
                <w:sz w:val="19"/>
              </w:rPr>
              <w:t>HoaDon và PhieuNhap có bộ đếm, hàm taoMaTuDong() static</w:t>
            </w:r>
          </w:p>
        </w:tc>
        <w:tc>
          <w:tcPr>
            <w:tcW w:type="dxa" w:w="7181"/>
            <w:vAlign w:val="center"/>
          </w:tcPr>
          <w:p>
            <w:pPr>
              <w:spacing w:after="40"/>
            </w:pPr>
            <w:r>
              <w:rPr>
                <w:sz w:val="19"/>
              </w:rPr>
              <w:t>Trang 3</w:t>
            </w:r>
          </w:p>
        </w:tc>
      </w:tr>
      <w:tr>
        <w:tc>
          <w:tcPr>
            <w:tcW w:type="dxa" w:w="7181"/>
            <w:vAlign w:val="center"/>
          </w:tcPr>
          <w:p>
            <w:pPr>
              <w:spacing w:after="40"/>
            </w:pPr>
            <w:r>
              <w:rPr>
                <w:sz w:val="19"/>
              </w:rPr>
              <w:t>Abstract + interface</w:t>
            </w:r>
          </w:p>
        </w:tc>
        <w:tc>
          <w:tcPr>
            <w:tcW w:type="dxa" w:w="7181"/>
            <w:vAlign w:val="center"/>
          </w:tcPr>
          <w:p>
            <w:pPr>
              <w:spacing w:after="40"/>
            </w:pPr>
            <w:r>
              <w:rPr>
                <w:sz w:val="19"/>
              </w:rPr>
              <w:t>abstract SanPham và IQuanLyDanhSach&lt;T&gt;</w:t>
            </w:r>
          </w:p>
        </w:tc>
        <w:tc>
          <w:tcPr>
            <w:tcW w:type="dxa" w:w="7181"/>
            <w:vAlign w:val="center"/>
          </w:tcPr>
          <w:p>
            <w:pPr>
              <w:spacing w:after="40"/>
            </w:pPr>
            <w:r>
              <w:rPr>
                <w:sz w:val="19"/>
              </w:rPr>
              <w:t>Trang 2</w:t>
            </w:r>
          </w:p>
        </w:tc>
      </w:tr>
      <w:tr>
        <w:tc>
          <w:tcPr>
            <w:tcW w:type="dxa" w:w="7181"/>
            <w:vAlign w:val="center"/>
          </w:tcPr>
          <w:p>
            <w:pPr>
              <w:spacing w:after="40"/>
            </w:pPr>
            <w:r>
              <w:rPr>
                <w:sz w:val="19"/>
              </w:rPr>
              <w:t>Sáng tạo</w:t>
            </w:r>
          </w:p>
        </w:tc>
        <w:tc>
          <w:tcPr>
            <w:tcW w:type="dxa" w:w="7181"/>
            <w:vAlign w:val="center"/>
          </w:tcPr>
          <w:p>
            <w:pPr>
              <w:spacing w:after="40"/>
            </w:pPr>
            <w:r>
              <w:rPr>
                <w:sz w:val="19"/>
              </w:rPr>
              <w:t>Thống kê doanh thu, sản phẩm bán chạy, tồn kho thấp</w:t>
            </w:r>
          </w:p>
        </w:tc>
        <w:tc>
          <w:tcPr>
            <w:tcW w:type="dxa" w:w="7181"/>
            <w:vAlign w:val="center"/>
          </w:tcPr>
          <w:p>
            <w:pPr>
              <w:spacing w:after="40"/>
            </w:pPr>
            <w:r>
              <w:rPr>
                <w:sz w:val="19"/>
              </w:rPr>
              <w:t>Trang 3</w:t>
            </w:r>
          </w:p>
        </w:tc>
      </w:tr>
    </w:tbl>
    <w:p>
      <w:pPr>
        <w:pStyle w:val="Heading1"/>
      </w:pPr>
      <w:r>
        <w:t>2. Điều chỉnh từ sơ đồ ban đầu</w:t>
      </w:r>
    </w:p>
    <w:p>
      <w:r>
        <w:t>Sửa kiểu dữ liệu: soLuongTon / soLuong → int; giaBan / donGiaBan / donGiaNhap → BigDecimal; ngayLap / ngayNhap → LocalDate; danhMuc → đối tượng DanhMuc; chiTiet → List&lt;ChiTiet...&gt;. Các mã và số điện thoại dùng String.</w:t>
      </w:r>
    </w:p>
    <w:p>
      <w:r>
        <w:t>ChiTietHoaDon và ChiTietPhieuNhap lưu đơn giá tại thời điểm phát sinh. Hóa đơn có thể bán cho khách vãng lai (khachHang tùy chọn); người lập hóa đơn/phiếu nhập và nhà cung cấp của phiếu nhập là bắt buộc.</w:t>
      </w:r>
    </w:p>
    <w:p>
      <w:r>
        <w:t>Các thay đổi trên là đề xuất thiết kế bổ sung nhằm đáp ứng tiêu chí OOP; tài liệu gốc không quy định cụ thể cách tính doanh thu, trạng thái chứng từ hoặc định dạng lưu file.</w:t>
      </w:r>
    </w:p>
    <w:p>
      <w:r>
        <w:br w:type="page"/>
      </w:r>
    </w:p>
    <w:p>
      <w:pPr>
        <w:pStyle w:val="Heading1"/>
      </w:pPr>
      <w:r>
        <w:t>3. Sơ đồ tổng quan: 20 class + 1 interface + 2 enum</w:t>
      </w:r>
    </w:p>
    <w:p>
      <w:r>
        <w:drawing>
          <wp:inline xmlns:a="http://schemas.openxmlformats.org/drawingml/2006/main" xmlns:pic="http://schemas.openxmlformats.org/drawingml/2006/picture">
            <wp:extent cx="13500000" cy="7340041"/>
            <wp:docPr id="1" name="Picture 1"/>
            <wp:cNvGraphicFramePr>
              <a:graphicFrameLocks noChangeAspect="1"/>
            </wp:cNvGraphicFramePr>
            <a:graphic>
              <a:graphicData uri="http://schemas.openxmlformats.org/drawingml/2006/picture">
                <pic:pic>
                  <pic:nvPicPr>
                    <pic:cNvPr id="0" name="01_TongQuan.png"/>
                    <pic:cNvPicPr/>
                  </pic:nvPicPr>
                  <pic:blipFill>
                    <a:blip r:embed="rId9"/>
                    <a:stretch>
                      <a:fillRect/>
                    </a:stretch>
                  </pic:blipFill>
                  <pic:spPr>
                    <a:xfrm>
                      <a:off x="0" y="0"/>
                      <a:ext cx="13500000" cy="7340041"/>
                    </a:xfrm>
                    <a:prstGeom prst="rect"/>
                  </pic:spPr>
                </pic:pic>
              </a:graphicData>
            </a:graphic>
          </wp:inline>
        </w:drawing>
      </w:r>
    </w:p>
    <w:p>
      <w:r>
        <w:t>Đường kế thừa: mũi tên tam giác rỗng. Interface: nét đứt + tam giác rỗng. Composition: hình thoi đặc. Aggregation: hình thoi rỗng. Dependency: nét đứt.</w:t>
      </w:r>
    </w:p>
    <w:p>
      <w:r>
        <w:br w:type="page"/>
      </w:r>
    </w:p>
    <w:p>
      <w:pPr>
        <w:pStyle w:val="Heading1"/>
      </w:pPr>
      <w:r>
        <w:t>4. Sơ đồ chi tiết: sản phẩm, kế thừa, đa hình và lớp mảng</w:t>
      </w:r>
    </w:p>
    <w:p>
      <w:r>
        <w:drawing>
          <wp:inline xmlns:a="http://schemas.openxmlformats.org/drawingml/2006/main" xmlns:pic="http://schemas.openxmlformats.org/drawingml/2006/picture">
            <wp:extent cx="13500000" cy="5484144"/>
            <wp:docPr id="2" name="Picture 2"/>
            <wp:cNvGraphicFramePr>
              <a:graphicFrameLocks noChangeAspect="1"/>
            </wp:cNvGraphicFramePr>
            <a:graphic>
              <a:graphicData uri="http://schemas.openxmlformats.org/drawingml/2006/picture">
                <pic:pic>
                  <pic:nvPicPr>
                    <pic:cNvPr id="0" name="02_SanPham_DanhSach.png"/>
                    <pic:cNvPicPr/>
                  </pic:nvPicPr>
                  <pic:blipFill>
                    <a:blip r:embed="rId10"/>
                    <a:stretch>
                      <a:fillRect/>
                    </a:stretch>
                  </pic:blipFill>
                  <pic:spPr>
                    <a:xfrm>
                      <a:off x="0" y="0"/>
                      <a:ext cx="13500000" cy="5484144"/>
                    </a:xfrm>
                    <a:prstGeom prst="rect"/>
                  </pic:spPr>
                </pic:pic>
              </a:graphicData>
            </a:graphic>
          </wp:inline>
        </w:drawing>
      </w:r>
    </w:p>
    <w:p>
      <w:r>
        <w:t>Trọng tâm triển khai: DanhSachSanPham thực sự quản lý mảng SanPham[] gồm cả 3 loại sản phẩm; gọi hienThiThongTin() trên tham chiếu SanPham để chứng minh đa hình.</w:t>
      </w:r>
    </w:p>
    <w:p>
      <w:r>
        <w:br w:type="page"/>
      </w:r>
    </w:p>
    <w:p>
      <w:pPr>
        <w:pStyle w:val="Heading1"/>
      </w:pPr>
      <w:r>
        <w:t>5. Sơ đồ chi tiết: bán hàng, nhập hàng, tồn kho và báo cáo</w:t>
      </w:r>
    </w:p>
    <w:p>
      <w:r>
        <w:drawing>
          <wp:inline xmlns:a="http://schemas.openxmlformats.org/drawingml/2006/main" xmlns:pic="http://schemas.openxmlformats.org/drawingml/2006/picture">
            <wp:extent cx="13500000" cy="7394826"/>
            <wp:docPr id="3" name="Picture 3"/>
            <wp:cNvGraphicFramePr>
              <a:graphicFrameLocks noChangeAspect="1"/>
            </wp:cNvGraphicFramePr>
            <a:graphic>
              <a:graphicData uri="http://schemas.openxmlformats.org/drawingml/2006/picture">
                <pic:pic>
                  <pic:nvPicPr>
                    <pic:cNvPr id="0" name="03_BanHang_NhapKho.png"/>
                    <pic:cNvPicPr/>
                  </pic:nvPicPr>
                  <pic:blipFill>
                    <a:blip r:embed="rId11"/>
                    <a:stretch>
                      <a:fillRect/>
                    </a:stretch>
                  </pic:blipFill>
                  <pic:spPr>
                    <a:xfrm>
                      <a:off x="0" y="0"/>
                      <a:ext cx="13500000" cy="7394826"/>
                    </a:xfrm>
                    <a:prstGeom prst="rect"/>
                  </pic:spPr>
                </pic:pic>
              </a:graphicData>
            </a:graphic>
          </wp:inline>
        </w:drawing>
      </w:r>
    </w:p>
    <w:p>
      <w:r>
        <w:t>DichVuKho chỉ cộng/trừ tồn khi chứng từ được xác nhận; kiểm tra số lượng tồn và tránh áp dụng lặp. Chỉ tính doanh thu trên các hóa đơn đã xác nhận.</w:t>
      </w:r>
    </w:p>
    <w:p>
      <w:r>
        <w:br w:type="page"/>
      </w:r>
    </w:p>
    <w:p>
      <w:pPr>
        <w:pStyle w:val="Heading1"/>
      </w:pPr>
      <w:r>
        <w:t>6. Danh mục 20 class được đề xuất</w:t>
      </w:r>
    </w:p>
    <w:tbl>
      <w:tblPr>
        <w:tblStyle w:val="LightShading-Accent1"/>
        <w:tblW w:type="auto" w:w="0"/>
        <w:jc w:val="center"/>
        <w:tblLook w:firstColumn="1" w:firstRow="1" w:lastColumn="0" w:lastRow="0" w:noHBand="0" w:noVBand="1" w:val="04A0"/>
      </w:tblPr>
      <w:tblGrid>
        <w:gridCol w:w="7181"/>
        <w:gridCol w:w="7181"/>
        <w:gridCol w:w="7181"/>
      </w:tblGrid>
      <w:tr>
        <w:tc>
          <w:tcPr>
            <w:tcW w:type="dxa" w:w="7181"/>
          </w:tcPr>
          <w:p>
            <w:pPr>
              <w:spacing w:after="40"/>
            </w:pPr>
            <w:r>
              <w:rPr>
                <w:sz w:val="19"/>
              </w:rPr>
              <w:t>Nhóm</w:t>
            </w:r>
          </w:p>
        </w:tc>
        <w:tc>
          <w:tcPr>
            <w:tcW w:type="dxa" w:w="7181"/>
          </w:tcPr>
          <w:p>
            <w:pPr>
              <w:spacing w:after="40"/>
            </w:pPr>
            <w:r>
              <w:rPr>
                <w:sz w:val="19"/>
              </w:rPr>
              <w:t>Các lớp</w:t>
            </w:r>
          </w:p>
        </w:tc>
        <w:tc>
          <w:tcPr>
            <w:tcW w:type="dxa" w:w="7181"/>
          </w:tcPr>
          <w:p>
            <w:pPr>
              <w:spacing w:after="40"/>
            </w:pPr>
            <w:r>
              <w:rPr>
                <w:sz w:val="19"/>
              </w:rPr>
              <w:t>Số lớp</w:t>
            </w:r>
          </w:p>
        </w:tc>
      </w:tr>
      <w:tr>
        <w:tc>
          <w:tcPr>
            <w:tcW w:type="dxa" w:w="7181"/>
            <w:vAlign w:val="center"/>
          </w:tcPr>
          <w:p>
            <w:pPr>
              <w:spacing w:after="40"/>
            </w:pPr>
            <w:r>
              <w:rPr>
                <w:sz w:val="19"/>
              </w:rPr>
              <w:t>Sản phẩm + danh mục</w:t>
            </w:r>
          </w:p>
        </w:tc>
        <w:tc>
          <w:tcPr>
            <w:tcW w:type="dxa" w:w="7181"/>
            <w:vAlign w:val="center"/>
          </w:tcPr>
          <w:p>
            <w:pPr>
              <w:spacing w:after="40"/>
            </w:pPr>
            <w:r>
              <w:rPr>
                <w:sz w:val="19"/>
              </w:rPr>
              <w:t>SanPham (abstract), GiayTheThao, QuanAoTheThao, DungCuTheThao, DanhMuc</w:t>
            </w:r>
          </w:p>
        </w:tc>
        <w:tc>
          <w:tcPr>
            <w:tcW w:type="dxa" w:w="7181"/>
            <w:vAlign w:val="center"/>
          </w:tcPr>
          <w:p>
            <w:pPr>
              <w:spacing w:after="40"/>
            </w:pPr>
            <w:r>
              <w:rPr>
                <w:sz w:val="19"/>
              </w:rPr>
              <w:t>5</w:t>
            </w:r>
          </w:p>
        </w:tc>
      </w:tr>
      <w:tr>
        <w:tc>
          <w:tcPr>
            <w:tcW w:type="dxa" w:w="7181"/>
            <w:vAlign w:val="center"/>
          </w:tcPr>
          <w:p>
            <w:pPr>
              <w:spacing w:after="40"/>
            </w:pPr>
            <w:r>
              <w:rPr>
                <w:sz w:val="19"/>
              </w:rPr>
              <w:t>Chủ thể nghiệp vụ</w:t>
            </w:r>
          </w:p>
        </w:tc>
        <w:tc>
          <w:tcPr>
            <w:tcW w:type="dxa" w:w="7181"/>
            <w:vAlign w:val="center"/>
          </w:tcPr>
          <w:p>
            <w:pPr>
              <w:spacing w:after="40"/>
            </w:pPr>
            <w:r>
              <w:rPr>
                <w:sz w:val="19"/>
              </w:rPr>
              <w:t>KhachHang, NhanVien, NhaCungCap</w:t>
            </w:r>
          </w:p>
        </w:tc>
        <w:tc>
          <w:tcPr>
            <w:tcW w:type="dxa" w:w="7181"/>
            <w:vAlign w:val="center"/>
          </w:tcPr>
          <w:p>
            <w:pPr>
              <w:spacing w:after="40"/>
            </w:pPr>
            <w:r>
              <w:rPr>
                <w:sz w:val="19"/>
              </w:rPr>
              <w:t>3</w:t>
            </w:r>
          </w:p>
        </w:tc>
      </w:tr>
      <w:tr>
        <w:tc>
          <w:tcPr>
            <w:tcW w:type="dxa" w:w="7181"/>
            <w:vAlign w:val="center"/>
          </w:tcPr>
          <w:p>
            <w:pPr>
              <w:spacing w:after="40"/>
            </w:pPr>
            <w:r>
              <w:rPr>
                <w:sz w:val="19"/>
              </w:rPr>
              <w:t>Chứng từ</w:t>
            </w:r>
          </w:p>
        </w:tc>
        <w:tc>
          <w:tcPr>
            <w:tcW w:type="dxa" w:w="7181"/>
            <w:vAlign w:val="center"/>
          </w:tcPr>
          <w:p>
            <w:pPr>
              <w:spacing w:after="40"/>
            </w:pPr>
            <w:r>
              <w:rPr>
                <w:sz w:val="19"/>
              </w:rPr>
              <w:t>HoaDon, ChiTietHoaDon, PhieuNhap, ChiTietPhieuNhap</w:t>
            </w:r>
          </w:p>
        </w:tc>
        <w:tc>
          <w:tcPr>
            <w:tcW w:type="dxa" w:w="7181"/>
            <w:vAlign w:val="center"/>
          </w:tcPr>
          <w:p>
            <w:pPr>
              <w:spacing w:after="40"/>
            </w:pPr>
            <w:r>
              <w:rPr>
                <w:sz w:val="19"/>
              </w:rPr>
              <w:t>4</w:t>
            </w:r>
          </w:p>
        </w:tc>
      </w:tr>
      <w:tr>
        <w:tc>
          <w:tcPr>
            <w:tcW w:type="dxa" w:w="7181"/>
            <w:vAlign w:val="center"/>
          </w:tcPr>
          <w:p>
            <w:pPr>
              <w:spacing w:after="40"/>
            </w:pPr>
            <w:r>
              <w:rPr>
                <w:sz w:val="19"/>
              </w:rPr>
              <w:t>Danh sách</w:t>
            </w:r>
          </w:p>
        </w:tc>
        <w:tc>
          <w:tcPr>
            <w:tcW w:type="dxa" w:w="7181"/>
            <w:vAlign w:val="center"/>
          </w:tcPr>
          <w:p>
            <w:pPr>
              <w:spacing w:after="40"/>
            </w:pPr>
            <w:r>
              <w:rPr>
                <w:sz w:val="19"/>
              </w:rPr>
              <w:t>DanhSachSanPham, DanhSachKhachHang, DanhSachNhaCungCap, DanhSachHoaDon, DanhSachPhieuNhap</w:t>
            </w:r>
          </w:p>
        </w:tc>
        <w:tc>
          <w:tcPr>
            <w:tcW w:type="dxa" w:w="7181"/>
            <w:vAlign w:val="center"/>
          </w:tcPr>
          <w:p>
            <w:pPr>
              <w:spacing w:after="40"/>
            </w:pPr>
            <w:r>
              <w:rPr>
                <w:sz w:val="19"/>
              </w:rPr>
              <w:t>5</w:t>
            </w:r>
          </w:p>
        </w:tc>
      </w:tr>
      <w:tr>
        <w:tc>
          <w:tcPr>
            <w:tcW w:type="dxa" w:w="7181"/>
            <w:vAlign w:val="center"/>
          </w:tcPr>
          <w:p>
            <w:pPr>
              <w:spacing w:after="40"/>
            </w:pPr>
            <w:r>
              <w:rPr>
                <w:sz w:val="19"/>
              </w:rPr>
              <w:t>Dịch vụ</w:t>
            </w:r>
          </w:p>
        </w:tc>
        <w:tc>
          <w:tcPr>
            <w:tcW w:type="dxa" w:w="7181"/>
            <w:vAlign w:val="center"/>
          </w:tcPr>
          <w:p>
            <w:pPr>
              <w:spacing w:after="40"/>
            </w:pPr>
            <w:r>
              <w:rPr>
                <w:sz w:val="19"/>
              </w:rPr>
              <w:t>DichVuKho, LuuTruFileText, BaoCaoThongKe</w:t>
            </w:r>
          </w:p>
        </w:tc>
        <w:tc>
          <w:tcPr>
            <w:tcW w:type="dxa" w:w="7181"/>
            <w:vAlign w:val="center"/>
          </w:tcPr>
          <w:p>
            <w:pPr>
              <w:spacing w:after="40"/>
            </w:pPr>
            <w:r>
              <w:rPr>
                <w:sz w:val="19"/>
              </w:rPr>
              <w:t>3</w:t>
            </w:r>
          </w:p>
        </w:tc>
      </w:tr>
      <w:tr>
        <w:tc>
          <w:tcPr>
            <w:tcW w:type="dxa" w:w="7181"/>
            <w:vAlign w:val="center"/>
          </w:tcPr>
          <w:p>
            <w:pPr>
              <w:spacing w:after="40"/>
            </w:pPr>
            <w:r>
              <w:rPr>
                <w:sz w:val="19"/>
              </w:rPr>
              <w:t>Không tính là class</w:t>
            </w:r>
          </w:p>
        </w:tc>
        <w:tc>
          <w:tcPr>
            <w:tcW w:type="dxa" w:w="7181"/>
            <w:vAlign w:val="center"/>
          </w:tcPr>
          <w:p>
            <w:pPr>
              <w:spacing w:after="40"/>
            </w:pPr>
            <w:r>
              <w:rPr>
                <w:sz w:val="19"/>
              </w:rPr>
              <w:t>IQuanLyDanhSach&lt;T&gt; (interface); TrangThaiHoaDon và TrangThaiPhieuNhap (enum)</w:t>
            </w:r>
          </w:p>
        </w:tc>
        <w:tc>
          <w:tcPr>
            <w:tcW w:type="dxa" w:w="7181"/>
            <w:vAlign w:val="center"/>
          </w:tcPr>
          <w:p>
            <w:pPr>
              <w:spacing w:after="40"/>
            </w:pPr>
            <w:r>
              <w:rPr>
                <w:sz w:val="19"/>
              </w:rPr>
              <w:t>—</w:t>
            </w:r>
          </w:p>
        </w:tc>
      </w:tr>
      <w:tr>
        <w:tc>
          <w:tcPr>
            <w:tcW w:type="dxa" w:w="7181"/>
            <w:vAlign w:val="center"/>
          </w:tcPr>
          <w:p>
            <w:pPr>
              <w:spacing w:after="40"/>
            </w:pPr>
            <w:r>
              <w:rPr>
                <w:sz w:val="19"/>
              </w:rPr>
              <w:t>Tổng</w:t>
            </w:r>
          </w:p>
        </w:tc>
        <w:tc>
          <w:tcPr>
            <w:tcW w:type="dxa" w:w="7181"/>
            <w:vAlign w:val="center"/>
          </w:tcPr>
          <w:p>
            <w:pPr>
              <w:spacing w:after="40"/>
            </w:pPr>
            <w:r>
              <w:rPr>
                <w:sz w:val="19"/>
              </w:rPr>
              <w:t>20 class</w:t>
            </w:r>
          </w:p>
        </w:tc>
        <w:tc>
          <w:tcPr>
            <w:tcW w:type="dxa" w:w="7181"/>
            <w:vAlign w:val="center"/>
          </w:tcPr>
          <w:p>
            <w:pPr>
              <w:spacing w:after="40"/>
            </w:pPr>
            <w:r>
              <w:rPr>
                <w:sz w:val="19"/>
              </w:rPr>
              <w:t>20</w:t>
            </w:r>
          </w:p>
        </w:tc>
      </w:tr>
    </w:tbl>
    <w:p>
      <w:pPr>
        <w:pStyle w:val="Heading1"/>
      </w:pPr>
      <w:r>
        <w:t>7. Luồng nghiệp vụ và ràng buộc chính</w:t>
      </w:r>
    </w:p>
    <w:p>
      <w:r>
        <w:t>• Nhập hàng: tạo PhieuNhap → thêm ChiTietPhieuNhap → tính tiền → xác nhận qua DichVuKho → tăng số lượng tồn đúng một lần.</w:t>
      </w:r>
    </w:p>
    <w:p>
      <w:r>
        <w:t>• Bán hàng: tạo HoaDon → thêm ChiTietHoaDon → kiểm tra tồn → xác nhận → giảm số lượng tồn đúng một lần.</w:t>
      </w:r>
    </w:p>
    <w:p>
      <w:r>
        <w:t>• DanhSachSanPham: không cho trùng maSanPham; không cho soLuong hoặc gia âm; hỗ trợ tìm gần đúng và thống kê theo nhiều tiêu chí.</w:t>
      </w:r>
    </w:p>
    <w:p>
      <w:r>
        <w:t>• Lưu dữ liệu: dùng UTF-8; lưu mã, loại sản phẩm và quan hệ bằng mã ID; lúc đọc phải dựng lại đúng loại đối tượng và tham chiếu.</w:t>
      </w:r>
    </w:p>
    <w:p>
      <w:r>
        <w:t>• Chứng từ đã xác nhận: không xóa trực tiếp vì sẽ sai lịch sử và số liệu tồn kho. Cần quy trình hoàn tác/đảo giao dịch nếu mở rộng.</w:t>
      </w:r>
    </w:p>
    <w:p>
      <w:r>
        <w:t>• Tự động tạo mã: sau khi đọc file, khôi phục giá trị bộ đếm static để tránh trùng mã.</w:t>
      </w:r>
    </w:p>
    <w:p>
      <w:pPr>
        <w:pStyle w:val="Heading1"/>
      </w:pPr>
      <w:r>
        <w:t>8. Phạm vi và lưu ý bảo vệ đồ án</w:t>
      </w:r>
    </w:p>
    <w:p>
      <w:r>
        <w:t>Sơ đồ này là bản đề xuất để trình giảng viên chỉnh sửa tiếp, chưa phải yêu cầu nghiệp vụ được phê duyệt. Khi code Java cần viết đầy đủ chữ ký constructor đang rút gọn thành (...), cài đặt và sử dụng interface thật, và viết test cho các thao tác quản lý mảng, luồng bán/nhập, đọc/ghi text.</w:t>
      </w:r>
    </w:p>
    <w:p>
      <w:r>
        <w:t>Các nguồn: yeucau_doan_OOP.doc.docx, trang 1 và 3; class-diagram.docx, trang 1–3.</w:t>
      </w:r>
    </w:p>
    <w:sectPr w:rsidR="00FC693F" w:rsidRPr="0006063C" w:rsidSect="00034616">
      <w:footerReference w:type="default" r:id="rId12"/>
      <w:pgSz w:w="23811" w:h="16838" w:orient="landscape"/>
      <w:pgMar w:top="850" w:right="1134" w:bottom="822"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ĐỒ ÁN OOP  •  THIẾT KẾ ĐỀ XUẤT  •  THÁNG 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2534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40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940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940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