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9488"/>
          <w:sz w:val="48"/>
        </w:rPr>
        <w:t>THINKER HUB</w:t>
      </w:r>
    </w:p>
    <w:p>
      <w:r>
        <w:rPr>
          <w:b/>
          <w:color w:val="0F172A"/>
          <w:sz w:val="32"/>
        </w:rPr>
        <w:t>Course Structure &amp; Curriculum Specification Guide for Instructors</w:t>
      </w:r>
    </w:p>
    <w:p>
      <w:r>
        <w:rPr>
          <w:i/>
          <w:color w:val="64748B"/>
          <w:sz w:val="19"/>
        </w:rPr>
        <w:t>Document Version 2.4 | Academic Year 2026/2027 | Audience: Faculty, Instructors, Course Creators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4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b/>
                <w:color w:val="166534"/>
                <w:sz w:val="21"/>
              </w:rPr>
              <w:t>FACULTY STANDARD OF EXCELLENCE</w:t>
              <w:br/>
            </w:r>
            <w:r>
              <w:rPr>
                <w:sz w:val="20"/>
              </w:rPr>
              <w:t>At Thinker HUB, courses are outcome-driven, project-based, and mastery-focused. Instructors act as live industry mentors rather than passive video narrators. Every syllabus must empower students to graduate with production-grade portfolio artifacts, verified through continuous formative quizzes and hands-on coding/design challenges.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0D9488"/>
          <w:sz w:val="28"/>
        </w:rPr>
        <w:t>1.0 Architectural Overview of a Thinker HUB Course</w:t>
      </w:r>
    </w:p>
    <w:p>
      <w:pPr>
        <w:spacing w:after="80" w:line="276" w:lineRule="auto"/>
      </w:pPr>
      <w:r>
        <w:rPr>
          <w:sz w:val="20"/>
        </w:rPr>
        <w:t>Every course published in the Thinker HUB catalog is structured around 6 foundational layers to maximize student comprehension, engagement, and career readiness:</w:t>
      </w:r>
    </w:p>
    <w:p>
      <w:pPr>
        <w:pStyle w:val="ListNumber"/>
      </w:pPr>
      <w:r>
        <w:t>1. Course Identity &amp; Metadata: Title, Unique Code, Short Summary, Narrative Overview, Cover Graphic.</w:t>
      </w:r>
    </w:p>
    <w:p>
      <w:pPr>
        <w:pStyle w:val="ListNumber"/>
      </w:pPr>
      <w:r>
        <w:t>2. Multi-Tier Fee &amp; Delivery Matrix: Group Cohorts (max 15) vs. 1-on-1 Mentorship across Beginner, Intermediate, and Advanced tiers.</w:t>
      </w:r>
    </w:p>
    <w:p>
      <w:pPr>
        <w:pStyle w:val="ListNumber"/>
      </w:pPr>
      <w:r>
        <w:t>3. Prerequisites &amp; 3-Tier Progression: Hardware/software specs and clear milestones from Beginner to Advanced.</w:t>
      </w:r>
    </w:p>
    <w:p>
      <w:pPr>
        <w:pStyle w:val="ListNumber"/>
      </w:pPr>
      <w:r>
        <w:t>4. Modular Sections &amp; Sequential Lessons: Structured modules with video lectures, reading guides, and hands-on laboratory workshops.</w:t>
      </w:r>
    </w:p>
    <w:p>
      <w:pPr>
        <w:pStyle w:val="ListNumber"/>
      </w:pPr>
      <w:r>
        <w:t>5. Continuous Assessments &amp; Grading: Formative quizzes (MCQs/Theory/Code) and practical homework assignments with rubrics.</w:t>
      </w:r>
    </w:p>
    <w:p>
      <w:pPr>
        <w:pStyle w:val="ListNumber"/>
      </w:pPr>
      <w:r>
        <w:t>6. Live Cohorts &amp; Capstone Project: Scheduled live mentorship sessions and a verifiable graduation portfolio project.</w:t>
      </w:r>
    </w:p>
    <w:p>
      <w:pPr>
        <w:spacing w:before="280" w:after="80"/>
      </w:pPr>
      <w:r>
        <w:rPr>
          <w:b/>
          <w:color w:val="0D9488"/>
          <w:sz w:val="28"/>
        </w:rPr>
        <w:t>2.0 Detailed Field Specifications &amp; Standards</w:t>
      </w:r>
    </w:p>
    <w:p>
      <w:pPr>
        <w:spacing w:before="200" w:after="60"/>
      </w:pPr>
      <w:r>
        <w:rPr>
          <w:b/>
          <w:color w:val="0F172A"/>
          <w:sz w:val="24"/>
        </w:rPr>
        <w:t>2.1 Course Identification</w:t>
      </w:r>
    </w:p>
    <w:p>
      <w:pPr>
        <w:spacing w:after="80" w:line="276" w:lineRule="auto"/>
      </w:pPr>
      <w:r>
        <w:rPr>
          <w:b/>
          <w:sz w:val="20"/>
        </w:rPr>
        <w:t xml:space="preserve">Course Title: </w:t>
      </w:r>
      <w:r>
        <w:rPr>
          <w:sz w:val="20"/>
        </w:rPr>
        <w:t>Must be engaging and action-oriented (e.g. "Full-Stack Web Development Mastery: From Zero to Cloud Deployed"). Avoid generic titles like "Web Basics".</w:t>
      </w:r>
    </w:p>
    <w:p>
      <w:pPr>
        <w:spacing w:after="80" w:line="276" w:lineRule="auto"/>
      </w:pPr>
      <w:r>
        <w:rPr>
          <w:b/>
          <w:sz w:val="20"/>
        </w:rPr>
        <w:t xml:space="preserve">Course Code: </w:t>
      </w:r>
      <w:r>
        <w:rPr>
          <w:sz w:val="20"/>
        </w:rPr>
        <w:t>A unique uppercase identifier (2 to 5 letters + 3 numbers, e.g., WEB-101, PY-201, DATA-301). This code links courses, quizzes, and sessions during bulk imports.</w:t>
      </w:r>
    </w:p>
    <w:p>
      <w:pPr>
        <w:spacing w:after="80" w:line="276" w:lineRule="auto"/>
      </w:pPr>
      <w:r>
        <w:rPr>
          <w:b/>
          <w:sz w:val="20"/>
        </w:rPr>
        <w:t xml:space="preserve">Short Description: </w:t>
      </w:r>
      <w:r>
        <w:rPr>
          <w:sz w:val="20"/>
        </w:rPr>
        <w:t>A concise 1 to 3 sentence elevator pitch for student catalog cards.</w:t>
      </w:r>
    </w:p>
    <w:p>
      <w:pPr>
        <w:spacing w:after="80" w:line="276" w:lineRule="auto"/>
      </w:pPr>
      <w:r>
        <w:rPr>
          <w:b/>
          <w:sz w:val="20"/>
        </w:rPr>
        <w:t xml:space="preserve">Detailed Overview: </w:t>
      </w:r>
      <w:r>
        <w:rPr>
          <w:sz w:val="20"/>
        </w:rPr>
        <w:t>A comprehensive 2 to 4 paragraph narrative displayed in the student syllabus modal explaining philosophy, teaching pedagogy, target learner background, and real-world applicability.</w:t>
      </w:r>
    </w:p>
    <w:p>
      <w:pPr>
        <w:spacing w:after="80" w:line="276" w:lineRule="auto"/>
      </w:pPr>
      <w:r>
        <w:rPr>
          <w:b/>
          <w:sz w:val="20"/>
        </w:rPr>
        <w:t xml:space="preserve">Timeline: </w:t>
      </w:r>
      <w:r>
        <w:rPr>
          <w:sz w:val="20"/>
        </w:rPr>
        <w:t>Total calendar weeks plus weekly time commitment (e.g. "8 Weeks (approx. 6–8 hours per week)").</w:t>
      </w:r>
    </w:p>
    <w:p>
      <w:pPr>
        <w:spacing w:before="200" w:after="60"/>
      </w:pPr>
      <w:r>
        <w:rPr>
          <w:b/>
          <w:color w:val="0F172A"/>
          <w:sz w:val="24"/>
        </w:rPr>
        <w:t>2.2 Recommended Pricing Matrix (ZMW / Zambian Kwacha)</w:t>
      </w:r>
    </w:p>
    <w:p>
      <w:pPr>
        <w:spacing w:after="80" w:line="276" w:lineRule="auto"/>
      </w:pPr>
      <w:r>
        <w:rPr>
          <w:sz w:val="20"/>
        </w:rPr>
        <w:t>Thinker HUB courses support flexible multi-tier pricing based on delivery format and learner level: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Delivery Category</w:t>
            </w:r>
          </w:p>
        </w:tc>
        <w:tc>
          <w:tcPr>
            <w:tcW w:type="dxa" w:w="2340"/>
            <w:shd w:val="clear" w:color="auto"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Learner Level</w:t>
            </w:r>
          </w:p>
        </w:tc>
        <w:tc>
          <w:tcPr>
            <w:tcW w:type="dxa" w:w="2340"/>
            <w:shd w:val="clear" w:color="auto"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Standard Fee Range (ZMW)</w:t>
            </w:r>
          </w:p>
        </w:tc>
        <w:tc>
          <w:tcPr>
            <w:tcW w:type="dxa" w:w="2340"/>
            <w:shd w:val="clear" w:color="auto" w:fill="0D948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Recommended Duration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Group Cohort (Max 15)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Beginner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K250 – K350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6 to 8 Weeks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Group Cohort (Max 15)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K350 – K500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6 to 8 Weeks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Group Cohort (Max 15)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K500 – K750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8 to 10 Weeks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One-On-One Mentorship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Beginner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K450 – K600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6 to 8 Weeks</w:t>
            </w:r>
          </w:p>
        </w:tc>
      </w:tr>
      <w:tr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One-On-One Mentorship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K600 – K800</w:t>
            </w:r>
          </w:p>
        </w:tc>
        <w:tc>
          <w:tcPr>
            <w:tcW w:type="dxa" w:w="2340"/>
            <w:shd w:val="clear" w:color="auto"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6 to 8 Weeks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One-On-One Mentorship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K800 – K1,200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8 to 10 Weeks</w:t>
            </w:r>
          </w:p>
        </w:tc>
      </w:tr>
    </w:tbl>
    <w:p>
      <w:pPr>
        <w:spacing w:after="120"/>
      </w:pPr>
    </w:p>
    <w:p>
      <w:pPr>
        <w:spacing w:before="200" w:after="60"/>
      </w:pPr>
      <w:r>
        <w:rPr>
          <w:b/>
          <w:color w:val="0F172A"/>
          <w:sz w:val="24"/>
        </w:rPr>
        <w:t>2.3 Level Progression Milestones</w:t>
      </w:r>
    </w:p>
    <w:p>
      <w:pPr>
        <w:spacing w:after="80" w:line="276" w:lineRule="auto"/>
      </w:pPr>
      <w:r>
        <w:rPr>
          <w:b/>
          <w:sz w:val="20"/>
        </w:rPr>
        <w:t xml:space="preserve">Beginner Phase: </w:t>
      </w:r>
      <w:r>
        <w:rPr>
          <w:sz w:val="20"/>
        </w:rPr>
        <w:t>Syntax, environment setup, core concepts, and guided scaffolding exercises.</w:t>
      </w:r>
    </w:p>
    <w:p>
      <w:pPr>
        <w:spacing w:after="80" w:line="276" w:lineRule="auto"/>
      </w:pPr>
      <w:r>
        <w:rPr>
          <w:b/>
          <w:sz w:val="20"/>
        </w:rPr>
        <w:t xml:space="preserve">Intermediate Phase: </w:t>
      </w:r>
      <w:r>
        <w:rPr>
          <w:sz w:val="20"/>
        </w:rPr>
        <w:t>Modular development, REST APIs, database persistence, and team workflow.</w:t>
      </w:r>
    </w:p>
    <w:p>
      <w:pPr>
        <w:spacing w:after="80" w:line="276" w:lineRule="auto"/>
      </w:pPr>
      <w:r>
        <w:rPr>
          <w:b/>
          <w:sz w:val="20"/>
        </w:rPr>
        <w:t xml:space="preserve">Advanced Phase: </w:t>
      </w:r>
      <w:r>
        <w:rPr>
          <w:sz w:val="20"/>
        </w:rPr>
        <w:t>Production security, edge-case debugging, optimization, and autonomous capstone implementation.</w:t>
      </w:r>
    </w:p>
    <w:p>
      <w:pPr>
        <w:spacing w:before="280" w:after="80"/>
      </w:pPr>
      <w:r>
        <w:rPr>
          <w:b/>
          <w:color w:val="0D9488"/>
          <w:sz w:val="28"/>
        </w:rPr>
        <w:t>3.0 Curriculum Hierarchy: Sections &amp; Lessons</w:t>
      </w:r>
    </w:p>
    <w:p>
      <w:pPr>
        <w:spacing w:after="80" w:line="276" w:lineRule="auto"/>
      </w:pPr>
      <w:r>
        <w:rPr>
          <w:sz w:val="20"/>
        </w:rPr>
        <w:t>Courses are divided into Course Sections (Modules) containing sequential Lessons. Each lesson can be configured with the following properties:</w:t>
      </w:r>
    </w:p>
    <w:p>
      <w:pPr>
        <w:spacing w:after="80" w:line="276" w:lineRule="auto"/>
      </w:pPr>
      <w:r>
        <w:rPr>
          <w:b/>
          <w:sz w:val="20"/>
        </w:rPr>
        <w:t xml:space="preserve">Video Lesson: </w:t>
      </w:r>
      <w:r>
        <w:rPr>
          <w:sz w:val="20"/>
        </w:rPr>
        <w:t>High-definition pre-recorded conceptual walkthrough (YouTube Unlisted, Vimeo, or MP4 cloud stream). Default minimum watch completion threshold is 90%.</w:t>
      </w:r>
    </w:p>
    <w:p>
      <w:pPr>
        <w:spacing w:after="80" w:line="276" w:lineRule="auto"/>
      </w:pPr>
      <w:r>
        <w:rPr>
          <w:b/>
          <w:sz w:val="20"/>
        </w:rPr>
        <w:t xml:space="preserve">Reading Lesson: </w:t>
      </w:r>
      <w:r>
        <w:rPr>
          <w:sz w:val="20"/>
        </w:rPr>
        <w:t>Rich text, technical diagrams, architectural cheat-sheets, or reference articles.</w:t>
      </w:r>
    </w:p>
    <w:p>
      <w:pPr>
        <w:spacing w:after="80" w:line="276" w:lineRule="auto"/>
      </w:pPr>
      <w:r>
        <w:rPr>
          <w:b/>
          <w:sz w:val="20"/>
        </w:rPr>
        <w:t xml:space="preserve">Lab / Workshop: </w:t>
      </w:r>
      <w:r>
        <w:rPr>
          <w:sz w:val="20"/>
        </w:rPr>
        <w:t>Hands-on coding exercise, starter repository, or lab assignment.</w:t>
      </w:r>
    </w:p>
    <w:p>
      <w:pPr>
        <w:spacing w:after="80" w:line="276" w:lineRule="auto"/>
      </w:pPr>
      <w:r>
        <w:rPr>
          <w:b/>
          <w:sz w:val="20"/>
        </w:rPr>
        <w:t xml:space="preserve">Free Preview Toggle: </w:t>
      </w:r>
      <w:r>
        <w:rPr>
          <w:sz w:val="20"/>
        </w:rPr>
        <w:t>Instructors can mark 1–2 introductory lessons as "Free Preview" to let prospective students sample the course before enrolling.</w:t>
      </w:r>
    </w:p>
    <w:p>
      <w:pPr>
        <w:spacing w:before="280" w:after="80"/>
      </w:pPr>
      <w:r>
        <w:rPr>
          <w:b/>
          <w:color w:val="0D9488"/>
          <w:sz w:val="28"/>
        </w:rPr>
        <w:t>4.0 Assessment &amp; Grading Strategy</w:t>
      </w:r>
    </w:p>
    <w:p>
      <w:pPr>
        <w:spacing w:after="80" w:line="276" w:lineRule="auto"/>
      </w:pPr>
      <w:r>
        <w:rPr>
          <w:sz w:val="20"/>
        </w:rPr>
        <w:t>Assessments must reinforce mastery, not just score students:</w:t>
      </w:r>
    </w:p>
    <w:p>
      <w:pPr>
        <w:spacing w:after="80" w:line="276" w:lineRule="auto"/>
      </w:pPr>
      <w:r>
        <w:rPr>
          <w:b/>
          <w:sz w:val="20"/>
        </w:rPr>
        <w:t xml:space="preserve">Quizzes: </w:t>
      </w:r>
      <w:r>
        <w:rPr>
          <w:sz w:val="20"/>
        </w:rPr>
        <w:t>Multiple choice questions (auto-graded), conceptual short answers, or code debugging snippets. Recommended pass threshold is 50% for beginner tracks and 70% for advanced tracks. Include clear explanations for correct and incorrect choices.</w:t>
      </w:r>
    </w:p>
    <w:p>
      <w:pPr>
        <w:spacing w:after="80" w:line="276" w:lineRule="auto"/>
      </w:pPr>
      <w:r>
        <w:rPr>
          <w:b/>
          <w:sz w:val="20"/>
        </w:rPr>
        <w:t xml:space="preserve">Homework Assignments: </w:t>
      </w:r>
      <w:r>
        <w:rPr>
          <w:sz w:val="20"/>
        </w:rPr>
        <w:t>Practical projects accounting for 60% of the final certification grade. Deliverables include GitHub repository links, live cloud URLs, or design files. Grading must follow a clear rubric: Functionality (40%), Code Quality (30%), UI/UX &amp; Responsiveness (20%), and Documentation (10%). Grade within 72 hours with constructive feedback.</w:t>
      </w:r>
    </w:p>
    <w:p>
      <w:pPr>
        <w:spacing w:before="280" w:after="80"/>
      </w:pPr>
      <w:r>
        <w:rPr>
          <w:b/>
          <w:color w:val="0D9488"/>
          <w:sz w:val="28"/>
        </w:rPr>
        <w:t>5.0 Live Classroom Sessions &amp; Cohort Rhythm</w:t>
      </w:r>
    </w:p>
    <w:p>
      <w:pPr>
        <w:spacing w:after="80" w:line="276" w:lineRule="auto"/>
      </w:pPr>
      <w:r>
        <w:rPr>
          <w:sz w:val="20"/>
        </w:rPr>
        <w:t>Instructors lead scheduled live cohort sessions (typically 60–90 minutes each week) via Google Meet or Zoom. Immediately after class, instructors mark attendance in the Instructor Portal. Maintaining &gt;= 80% attendance is required for student certification.</w:t>
      </w:r>
    </w:p>
    <w:p>
      <w:pPr>
        <w:spacing w:before="280" w:after="80"/>
      </w:pPr>
      <w:r>
        <w:rPr>
          <w:b/>
          <w:color w:val="0D9488"/>
          <w:sz w:val="28"/>
        </w:rPr>
        <w:t>6.0 Course Submission Template (Fillable Worksheet for Instructors)</w:t>
      </w:r>
    </w:p>
    <w:p>
      <w:pPr>
        <w:spacing w:after="80" w:line="276" w:lineRule="auto"/>
      </w:pPr>
      <w:r>
        <w:rPr>
          <w:sz w:val="20"/>
        </w:rPr>
        <w:t>Instructors may copy and fill out the following template to submit their course for administrative review and publication: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r>
              <w:rPr>
                <w:rFonts w:ascii="Consolas" w:hAnsi="Consolas"/>
                <w:sz w:val="19"/>
              </w:rPr>
              <w:t>COURSE SUBMISSION WORKSHEET:</w:t>
              <w:br/>
              <w:br/>
              <w:t>1. Course Title: [Insert engaging, outcome-driven title]</w:t>
              <w:br/>
              <w:t>2. Unique Course Code: [e.g. CS-101, WEB-201]</w:t>
              <w:br/>
              <w:t>3. Estimated Duration: [e.g. 8 Weeks (approx. 6-8 hours/week)]</w:t>
              <w:br/>
              <w:t>4. Short Description (Catalog Summary): [1-3 sentences highlighting key value]</w:t>
              <w:br/>
              <w:t>5. Detailed Overview: [Pedagogy, target learner profile, practical skills]</w:t>
              <w:br/>
              <w:t>6. Hardware/Software Requirements: [Laptops, RAM, installed tools]</w:t>
              <w:br/>
              <w:t>7. 3-Tier Level Progression:</w:t>
              <w:br/>
              <w:t xml:space="preserve">   - Beginner Phase: [Foundations &amp; Environment setup]</w:t>
              <w:br/>
              <w:t xml:space="preserve">   - Intermediate Phase: [Application development &amp; APIs]</w:t>
              <w:br/>
              <w:t xml:space="preserve">   - Advanced Phase: [Production deployment &amp; debugging]</w:t>
              <w:br/>
              <w:t>8. Key Outcome: [Capstone project and portfolio deliverable]</w:t>
              <w:br/>
              <w:t>9. Delivery Format &amp; Fees:</w:t>
              <w:br/>
              <w:t xml:space="preserve">   - Group Cohort (Fee &amp; Level): [e.g. K350 | Beginner]</w:t>
              <w:br/>
              <w:t xml:space="preserve">   - 1-on-1 Mentorship (Fee &amp; Level): [e.g. K650 | Beginner]</w:t>
              <w:br/>
              <w:t>10. Curriculum Modules:</w:t>
              <w:br/>
              <w:t xml:space="preserve">   - Module 1: [Title] -&gt; Lessons 1.1, 1.2, 1.3 -&gt; Quiz Title</w:t>
              <w:br/>
              <w:t xml:space="preserve">   - Module 2: [Title] -&gt; Lessons 2.1, 2.2 -&gt; Assignment Title</w:t>
              <w:br/>
              <w:t xml:space="preserve">   - Module 3: [Title] -&gt; Lessons 3.1, 3.2</w:t>
              <w:br/>
              <w:t xml:space="preserve">   - Module 4: [Capstone Project Title &amp; Scope]</w:t>
              <w:br/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b/>
          <w:color w:val="0D9488"/>
          <w:sz w:val="28"/>
        </w:rPr>
        <w:t>7.0 Submission Channels &amp; Contacts</w:t>
      </w:r>
    </w:p>
    <w:p>
      <w:pPr>
        <w:spacing w:after="80" w:line="276" w:lineRule="auto"/>
      </w:pPr>
      <w:r>
        <w:rPr>
          <w:sz w:val="20"/>
        </w:rPr>
        <w:t>Submit completed course structures via the Instructor Portal (/instructor) or email directly to academics@thinkerhub.ac.zm. For bulk JSON uploads, refer to the samples/import specification in the repository.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