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80"/>
      </w:pPr>
      <w:r>
        <w:rPr>
          <w:rFonts w:ascii="Calibri" w:hAnsi="Calibri"/>
          <w:b/>
          <w:color w:val="0F172A"/>
          <w:sz w:val="56"/>
        </w:rPr>
        <w:t>THINKER HUB</w:t>
      </w:r>
    </w:p>
    <w:p>
      <w:pPr>
        <w:spacing w:before="0" w:after="320"/>
      </w:pPr>
      <w:r>
        <w:rPr>
          <w:rFonts w:ascii="Calibri" w:hAnsi="Calibri"/>
          <w:color w:val="0D9488"/>
          <w:sz w:val="26"/>
        </w:rPr>
        <w:t>Instructor Operational Guide &amp; Standard Operating Procedures</w:t>
        <w:br/>
        <w:t>From Application &amp; Curriculum Design to Classroom Delivery &amp; Graduation</w:t>
      </w:r>
    </w:p>
    <w:tbl>
      <w:tblPr>
        <w:tblW w:type="auto" w:w="0"/>
        <w:jc w:val="center"/>
        <w:tblLayout w:type="fixed"/>
        <w:tblLook w:firstColumn="1" w:firstRow="1" w:lastColumn="0" w:lastRow="0" w:noHBand="0" w:noVBand="1" w:val="04A0"/>
      </w:tblPr>
      <w:tblGrid>
        <w:gridCol w:w="2340"/>
        <w:gridCol w:w="2340"/>
        <w:gridCol w:w="2340"/>
        <w:gridCol w:w="2340"/>
      </w:tblGrid>
      <w:tr>
        <w:trPr>
          <w:tblHeader/>
          <w:cantSplit/>
        </w:trPr>
        <w:tc>
          <w:tcPr>
            <w:tcW w:type="dxa" w:w="2160"/>
            <w:shd w:fill="0F172A"/>
            <w:tcMar>
              <w:top w:w="120" w:type="dxa"/>
              <w:bottom w:w="120" w:type="dxa"/>
              <w:left w:w="120" w:type="dxa"/>
              <w:right w:w="120" w:type="dxa"/>
            </w:tcMar>
            <w:tcBorders>
              <w:top w:val="single" w:sz="6" w:space="0" w:color="0F172A"/>
              <w:bottom w:val="single" w:sz="18" w:space="0" w:color="0D9488"/>
              <w:left w:val="none" w:sz="0" w:space="0" w:color="FFFFFF"/>
              <w:right w:val="none" w:sz="0" w:space="0" w:color="FFFFFF"/>
            </w:tcBorders>
          </w:tcPr>
          <w:p>
            <w:pPr>
              <w:spacing w:before="0" w:after="0"/>
              <w:jc w:val="left"/>
            </w:pPr>
            <w:r>
              <w:rPr>
                <w:rFonts w:ascii="Calibri" w:hAnsi="Calibri"/>
                <w:b/>
                <w:color w:val="FFFFFF"/>
                <w:sz w:val="19"/>
              </w:rPr>
              <w:t>Document Version</w:t>
            </w:r>
          </w:p>
        </w:tc>
        <w:tc>
          <w:tcPr>
            <w:tcW w:type="dxa" w:w="2880"/>
            <w:shd w:fill="0F172A"/>
            <w:tcMar>
              <w:top w:w="120" w:type="dxa"/>
              <w:bottom w:w="120" w:type="dxa"/>
              <w:left w:w="120" w:type="dxa"/>
              <w:right w:w="120" w:type="dxa"/>
            </w:tcMar>
            <w:tcBorders>
              <w:top w:val="single" w:sz="6" w:space="0" w:color="0F172A"/>
              <w:bottom w:val="single" w:sz="18" w:space="0" w:color="0D9488"/>
              <w:left w:val="none" w:sz="0" w:space="0" w:color="FFFFFF"/>
              <w:right w:val="none" w:sz="0" w:space="0" w:color="FFFFFF"/>
            </w:tcBorders>
          </w:tcPr>
          <w:p>
            <w:pPr>
              <w:spacing w:before="0" w:after="0"/>
              <w:jc w:val="left"/>
            </w:pPr>
            <w:r>
              <w:rPr>
                <w:rFonts w:ascii="Calibri" w:hAnsi="Calibri"/>
                <w:b/>
                <w:color w:val="FFFFFF"/>
                <w:sz w:val="19"/>
              </w:rPr>
              <w:t>Audience</w:t>
            </w:r>
          </w:p>
        </w:tc>
        <w:tc>
          <w:tcPr>
            <w:tcW w:type="dxa" w:w="2160"/>
            <w:shd w:fill="0F172A"/>
            <w:tcMar>
              <w:top w:w="120" w:type="dxa"/>
              <w:bottom w:w="120" w:type="dxa"/>
              <w:left w:w="120" w:type="dxa"/>
              <w:right w:w="120" w:type="dxa"/>
            </w:tcMar>
            <w:tcBorders>
              <w:top w:val="single" w:sz="6" w:space="0" w:color="0F172A"/>
              <w:bottom w:val="single" w:sz="18" w:space="0" w:color="0D9488"/>
              <w:left w:val="none" w:sz="0" w:space="0" w:color="FFFFFF"/>
              <w:right w:val="none" w:sz="0" w:space="0" w:color="FFFFFF"/>
            </w:tcBorders>
          </w:tcPr>
          <w:p>
            <w:pPr>
              <w:spacing w:before="0" w:after="0"/>
              <w:jc w:val="left"/>
            </w:pPr>
            <w:r>
              <w:rPr>
                <w:rFonts w:ascii="Calibri" w:hAnsi="Calibri"/>
                <w:b/>
                <w:color w:val="FFFFFF"/>
                <w:sz w:val="19"/>
              </w:rPr>
              <w:t>Effective Date</w:t>
            </w:r>
          </w:p>
        </w:tc>
        <w:tc>
          <w:tcPr>
            <w:tcW w:type="dxa" w:w="2160"/>
            <w:shd w:fill="0F172A"/>
            <w:tcMar>
              <w:top w:w="120" w:type="dxa"/>
              <w:bottom w:w="120" w:type="dxa"/>
              <w:left w:w="120" w:type="dxa"/>
              <w:right w:w="120" w:type="dxa"/>
            </w:tcMar>
            <w:tcBorders>
              <w:top w:val="single" w:sz="6" w:space="0" w:color="0F172A"/>
              <w:bottom w:val="single" w:sz="18" w:space="0" w:color="0D9488"/>
              <w:left w:val="none" w:sz="0" w:space="0" w:color="FFFFFF"/>
              <w:right w:val="none" w:sz="0" w:space="0" w:color="FFFFFF"/>
            </w:tcBorders>
          </w:tcPr>
          <w:p>
            <w:pPr>
              <w:spacing w:before="0" w:after="0"/>
              <w:jc w:val="left"/>
            </w:pPr>
            <w:r>
              <w:rPr>
                <w:rFonts w:ascii="Calibri" w:hAnsi="Calibri"/>
                <w:b/>
                <w:color w:val="FFFFFF"/>
                <w:sz w:val="19"/>
              </w:rPr>
              <w:t>Classification</w:t>
            </w:r>
          </w:p>
        </w:tc>
      </w:tr>
      <w:tr>
        <w:trPr>
          <w:cantSplit/>
        </w:trPr>
        <w:tc>
          <w:tcPr>
            <w:tcW w:type="dxa" w:w="2160"/>
            <w:shd w:fill="FFFFFF"/>
            <w:tcMar>
              <w:top w:w="90" w:type="dxa"/>
              <w:bottom w:w="90" w:type="dxa"/>
              <w:left w:w="120" w:type="dxa"/>
              <w:right w:w="120" w:type="dxa"/>
            </w:tcMar>
            <w:tcBorders>
              <w:top w:val="single" w:sz="4" w:space="0" w:color="E2E8F0"/>
              <w:bottom w:val="single" w:sz="4" w:space="0" w:color="E2E8F0"/>
              <w:left w:val="none" w:sz="0" w:space="0" w:color="FFFFFF"/>
              <w:right w:val="none" w:sz="0" w:space="0" w:color="FFFFFF"/>
            </w:tcBorders>
          </w:tcPr>
          <w:p>
            <w:pPr>
              <w:spacing w:before="0" w:after="0"/>
              <w:jc w:val="left"/>
            </w:pPr>
            <w:r>
              <w:rPr>
                <w:rFonts w:ascii="Calibri" w:hAnsi="Calibri"/>
                <w:color w:val="1E293B"/>
                <w:sz w:val="18"/>
              </w:rPr>
              <w:t>Version 2.4 (Enterprise)</w:t>
            </w:r>
          </w:p>
        </w:tc>
        <w:tc>
          <w:tcPr>
            <w:tcW w:type="dxa" w:w="2880"/>
            <w:shd w:fill="FFFFFF"/>
            <w:tcMar>
              <w:top w:w="90" w:type="dxa"/>
              <w:bottom w:w="90" w:type="dxa"/>
              <w:left w:w="120" w:type="dxa"/>
              <w:right w:w="120" w:type="dxa"/>
            </w:tcMar>
            <w:tcBorders>
              <w:top w:val="single" w:sz="4" w:space="0" w:color="E2E8F0"/>
              <w:bottom w:val="single" w:sz="4" w:space="0" w:color="E2E8F0"/>
              <w:left w:val="none" w:sz="0" w:space="0" w:color="FFFFFF"/>
              <w:right w:val="none" w:sz="0" w:space="0" w:color="FFFFFF"/>
            </w:tcBorders>
          </w:tcPr>
          <w:p>
            <w:pPr>
              <w:spacing w:before="0" w:after="0"/>
              <w:jc w:val="left"/>
            </w:pPr>
            <w:r>
              <w:rPr>
                <w:rFonts w:ascii="Calibri" w:hAnsi="Calibri"/>
                <w:color w:val="1E293B"/>
                <w:sz w:val="18"/>
              </w:rPr>
              <w:t>Faculty, Instructors, Course Creators, TAs</w:t>
            </w:r>
          </w:p>
        </w:tc>
        <w:tc>
          <w:tcPr>
            <w:tcW w:type="dxa" w:w="2160"/>
            <w:shd w:fill="FFFFFF"/>
            <w:tcMar>
              <w:top w:w="90" w:type="dxa"/>
              <w:bottom w:w="90" w:type="dxa"/>
              <w:left w:w="120" w:type="dxa"/>
              <w:right w:w="120" w:type="dxa"/>
            </w:tcMar>
            <w:tcBorders>
              <w:top w:val="single" w:sz="4" w:space="0" w:color="E2E8F0"/>
              <w:bottom w:val="single" w:sz="4" w:space="0" w:color="E2E8F0"/>
              <w:left w:val="none" w:sz="0" w:space="0" w:color="FFFFFF"/>
              <w:right w:val="none" w:sz="0" w:space="0" w:color="FFFFFF"/>
            </w:tcBorders>
          </w:tcPr>
          <w:p>
            <w:pPr>
              <w:spacing w:before="0" w:after="0"/>
              <w:jc w:val="left"/>
            </w:pPr>
            <w:r>
              <w:rPr>
                <w:rFonts w:ascii="Calibri" w:hAnsi="Calibri"/>
                <w:color w:val="1E293B"/>
                <w:sz w:val="18"/>
              </w:rPr>
              <w:t>Academic Year 2026 / 2027</w:t>
            </w:r>
          </w:p>
        </w:tc>
        <w:tc>
          <w:tcPr>
            <w:tcW w:type="dxa" w:w="2160"/>
            <w:shd w:fill="FFFFFF"/>
            <w:tcMar>
              <w:top w:w="90" w:type="dxa"/>
              <w:bottom w:w="90" w:type="dxa"/>
              <w:left w:w="120" w:type="dxa"/>
              <w:right w:w="120" w:type="dxa"/>
            </w:tcMar>
            <w:tcBorders>
              <w:top w:val="single" w:sz="4" w:space="0" w:color="E2E8F0"/>
              <w:bottom w:val="single" w:sz="4" w:space="0" w:color="E2E8F0"/>
              <w:left w:val="none" w:sz="0" w:space="0" w:color="FFFFFF"/>
              <w:right w:val="none" w:sz="0" w:space="0" w:color="FFFFFF"/>
            </w:tcBorders>
          </w:tcPr>
          <w:p>
            <w:pPr>
              <w:spacing w:before="0" w:after="0"/>
              <w:jc w:val="left"/>
            </w:pPr>
            <w:r>
              <w:rPr>
                <w:rFonts w:ascii="Calibri" w:hAnsi="Calibri"/>
                <w:color w:val="1E293B"/>
                <w:sz w:val="18"/>
              </w:rPr>
              <w:t>Official Operating Standard</w:t>
            </w:r>
          </w:p>
        </w:tc>
      </w:tr>
    </w:tbl>
    <w:p>
      <w:pPr>
        <w:spacing w:before="0" w:after="120"/>
      </w:pPr>
    </w:p>
    <w:tbl>
      <w:tblPr>
        <w:tblW w:type="auto" w:w="0"/>
        <w:jc w:val="center"/>
        <w:tblLayout w:type="fixed"/>
        <w:tblLook w:firstColumn="1" w:firstRow="1" w:lastColumn="0" w:lastRow="0" w:noHBand="0" w:noVBand="1" w:val="04A0"/>
      </w:tblPr>
      <w:tblGrid>
        <w:gridCol w:w="9360"/>
      </w:tblGrid>
      <w:tr>
        <w:tc>
          <w:tcPr>
            <w:tcW w:type="dxa" w:w="9360"/>
            <w:shd w:fill="F0FDFA"/>
            <w:tcMar>
              <w:top w:w="130" w:type="dxa"/>
              <w:bottom w:w="130" w:type="dxa"/>
              <w:left w:w="180" w:type="dxa"/>
              <w:right w:w="140" w:type="dxa"/>
            </w:tcMar>
            <w:tcBorders>
              <w:top w:val="none"/>
              <w:bottom w:val="none"/>
              <w:left w:val="single" w:sz="24" w:space="0" w:color="0D9488"/>
              <w:right w:val="none"/>
            </w:tcBorders>
          </w:tcPr>
          <w:p>
            <w:pPr>
              <w:spacing w:before="0" w:after="40" w:line="276" w:lineRule="auto"/>
            </w:pPr>
            <w:r>
              <w:rPr>
                <w:rFonts w:ascii="Calibri" w:hAnsi="Calibri"/>
                <w:b/>
                <w:color w:val="0D9488"/>
                <w:sz w:val="21"/>
              </w:rPr>
              <w:t>[PRO-TIP:] WELCOME TO THINKER HUB FACULTY</w:t>
              <w:br/>
            </w:r>
            <w:r>
              <w:rPr>
                <w:rFonts w:ascii="Calibri" w:hAnsi="Calibri"/>
                <w:color w:val="334155"/>
                <w:sz w:val="19"/>
              </w:rPr>
              <w:t>This manual is the definitive guide for instructors teaching on the Thinker HUB platform. It outlines the complete operational lifecycle—from your initial accreditation and curriculum design, to cohort scheduling, live session attendance, homework evaluation, gamification, and issuing accredited certificates.</w:t>
            </w:r>
          </w:p>
        </w:tc>
      </w:tr>
    </w:tbl>
    <w:p>
      <w:pPr>
        <w:spacing w:before="0" w:after="80"/>
      </w:pPr>
    </w:p>
    <w:p>
      <w:pPr>
        <w:keepNext/>
        <w:spacing w:before="400" w:after="120"/>
      </w:pPr>
      <w:r>
        <w:rPr>
          <w:rFonts w:ascii="Calibri" w:hAnsi="Calibri"/>
          <w:b/>
          <w:color w:val="0D9488"/>
          <w:sz w:val="30"/>
        </w:rPr>
        <w:t xml:space="preserve">0.0  </w:t>
      </w:r>
      <w:r>
        <w:rPr>
          <w:rFonts w:ascii="Calibri" w:hAnsi="Calibri"/>
          <w:b/>
          <w:color w:val="0F172A"/>
          <w:sz w:val="30"/>
        </w:rPr>
        <w:t>Table of Contents &amp; Curriculum Roadmap</w:t>
      </w:r>
    </w:p>
    <w:p>
      <w:pPr>
        <w:spacing w:before="0" w:after="80" w:line="276" w:lineRule="auto"/>
      </w:pPr>
      <w:r>
        <w:rPr>
          <w:rFonts w:ascii="Calibri" w:hAnsi="Calibri"/>
          <w:color w:val="334155"/>
          <w:sz w:val="20"/>
        </w:rPr>
        <w:t>The instructor lifecycle is divided into 12 structured operating chapters:</w:t>
      </w:r>
    </w:p>
    <w:p>
      <w:pPr>
        <w:pStyle w:val="ListBullet"/>
        <w:spacing w:before="0" w:after="50" w:line="276" w:lineRule="auto"/>
      </w:pPr>
      <w:r>
        <w:rPr>
          <w:rFonts w:ascii="Calibri" w:hAnsi="Calibri"/>
          <w:b/>
          <w:color w:val="0F172A"/>
          <w:sz w:val="20"/>
        </w:rPr>
        <w:t>Section 1</w:t>
      </w:r>
      <w:r>
        <w:rPr>
          <w:rFonts w:ascii="Calibri" w:hAnsi="Calibri"/>
          <w:color w:val="334155"/>
          <w:sz w:val="20"/>
        </w:rPr>
        <w:t>: Platform Vision, Educational Philosophy &amp; Instructor Code of Conduct</w:t>
      </w:r>
    </w:p>
    <w:p>
      <w:pPr>
        <w:pStyle w:val="ListBullet"/>
        <w:spacing w:before="0" w:after="50" w:line="276" w:lineRule="auto"/>
      </w:pPr>
      <w:r>
        <w:rPr>
          <w:rFonts w:ascii="Calibri" w:hAnsi="Calibri"/>
          <w:b/>
          <w:color w:val="0F172A"/>
          <w:sz w:val="20"/>
        </w:rPr>
        <w:t>Section 2</w:t>
      </w:r>
      <w:r>
        <w:rPr>
          <w:rFonts w:ascii="Calibri" w:hAnsi="Calibri"/>
          <w:color w:val="334155"/>
          <w:sz w:val="20"/>
        </w:rPr>
        <w:t>: Instructor Application, Document Deliverables &amp; Accreditation Workflow</w:t>
      </w:r>
    </w:p>
    <w:p>
      <w:pPr>
        <w:pStyle w:val="ListBullet"/>
        <w:spacing w:before="0" w:after="50" w:line="276" w:lineRule="auto"/>
      </w:pPr>
      <w:r>
        <w:rPr>
          <w:rFonts w:ascii="Calibri" w:hAnsi="Calibri"/>
          <w:b/>
          <w:color w:val="0F172A"/>
          <w:sz w:val="20"/>
        </w:rPr>
        <w:t>Section 3</w:t>
      </w:r>
      <w:r>
        <w:rPr>
          <w:rFonts w:ascii="Calibri" w:hAnsi="Calibri"/>
          <w:color w:val="334155"/>
          <w:sz w:val="20"/>
        </w:rPr>
        <w:t>: Accessing &amp; Configuring the Instructor Portal (/instructor)</w:t>
      </w:r>
    </w:p>
    <w:p>
      <w:pPr>
        <w:pStyle w:val="ListBullet"/>
        <w:spacing w:before="0" w:after="50" w:line="276" w:lineRule="auto"/>
      </w:pPr>
      <w:r>
        <w:rPr>
          <w:rFonts w:ascii="Calibri" w:hAnsi="Calibri"/>
          <w:b/>
          <w:color w:val="0F172A"/>
          <w:sz w:val="20"/>
        </w:rPr>
        <w:t>Section 4</w:t>
      </w:r>
      <w:r>
        <w:rPr>
          <w:rFonts w:ascii="Calibri" w:hAnsi="Calibri"/>
          <w:color w:val="334155"/>
          <w:sz w:val="20"/>
        </w:rPr>
        <w:t>: Course Architecture: Metadata, Pricing Matrix, Prerequisites &amp; Progression</w:t>
      </w:r>
    </w:p>
    <w:p>
      <w:pPr>
        <w:pStyle w:val="ListBullet"/>
        <w:spacing w:before="0" w:after="50" w:line="276" w:lineRule="auto"/>
      </w:pPr>
      <w:r>
        <w:rPr>
          <w:rFonts w:ascii="Calibri" w:hAnsi="Calibri"/>
          <w:b/>
          <w:color w:val="0F172A"/>
          <w:sz w:val="20"/>
        </w:rPr>
        <w:t>Section 5</w:t>
      </w:r>
      <w:r>
        <w:rPr>
          <w:rFonts w:ascii="Calibri" w:hAnsi="Calibri"/>
          <w:color w:val="334155"/>
          <w:sz w:val="20"/>
        </w:rPr>
        <w:t>: Cohort Planning &amp; Intake Setup: Scheduling Group &amp; 1-on-1 Sessions</w:t>
      </w:r>
    </w:p>
    <w:p>
      <w:pPr>
        <w:pStyle w:val="ListBullet"/>
        <w:spacing w:before="0" w:after="50" w:line="276" w:lineRule="auto"/>
      </w:pPr>
      <w:r>
        <w:rPr>
          <w:rFonts w:ascii="Calibri" w:hAnsi="Calibri"/>
          <w:b/>
          <w:color w:val="0F172A"/>
          <w:sz w:val="20"/>
        </w:rPr>
        <w:t>Section 6</w:t>
      </w:r>
      <w:r>
        <w:rPr>
          <w:rFonts w:ascii="Calibri" w:hAnsi="Calibri"/>
          <w:color w:val="334155"/>
          <w:sz w:val="20"/>
        </w:rPr>
        <w:t>: Classroom Operations: Live Attendance Register &amp; Engagement Enforcement</w:t>
      </w:r>
    </w:p>
    <w:p>
      <w:pPr>
        <w:pStyle w:val="ListBullet"/>
        <w:spacing w:before="0" w:after="50" w:line="276" w:lineRule="auto"/>
      </w:pPr>
      <w:r>
        <w:rPr>
          <w:rFonts w:ascii="Calibri" w:hAnsi="Calibri"/>
          <w:b/>
          <w:color w:val="0F172A"/>
          <w:sz w:val="20"/>
        </w:rPr>
        <w:t>Section 7</w:t>
      </w:r>
      <w:r>
        <w:rPr>
          <w:rFonts w:ascii="Calibri" w:hAnsi="Calibri"/>
          <w:color w:val="334155"/>
          <w:sz w:val="20"/>
        </w:rPr>
        <w:t>: Course Collateral &amp; Digital Assets: Learning Materials &amp; Video Integration</w:t>
      </w:r>
    </w:p>
    <w:p>
      <w:pPr>
        <w:pStyle w:val="ListBullet"/>
        <w:spacing w:before="0" w:after="50" w:line="276" w:lineRule="auto"/>
      </w:pPr>
      <w:r>
        <w:rPr>
          <w:rFonts w:ascii="Calibri" w:hAnsi="Calibri"/>
          <w:b/>
          <w:color w:val="0F172A"/>
          <w:sz w:val="20"/>
        </w:rPr>
        <w:t>Section 8</w:t>
      </w:r>
      <w:r>
        <w:rPr>
          <w:rFonts w:ascii="Calibri" w:hAnsi="Calibri"/>
          <w:color w:val="334155"/>
          <w:sz w:val="20"/>
        </w:rPr>
        <w:t>: Student Assessments: Quizzes, Homework Assignments &amp; Grading Rubrics</w:t>
      </w:r>
    </w:p>
    <w:p>
      <w:pPr>
        <w:pStyle w:val="ListBullet"/>
        <w:spacing w:before="0" w:after="50" w:line="276" w:lineRule="auto"/>
      </w:pPr>
      <w:r>
        <w:rPr>
          <w:rFonts w:ascii="Calibri" w:hAnsi="Calibri"/>
          <w:b/>
          <w:color w:val="0F172A"/>
          <w:sz w:val="20"/>
        </w:rPr>
        <w:t>Section 9</w:t>
      </w:r>
      <w:r>
        <w:rPr>
          <w:rFonts w:ascii="Calibri" w:hAnsi="Calibri"/>
          <w:color w:val="334155"/>
          <w:sz w:val="20"/>
        </w:rPr>
        <w:t>: Gamification Engine: XP Points, Achievement Badges &amp; Leaderboards</w:t>
      </w:r>
    </w:p>
    <w:p>
      <w:pPr>
        <w:pStyle w:val="ListBullet"/>
        <w:spacing w:before="0" w:after="50" w:line="276" w:lineRule="auto"/>
      </w:pPr>
      <w:r>
        <w:rPr>
          <w:rFonts w:ascii="Calibri" w:hAnsi="Calibri"/>
          <w:b/>
          <w:color w:val="0F172A"/>
          <w:sz w:val="20"/>
        </w:rPr>
        <w:t>Section 10</w:t>
      </w:r>
      <w:r>
        <w:rPr>
          <w:rFonts w:ascii="Calibri" w:hAnsi="Calibri"/>
          <w:color w:val="334155"/>
          <w:sz w:val="20"/>
        </w:rPr>
        <w:t>: Learner Progress Monitoring, Remediation &amp; Community Hub Discussions</w:t>
      </w:r>
    </w:p>
    <w:p>
      <w:pPr>
        <w:pStyle w:val="ListBullet"/>
        <w:spacing w:before="0" w:after="50" w:line="276" w:lineRule="auto"/>
      </w:pPr>
      <w:r>
        <w:rPr>
          <w:rFonts w:ascii="Calibri" w:hAnsi="Calibri"/>
          <w:b/>
          <w:color w:val="0F172A"/>
          <w:sz w:val="20"/>
        </w:rPr>
        <w:t>Section 11</w:t>
      </w:r>
      <w:r>
        <w:rPr>
          <w:rFonts w:ascii="Calibri" w:hAnsi="Calibri"/>
          <w:color w:val="334155"/>
          <w:sz w:val="20"/>
        </w:rPr>
        <w:t>: Instructor Remuneration, Timesheet Claims &amp; Payout Settlement</w:t>
      </w:r>
    </w:p>
    <w:p>
      <w:pPr>
        <w:pStyle w:val="ListBullet"/>
        <w:spacing w:before="0" w:after="50" w:line="276" w:lineRule="auto"/>
      </w:pPr>
      <w:r>
        <w:rPr>
          <w:rFonts w:ascii="Calibri" w:hAnsi="Calibri"/>
          <w:b/>
          <w:color w:val="0F172A"/>
          <w:sz w:val="20"/>
        </w:rPr>
        <w:t>Section 12</w:t>
      </w:r>
      <w:r>
        <w:rPr>
          <w:rFonts w:ascii="Calibri" w:hAnsi="Calibri"/>
          <w:color w:val="334155"/>
          <w:sz w:val="20"/>
        </w:rPr>
        <w:t>: Course Wrap-Up, Certificate Verification &amp; Academic Reports</w:t>
      </w:r>
    </w:p>
    <w:p>
      <w:pPr>
        <w:pStyle w:val="ListBullet"/>
        <w:spacing w:before="0" w:after="50" w:line="276" w:lineRule="auto"/>
      </w:pPr>
      <w:r>
        <w:rPr>
          <w:rFonts w:ascii="Calibri" w:hAnsi="Calibri"/>
          <w:b/>
          <w:color w:val="0F172A"/>
          <w:sz w:val="20"/>
        </w:rPr>
        <w:t>Appendix A</w:t>
      </w:r>
      <w:r>
        <w:rPr>
          <w:rFonts w:ascii="Calibri" w:hAnsi="Calibri"/>
          <w:color w:val="334155"/>
          <w:sz w:val="20"/>
        </w:rPr>
        <w:t>: Standard Operating Procedures (SOP) &amp; Pre-Flight Checklists</w:t>
      </w:r>
    </w:p>
    <w:p>
      <w:pPr>
        <w:pStyle w:val="ListBullet"/>
        <w:spacing w:before="0" w:after="50" w:line="276" w:lineRule="auto"/>
      </w:pPr>
      <w:r>
        <w:rPr>
          <w:rFonts w:ascii="Calibri" w:hAnsi="Calibri"/>
          <w:b/>
          <w:color w:val="0F172A"/>
          <w:sz w:val="20"/>
        </w:rPr>
        <w:t>Appendix B</w:t>
      </w:r>
      <w:r>
        <w:rPr>
          <w:rFonts w:ascii="Calibri" w:hAnsi="Calibri"/>
          <w:color w:val="334155"/>
          <w:sz w:val="20"/>
        </w:rPr>
        <w:t>: JSON Bulk Import Specifications (Courses, Quizzes, Sessions)</w:t>
      </w:r>
    </w:p>
    <w:p>
      <w:r>
        <w:br w:type="page"/>
      </w:r>
    </w:p>
    <w:p>
      <w:pPr>
        <w:keepNext/>
        <w:spacing w:before="400" w:after="120"/>
      </w:pPr>
      <w:r>
        <w:rPr>
          <w:rFonts w:ascii="Calibri" w:hAnsi="Calibri"/>
          <w:b/>
          <w:color w:val="0D9488"/>
          <w:sz w:val="30"/>
        </w:rPr>
        <w:t xml:space="preserve">1.0  </w:t>
      </w:r>
      <w:r>
        <w:rPr>
          <w:rFonts w:ascii="Calibri" w:hAnsi="Calibri"/>
          <w:b/>
          <w:color w:val="0F172A"/>
          <w:sz w:val="30"/>
        </w:rPr>
        <w:t>Platform Vision &amp; Educational Philosophy</w:t>
      </w:r>
    </w:p>
    <w:p>
      <w:pPr>
        <w:spacing w:before="0" w:after="80" w:line="276" w:lineRule="auto"/>
      </w:pPr>
      <w:r>
        <w:rPr>
          <w:rFonts w:ascii="Calibri" w:hAnsi="Calibri"/>
          <w:color w:val="334155"/>
          <w:sz w:val="20"/>
        </w:rPr>
        <w:t>Thinker HUB is built upon the principle of outcome-driven, mastery-based vocational and technical learning. Unlike passive video libraries, Thinker HUB combines live mentorship, rigorous hands-on assessments, real-world portfolio artifacts, and community engagement to ensure students emerge job-ready.</w:t>
      </w:r>
    </w:p>
    <w:p>
      <w:pPr>
        <w:keepNext/>
        <w:spacing w:before="280" w:after="80"/>
      </w:pPr>
      <w:r>
        <w:rPr>
          <w:rFonts w:ascii="Calibri" w:hAnsi="Calibri"/>
          <w:b/>
          <w:color w:val="0D9488"/>
          <w:sz w:val="25"/>
        </w:rPr>
        <w:t xml:space="preserve">1.1 </w:t>
      </w:r>
      <w:r>
        <w:rPr>
          <w:rFonts w:ascii="Calibri" w:hAnsi="Calibri"/>
          <w:b/>
          <w:color w:val="1E3A8A"/>
          <w:sz w:val="25"/>
        </w:rPr>
        <w:t>Core Pedagogical Pillars</w:t>
      </w:r>
    </w:p>
    <w:p>
      <w:pPr>
        <w:pStyle w:val="ListBullet"/>
        <w:spacing w:before="0" w:after="50" w:line="276" w:lineRule="auto"/>
      </w:pPr>
      <w:r>
        <w:rPr>
          <w:rFonts w:ascii="Calibri" w:hAnsi="Calibri"/>
          <w:b/>
          <w:color w:val="0F172A"/>
          <w:sz w:val="20"/>
        </w:rPr>
        <w:t>Outcome-Driven Curriculum</w:t>
      </w:r>
      <w:r>
        <w:rPr>
          <w:rFonts w:ascii="Calibri" w:hAnsi="Calibri"/>
          <w:color w:val="334155"/>
          <w:sz w:val="20"/>
        </w:rPr>
        <w:t xml:space="preserve"> Every syllabus must center on real, deployable projects rather than theoretical memorization. Students must graduate with portfolio-grade work.</w:t>
      </w:r>
    </w:p>
    <w:p>
      <w:pPr>
        <w:pStyle w:val="ListBullet"/>
        <w:spacing w:before="0" w:after="50" w:line="276" w:lineRule="auto"/>
      </w:pPr>
      <w:r>
        <w:rPr>
          <w:rFonts w:ascii="Calibri" w:hAnsi="Calibri"/>
          <w:b/>
          <w:color w:val="0F172A"/>
          <w:sz w:val="20"/>
        </w:rPr>
        <w:t>High-Touch Mentorship</w:t>
      </w:r>
      <w:r>
        <w:rPr>
          <w:rFonts w:ascii="Calibri" w:hAnsi="Calibri"/>
          <w:color w:val="334155"/>
          <w:sz w:val="20"/>
        </w:rPr>
        <w:t xml:space="preserve"> Instructors serve as active industry coaches. Weekly live sessions, Q&amp;A office hours, and individualized feedback bridge the gap between confusion and mastery.</w:t>
      </w:r>
    </w:p>
    <w:p>
      <w:pPr>
        <w:pStyle w:val="ListBullet"/>
        <w:spacing w:before="0" w:after="50" w:line="276" w:lineRule="auto"/>
      </w:pPr>
      <w:r>
        <w:rPr>
          <w:rFonts w:ascii="Calibri" w:hAnsi="Calibri"/>
          <w:b/>
          <w:color w:val="0F172A"/>
          <w:sz w:val="20"/>
        </w:rPr>
        <w:t>Continuous Formative Evaluation</w:t>
      </w:r>
      <w:r>
        <w:rPr>
          <w:rFonts w:ascii="Calibri" w:hAnsi="Calibri"/>
          <w:color w:val="334155"/>
          <w:sz w:val="20"/>
        </w:rPr>
        <w:t xml:space="preserve"> Continuous micro-quizzes and practical coding/design challenges ensure mastery at each tier before advancing to higher complexity.</w:t>
      </w:r>
    </w:p>
    <w:p>
      <w:pPr>
        <w:pStyle w:val="ListBullet"/>
        <w:spacing w:before="0" w:after="50" w:line="276" w:lineRule="auto"/>
      </w:pPr>
      <w:r>
        <w:rPr>
          <w:rFonts w:ascii="Calibri" w:hAnsi="Calibri"/>
          <w:b/>
          <w:color w:val="0F172A"/>
          <w:sz w:val="20"/>
        </w:rPr>
        <w:t>Gamified Motivation</w:t>
      </w:r>
      <w:r>
        <w:rPr>
          <w:rFonts w:ascii="Calibri" w:hAnsi="Calibri"/>
          <w:color w:val="334155"/>
          <w:sz w:val="20"/>
        </w:rPr>
        <w:t xml:space="preserve"> Interactive leaderboards, streaks, and achievement badges celebrate milestones, boosting student retention and class morale.</w:t>
      </w:r>
    </w:p>
    <w:p>
      <w:pPr>
        <w:keepNext/>
        <w:spacing w:before="280" w:after="80"/>
      </w:pPr>
      <w:r>
        <w:rPr>
          <w:rFonts w:ascii="Calibri" w:hAnsi="Calibri"/>
          <w:b/>
          <w:color w:val="0D9488"/>
          <w:sz w:val="25"/>
        </w:rPr>
        <w:t xml:space="preserve">1.2 </w:t>
      </w:r>
      <w:r>
        <w:rPr>
          <w:rFonts w:ascii="Calibri" w:hAnsi="Calibri"/>
          <w:b/>
          <w:color w:val="1E3A8A"/>
          <w:sz w:val="25"/>
        </w:rPr>
        <w:t>Instructor Code of Conduct &amp; Academic Integrity</w:t>
      </w:r>
    </w:p>
    <w:p>
      <w:pPr>
        <w:spacing w:before="0" w:after="80" w:line="276" w:lineRule="auto"/>
      </w:pPr>
      <w:r>
        <w:rPr>
          <w:rFonts w:ascii="Calibri" w:hAnsi="Calibri"/>
          <w:color w:val="334155"/>
          <w:sz w:val="20"/>
        </w:rPr>
        <w:t>All instructors represent Thinker HUB and are expected to uphold the following standards:</w:t>
      </w:r>
    </w:p>
    <w:p>
      <w:pPr>
        <w:spacing w:before="40" w:after="60" w:line="276" w:lineRule="auto"/>
        <w:ind w:left="288"/>
      </w:pPr>
      <w:r>
        <w:rPr>
          <w:rFonts w:ascii="Calibri" w:hAnsi="Calibri"/>
          <w:b/>
          <w:color w:val="0D9488"/>
          <w:sz w:val="20"/>
        </w:rPr>
        <w:t xml:space="preserve">1. </w:t>
      </w:r>
      <w:r>
        <w:rPr>
          <w:rFonts w:ascii="Calibri" w:hAnsi="Calibri"/>
          <w:b/>
          <w:color w:val="0F172A"/>
          <w:sz w:val="20"/>
        </w:rPr>
        <w:t xml:space="preserve">Punctuality &amp; Reliability: </w:t>
      </w:r>
      <w:r>
        <w:rPr>
          <w:rFonts w:ascii="Calibri" w:hAnsi="Calibri"/>
          <w:color w:val="334155"/>
          <w:sz w:val="20"/>
        </w:rPr>
        <w:t>Join live sessions at least 5 minutes prior to scheduled start. In case of emergency rescheduling, notify both the Admin team and cohort members at least 24 hours in advance.</w:t>
      </w:r>
    </w:p>
    <w:p>
      <w:pPr>
        <w:spacing w:before="40" w:after="60" w:line="276" w:lineRule="auto"/>
        <w:ind w:left="288"/>
      </w:pPr>
      <w:r>
        <w:rPr>
          <w:rFonts w:ascii="Calibri" w:hAnsi="Calibri"/>
          <w:b/>
          <w:color w:val="0D9488"/>
          <w:sz w:val="20"/>
        </w:rPr>
        <w:t xml:space="preserve">2. </w:t>
      </w:r>
      <w:r>
        <w:rPr>
          <w:rFonts w:ascii="Calibri" w:hAnsi="Calibri"/>
          <w:b/>
          <w:color w:val="0F172A"/>
          <w:sz w:val="20"/>
        </w:rPr>
        <w:t xml:space="preserve">Prompt Evaluation: </w:t>
      </w:r>
      <w:r>
        <w:rPr>
          <w:rFonts w:ascii="Calibri" w:hAnsi="Calibri"/>
          <w:color w:val="334155"/>
          <w:sz w:val="20"/>
        </w:rPr>
        <w:t>Review and grade student assignments within 72 hours of submission deadline. Feedback must be actionable, encouraging, and specific.</w:t>
      </w:r>
    </w:p>
    <w:p>
      <w:pPr>
        <w:spacing w:before="40" w:after="60" w:line="276" w:lineRule="auto"/>
        <w:ind w:left="288"/>
      </w:pPr>
      <w:r>
        <w:rPr>
          <w:rFonts w:ascii="Calibri" w:hAnsi="Calibri"/>
          <w:b/>
          <w:color w:val="0D9488"/>
          <w:sz w:val="20"/>
        </w:rPr>
        <w:t xml:space="preserve">3. </w:t>
      </w:r>
      <w:r>
        <w:rPr>
          <w:rFonts w:ascii="Calibri" w:hAnsi="Calibri"/>
          <w:b/>
          <w:color w:val="0F172A"/>
          <w:sz w:val="20"/>
        </w:rPr>
        <w:t xml:space="preserve">Inclusive Learning Environment: </w:t>
      </w:r>
      <w:r>
        <w:rPr>
          <w:rFonts w:ascii="Calibri" w:hAnsi="Calibri"/>
          <w:color w:val="334155"/>
          <w:sz w:val="20"/>
        </w:rPr>
        <w:t>Foster an encouraging space for students of diverse technical and educational backgrounds. Harassment, condescension, or intellectual dishonesty will result in immediate revocation of accreditation.</w:t>
      </w:r>
    </w:p>
    <w:p>
      <w:pPr>
        <w:spacing w:before="40" w:after="60" w:line="276" w:lineRule="auto"/>
        <w:ind w:left="288"/>
      </w:pPr>
      <w:r>
        <w:rPr>
          <w:rFonts w:ascii="Calibri" w:hAnsi="Calibri"/>
          <w:b/>
          <w:color w:val="0D9488"/>
          <w:sz w:val="20"/>
        </w:rPr>
        <w:t xml:space="preserve">4. </w:t>
      </w:r>
      <w:r>
        <w:rPr>
          <w:rFonts w:ascii="Calibri" w:hAnsi="Calibri"/>
          <w:b/>
          <w:color w:val="0F172A"/>
          <w:sz w:val="20"/>
        </w:rPr>
        <w:t xml:space="preserve">Data Confidentiality: </w:t>
      </w:r>
      <w:r>
        <w:rPr>
          <w:rFonts w:ascii="Calibri" w:hAnsi="Calibri"/>
          <w:color w:val="334155"/>
          <w:sz w:val="20"/>
        </w:rPr>
        <w:t>Safeguard learner contact details, grades, and submissions. Student data must never be shared or utilized outside the platform ecosystem.</w:t>
      </w:r>
    </w:p>
    <w:p>
      <w:pPr>
        <w:keepNext/>
        <w:spacing w:before="400" w:after="120"/>
      </w:pPr>
      <w:r>
        <w:rPr>
          <w:rFonts w:ascii="Calibri" w:hAnsi="Calibri"/>
          <w:b/>
          <w:color w:val="0D9488"/>
          <w:sz w:val="30"/>
        </w:rPr>
        <w:t xml:space="preserve">2.0  </w:t>
      </w:r>
      <w:r>
        <w:rPr>
          <w:rFonts w:ascii="Calibri" w:hAnsi="Calibri"/>
          <w:b/>
          <w:color w:val="0F172A"/>
          <w:sz w:val="30"/>
        </w:rPr>
        <w:t>Instructor Application &amp; Accreditation Workflow</w:t>
      </w:r>
    </w:p>
    <w:p>
      <w:pPr>
        <w:spacing w:before="0" w:after="80" w:line="276" w:lineRule="auto"/>
      </w:pPr>
      <w:r>
        <w:rPr>
          <w:rFonts w:ascii="Calibri" w:hAnsi="Calibri"/>
          <w:color w:val="334155"/>
          <w:sz w:val="20"/>
        </w:rPr>
        <w:t>Before an instructor can publish courses or lead student cohorts, they must complete the formal accreditation process. The Thinker HUB administration team audits every application to guarantee pedagogical excellence.</w:t>
      </w:r>
    </w:p>
    <w:p>
      <w:pPr>
        <w:keepNext/>
        <w:spacing w:before="280" w:after="80"/>
      </w:pPr>
      <w:r>
        <w:rPr>
          <w:rFonts w:ascii="Calibri" w:hAnsi="Calibri"/>
          <w:b/>
          <w:color w:val="0D9488"/>
          <w:sz w:val="25"/>
        </w:rPr>
        <w:t xml:space="preserve">2.1 </w:t>
      </w:r>
      <w:r>
        <w:rPr>
          <w:rFonts w:ascii="Calibri" w:hAnsi="Calibri"/>
          <w:b/>
          <w:color w:val="1E3A8A"/>
          <w:sz w:val="25"/>
        </w:rPr>
        <w:t>The Two Application Pathways</w:t>
      </w:r>
    </w:p>
    <w:p>
      <w:pPr>
        <w:spacing w:before="0" w:after="80" w:line="276" w:lineRule="auto"/>
      </w:pPr>
      <w:r>
        <w:rPr>
          <w:rFonts w:ascii="Calibri" w:hAnsi="Calibri"/>
          <w:color w:val="334155"/>
          <w:sz w:val="20"/>
        </w:rPr>
        <w:t>Applicants apply through the portal selecting one of two tracks:</w:t>
        <w:br/>
        <w:t>• Existing Course Pathway: The instructor applies to facilitate an already vetted syllabus in the Thinker HUB catalog (e.g., Python Basics, Web Development 101).</w:t>
        <w:br/>
        <w:t>• New Course Proposal Pathway: The instructor pitches an entirely new course subject, submitting a comprehensive curriculum breakdown, proposed roadmap, and target market justification.</w:t>
      </w:r>
    </w:p>
    <w:p>
      <w:pPr>
        <w:keepNext/>
        <w:spacing w:before="280" w:after="80"/>
      </w:pPr>
      <w:r>
        <w:rPr>
          <w:rFonts w:ascii="Calibri" w:hAnsi="Calibri"/>
          <w:b/>
          <w:color w:val="0D9488"/>
          <w:sz w:val="25"/>
        </w:rPr>
        <w:t xml:space="preserve">2.2 </w:t>
      </w:r>
      <w:r>
        <w:rPr>
          <w:rFonts w:ascii="Calibri" w:hAnsi="Calibri"/>
          <w:b/>
          <w:color w:val="1E3A8A"/>
          <w:sz w:val="25"/>
        </w:rPr>
        <w:t>Required Document Deliverables</w:t>
      </w:r>
    </w:p>
    <w:p>
      <w:pPr>
        <w:spacing w:before="0" w:after="80" w:line="276" w:lineRule="auto"/>
      </w:pPr>
      <w:r>
        <w:rPr>
          <w:rFonts w:ascii="Calibri" w:hAnsi="Calibri"/>
          <w:color w:val="334155"/>
          <w:sz w:val="20"/>
        </w:rPr>
        <w:t>Every application requires three core document attachments:</w:t>
      </w:r>
    </w:p>
    <w:tbl>
      <w:tblPr>
        <w:tblW w:type="auto" w:w="0"/>
        <w:jc w:val="center"/>
        <w:tblLayout w:type="fixed"/>
        <w:tblLook w:firstColumn="1" w:firstRow="1" w:lastColumn="0" w:lastRow="0" w:noHBand="0" w:noVBand="1" w:val="04A0"/>
      </w:tblPr>
      <w:tblGrid>
        <w:gridCol w:w="3120"/>
        <w:gridCol w:w="3120"/>
        <w:gridCol w:w="3120"/>
      </w:tblGrid>
      <w:tr>
        <w:trPr>
          <w:tblHeader/>
          <w:cantSplit/>
        </w:trPr>
        <w:tc>
          <w:tcPr>
            <w:tcW w:type="dxa" w:w="2592"/>
            <w:shd w:fill="0F172A"/>
            <w:tcMar>
              <w:top w:w="120" w:type="dxa"/>
              <w:bottom w:w="120" w:type="dxa"/>
              <w:left w:w="120" w:type="dxa"/>
              <w:right w:w="120" w:type="dxa"/>
            </w:tcMar>
            <w:tcBorders>
              <w:top w:val="single" w:sz="6" w:space="0" w:color="0F172A"/>
              <w:bottom w:val="single" w:sz="18" w:space="0" w:color="0D9488"/>
              <w:left w:val="none" w:sz="0" w:space="0" w:color="FFFFFF"/>
              <w:right w:val="none" w:sz="0" w:space="0" w:color="FFFFFF"/>
            </w:tcBorders>
          </w:tcPr>
          <w:p>
            <w:pPr>
              <w:spacing w:before="0" w:after="0"/>
              <w:jc w:val="left"/>
            </w:pPr>
            <w:r>
              <w:rPr>
                <w:rFonts w:ascii="Calibri" w:hAnsi="Calibri"/>
                <w:b/>
                <w:color w:val="FFFFFF"/>
                <w:sz w:val="19"/>
              </w:rPr>
              <w:t>Document</w:t>
            </w:r>
          </w:p>
        </w:tc>
        <w:tc>
          <w:tcPr>
            <w:tcW w:type="dxa" w:w="1728"/>
            <w:shd w:fill="0F172A"/>
            <w:tcMar>
              <w:top w:w="120" w:type="dxa"/>
              <w:bottom w:w="120" w:type="dxa"/>
              <w:left w:w="120" w:type="dxa"/>
              <w:right w:w="120" w:type="dxa"/>
            </w:tcMar>
            <w:tcBorders>
              <w:top w:val="single" w:sz="6" w:space="0" w:color="0F172A"/>
              <w:bottom w:val="single" w:sz="18" w:space="0" w:color="0D9488"/>
              <w:left w:val="none" w:sz="0" w:space="0" w:color="FFFFFF"/>
              <w:right w:val="none" w:sz="0" w:space="0" w:color="FFFFFF"/>
            </w:tcBorders>
          </w:tcPr>
          <w:p>
            <w:pPr>
              <w:spacing w:before="0" w:after="0"/>
              <w:jc w:val="left"/>
            </w:pPr>
            <w:r>
              <w:rPr>
                <w:rFonts w:ascii="Calibri" w:hAnsi="Calibri"/>
                <w:b/>
                <w:color w:val="FFFFFF"/>
                <w:sz w:val="19"/>
              </w:rPr>
              <w:t>Format</w:t>
            </w:r>
          </w:p>
        </w:tc>
        <w:tc>
          <w:tcPr>
            <w:tcW w:type="dxa" w:w="5040"/>
            <w:shd w:fill="0F172A"/>
            <w:tcMar>
              <w:top w:w="120" w:type="dxa"/>
              <w:bottom w:w="120" w:type="dxa"/>
              <w:left w:w="120" w:type="dxa"/>
              <w:right w:w="120" w:type="dxa"/>
            </w:tcMar>
            <w:tcBorders>
              <w:top w:val="single" w:sz="6" w:space="0" w:color="0F172A"/>
              <w:bottom w:val="single" w:sz="18" w:space="0" w:color="0D9488"/>
              <w:left w:val="none" w:sz="0" w:space="0" w:color="FFFFFF"/>
              <w:right w:val="none" w:sz="0" w:space="0" w:color="FFFFFF"/>
            </w:tcBorders>
          </w:tcPr>
          <w:p>
            <w:pPr>
              <w:spacing w:before="0" w:after="0"/>
              <w:jc w:val="left"/>
            </w:pPr>
            <w:r>
              <w:rPr>
                <w:rFonts w:ascii="Calibri" w:hAnsi="Calibri"/>
                <w:b/>
                <w:color w:val="FFFFFF"/>
                <w:sz w:val="19"/>
              </w:rPr>
              <w:t>Required Content &amp; Standards</w:t>
            </w:r>
          </w:p>
        </w:tc>
      </w:tr>
      <w:tr>
        <w:trPr>
          <w:cantSplit/>
        </w:trPr>
        <w:tc>
          <w:tcPr>
            <w:tcW w:type="dxa" w:w="2592"/>
            <w:shd w:fill="FFFFFF"/>
            <w:tcMar>
              <w:top w:w="90" w:type="dxa"/>
              <w:bottom w:w="90" w:type="dxa"/>
              <w:left w:w="120" w:type="dxa"/>
              <w:right w:w="120" w:type="dxa"/>
            </w:tcMar>
            <w:tcBorders>
              <w:top w:val="single" w:sz="4" w:space="0" w:color="E2E8F0"/>
              <w:bottom w:val="single" w:sz="4" w:space="0" w:color="E2E8F0"/>
              <w:left w:val="none" w:sz="0" w:space="0" w:color="FFFFFF"/>
              <w:right w:val="none" w:sz="0" w:space="0" w:color="FFFFFF"/>
            </w:tcBorders>
          </w:tcPr>
          <w:p>
            <w:pPr>
              <w:spacing w:before="0" w:after="0"/>
              <w:jc w:val="left"/>
            </w:pPr>
            <w:r>
              <w:rPr>
                <w:rFonts w:ascii="Calibri" w:hAnsi="Calibri"/>
                <w:color w:val="1E293B"/>
                <w:sz w:val="18"/>
              </w:rPr>
              <w:t>Professional CV / Resume</w:t>
            </w:r>
          </w:p>
        </w:tc>
        <w:tc>
          <w:tcPr>
            <w:tcW w:type="dxa" w:w="1728"/>
            <w:shd w:fill="FFFFFF"/>
            <w:tcMar>
              <w:top w:w="90" w:type="dxa"/>
              <w:bottom w:w="90" w:type="dxa"/>
              <w:left w:w="120" w:type="dxa"/>
              <w:right w:w="120" w:type="dxa"/>
            </w:tcMar>
            <w:tcBorders>
              <w:top w:val="single" w:sz="4" w:space="0" w:color="E2E8F0"/>
              <w:bottom w:val="single" w:sz="4" w:space="0" w:color="E2E8F0"/>
              <w:left w:val="none" w:sz="0" w:space="0" w:color="FFFFFF"/>
              <w:right w:val="none" w:sz="0" w:space="0" w:color="FFFFFF"/>
            </w:tcBorders>
          </w:tcPr>
          <w:p>
            <w:pPr>
              <w:spacing w:before="0" w:after="0"/>
              <w:jc w:val="left"/>
            </w:pPr>
            <w:r>
              <w:rPr>
                <w:rFonts w:ascii="Calibri" w:hAnsi="Calibri"/>
                <w:color w:val="1E293B"/>
                <w:sz w:val="18"/>
              </w:rPr>
              <w:t>PDF</w:t>
            </w:r>
          </w:p>
        </w:tc>
        <w:tc>
          <w:tcPr>
            <w:tcW w:type="dxa" w:w="5040"/>
            <w:shd w:fill="FFFFFF"/>
            <w:tcMar>
              <w:top w:w="90" w:type="dxa"/>
              <w:bottom w:w="90" w:type="dxa"/>
              <w:left w:w="120" w:type="dxa"/>
              <w:right w:w="120" w:type="dxa"/>
            </w:tcMar>
            <w:tcBorders>
              <w:top w:val="single" w:sz="4" w:space="0" w:color="E2E8F0"/>
              <w:bottom w:val="single" w:sz="4" w:space="0" w:color="E2E8F0"/>
              <w:left w:val="none" w:sz="0" w:space="0" w:color="FFFFFF"/>
              <w:right w:val="none" w:sz="0" w:space="0" w:color="FFFFFF"/>
            </w:tcBorders>
          </w:tcPr>
          <w:p>
            <w:pPr>
              <w:spacing w:before="0" w:after="0"/>
              <w:jc w:val="left"/>
            </w:pPr>
            <w:r>
              <w:rPr>
                <w:rFonts w:ascii="Calibri" w:hAnsi="Calibri"/>
                <w:color w:val="1E293B"/>
                <w:sz w:val="18"/>
              </w:rPr>
              <w:t>Detailed record of professional industry experience, past teaching/training engagements, technical certifications, and references.</w:t>
            </w:r>
          </w:p>
        </w:tc>
      </w:tr>
      <w:tr>
        <w:trPr>
          <w:cantSplit/>
        </w:trPr>
        <w:tc>
          <w:tcPr>
            <w:tcW w:type="dxa" w:w="2592"/>
            <w:shd w:fill="F8FAFC"/>
            <w:tcMar>
              <w:top w:w="90" w:type="dxa"/>
              <w:bottom w:w="90" w:type="dxa"/>
              <w:left w:w="120" w:type="dxa"/>
              <w:right w:w="120" w:type="dxa"/>
            </w:tcMar>
            <w:tcBorders>
              <w:top w:val="single" w:sz="4" w:space="0" w:color="E2E8F0"/>
              <w:bottom w:val="single" w:sz="4" w:space="0" w:color="E2E8F0"/>
              <w:left w:val="none" w:sz="0" w:space="0" w:color="FFFFFF"/>
              <w:right w:val="none" w:sz="0" w:space="0" w:color="FFFFFF"/>
            </w:tcBorders>
          </w:tcPr>
          <w:p>
            <w:pPr>
              <w:spacing w:before="0" w:after="0"/>
              <w:jc w:val="left"/>
            </w:pPr>
            <w:r>
              <w:rPr>
                <w:rFonts w:ascii="Calibri" w:hAnsi="Calibri"/>
                <w:color w:val="1E293B"/>
                <w:sz w:val="18"/>
              </w:rPr>
              <w:t>Course Curriculum</w:t>
            </w:r>
          </w:p>
        </w:tc>
        <w:tc>
          <w:tcPr>
            <w:tcW w:type="dxa" w:w="1728"/>
            <w:shd w:fill="F8FAFC"/>
            <w:tcMar>
              <w:top w:w="90" w:type="dxa"/>
              <w:bottom w:w="90" w:type="dxa"/>
              <w:left w:w="120" w:type="dxa"/>
              <w:right w:w="120" w:type="dxa"/>
            </w:tcMar>
            <w:tcBorders>
              <w:top w:val="single" w:sz="4" w:space="0" w:color="E2E8F0"/>
              <w:bottom w:val="single" w:sz="4" w:space="0" w:color="E2E8F0"/>
              <w:left w:val="none" w:sz="0" w:space="0" w:color="FFFFFF"/>
              <w:right w:val="none" w:sz="0" w:space="0" w:color="FFFFFF"/>
            </w:tcBorders>
          </w:tcPr>
          <w:p>
            <w:pPr>
              <w:spacing w:before="0" w:after="0"/>
              <w:jc w:val="left"/>
            </w:pPr>
            <w:r>
              <w:rPr>
                <w:rFonts w:ascii="Calibri" w:hAnsi="Calibri"/>
                <w:color w:val="1E293B"/>
                <w:sz w:val="18"/>
              </w:rPr>
              <w:t>PDF / DOCX</w:t>
            </w:r>
          </w:p>
        </w:tc>
        <w:tc>
          <w:tcPr>
            <w:tcW w:type="dxa" w:w="5040"/>
            <w:shd w:fill="F8FAFC"/>
            <w:tcMar>
              <w:top w:w="90" w:type="dxa"/>
              <w:bottom w:w="90" w:type="dxa"/>
              <w:left w:w="120" w:type="dxa"/>
              <w:right w:w="120" w:type="dxa"/>
            </w:tcMar>
            <w:tcBorders>
              <w:top w:val="single" w:sz="4" w:space="0" w:color="E2E8F0"/>
              <w:bottom w:val="single" w:sz="4" w:space="0" w:color="E2E8F0"/>
              <w:left w:val="none" w:sz="0" w:space="0" w:color="FFFFFF"/>
              <w:right w:val="none" w:sz="0" w:space="0" w:color="FFFFFF"/>
            </w:tcBorders>
          </w:tcPr>
          <w:p>
            <w:pPr>
              <w:spacing w:before="0" w:after="0"/>
              <w:jc w:val="left"/>
            </w:pPr>
            <w:r>
              <w:rPr>
                <w:rFonts w:ascii="Calibri" w:hAnsi="Calibri"/>
                <w:color w:val="1E293B"/>
                <w:sz w:val="18"/>
              </w:rPr>
              <w:t>Granular week-by-week syllabus outlining modular topics, laboratory exercises, reading assignments, and milestone tests.</w:t>
            </w:r>
          </w:p>
        </w:tc>
      </w:tr>
      <w:tr>
        <w:trPr>
          <w:cantSplit/>
        </w:trPr>
        <w:tc>
          <w:tcPr>
            <w:tcW w:type="dxa" w:w="2592"/>
            <w:shd w:fill="FFFFFF"/>
            <w:tcMar>
              <w:top w:w="90" w:type="dxa"/>
              <w:bottom w:w="90" w:type="dxa"/>
              <w:left w:w="120" w:type="dxa"/>
              <w:right w:w="120" w:type="dxa"/>
            </w:tcMar>
            <w:tcBorders>
              <w:top w:val="single" w:sz="4" w:space="0" w:color="E2E8F0"/>
              <w:bottom w:val="single" w:sz="4" w:space="0" w:color="E2E8F0"/>
              <w:left w:val="none" w:sz="0" w:space="0" w:color="FFFFFF"/>
              <w:right w:val="none" w:sz="0" w:space="0" w:color="FFFFFF"/>
            </w:tcBorders>
          </w:tcPr>
          <w:p>
            <w:pPr>
              <w:spacing w:before="0" w:after="0"/>
              <w:jc w:val="left"/>
            </w:pPr>
            <w:r>
              <w:rPr>
                <w:rFonts w:ascii="Calibri" w:hAnsi="Calibri"/>
                <w:color w:val="1E293B"/>
                <w:sz w:val="18"/>
              </w:rPr>
              <w:t>Course Roadmap</w:t>
            </w:r>
          </w:p>
        </w:tc>
        <w:tc>
          <w:tcPr>
            <w:tcW w:type="dxa" w:w="1728"/>
            <w:shd w:fill="FFFFFF"/>
            <w:tcMar>
              <w:top w:w="90" w:type="dxa"/>
              <w:bottom w:w="90" w:type="dxa"/>
              <w:left w:w="120" w:type="dxa"/>
              <w:right w:w="120" w:type="dxa"/>
            </w:tcMar>
            <w:tcBorders>
              <w:top w:val="single" w:sz="4" w:space="0" w:color="E2E8F0"/>
              <w:bottom w:val="single" w:sz="4" w:space="0" w:color="E2E8F0"/>
              <w:left w:val="none" w:sz="0" w:space="0" w:color="FFFFFF"/>
              <w:right w:val="none" w:sz="0" w:space="0" w:color="FFFFFF"/>
            </w:tcBorders>
          </w:tcPr>
          <w:p>
            <w:pPr>
              <w:spacing w:before="0" w:after="0"/>
              <w:jc w:val="left"/>
            </w:pPr>
            <w:r>
              <w:rPr>
                <w:rFonts w:ascii="Calibri" w:hAnsi="Calibri"/>
                <w:color w:val="1E293B"/>
                <w:sz w:val="18"/>
              </w:rPr>
              <w:t>PDF / PNG / ZIP</w:t>
            </w:r>
          </w:p>
        </w:tc>
        <w:tc>
          <w:tcPr>
            <w:tcW w:type="dxa" w:w="5040"/>
            <w:shd w:fill="FFFFFF"/>
            <w:tcMar>
              <w:top w:w="90" w:type="dxa"/>
              <w:bottom w:w="90" w:type="dxa"/>
              <w:left w:w="120" w:type="dxa"/>
              <w:right w:w="120" w:type="dxa"/>
            </w:tcMar>
            <w:tcBorders>
              <w:top w:val="single" w:sz="4" w:space="0" w:color="E2E8F0"/>
              <w:bottom w:val="single" w:sz="4" w:space="0" w:color="E2E8F0"/>
              <w:left w:val="none" w:sz="0" w:space="0" w:color="FFFFFF"/>
              <w:right w:val="none" w:sz="0" w:space="0" w:color="FFFFFF"/>
            </w:tcBorders>
          </w:tcPr>
          <w:p>
            <w:pPr>
              <w:spacing w:before="0" w:after="0"/>
              <w:jc w:val="left"/>
            </w:pPr>
            <w:r>
              <w:rPr>
                <w:rFonts w:ascii="Calibri" w:hAnsi="Calibri"/>
                <w:color w:val="1E293B"/>
                <w:sz w:val="18"/>
              </w:rPr>
              <w:t>Visual infographic or high-level progression diagram illustrating the learner journey from zero to advanced competency.</w:t>
            </w:r>
          </w:p>
        </w:tc>
      </w:tr>
    </w:tbl>
    <w:p>
      <w:pPr>
        <w:spacing w:before="0" w:after="120"/>
      </w:pPr>
    </w:p>
    <w:p>
      <w:pPr>
        <w:keepNext/>
        <w:spacing w:before="280" w:after="80"/>
      </w:pPr>
      <w:r>
        <w:rPr>
          <w:rFonts w:ascii="Calibri" w:hAnsi="Calibri"/>
          <w:b/>
          <w:color w:val="0D9488"/>
          <w:sz w:val="25"/>
        </w:rPr>
        <w:t xml:space="preserve">2.3 </w:t>
      </w:r>
      <w:r>
        <w:rPr>
          <w:rFonts w:ascii="Calibri" w:hAnsi="Calibri"/>
          <w:b/>
          <w:color w:val="1E3A8A"/>
          <w:sz w:val="25"/>
        </w:rPr>
        <w:t>The Review &amp; Verification Pipeline</w:t>
      </w:r>
    </w:p>
    <w:p>
      <w:pPr>
        <w:spacing w:before="40" w:after="60" w:line="276" w:lineRule="auto"/>
        <w:ind w:left="288"/>
      </w:pPr>
      <w:r>
        <w:rPr>
          <w:rFonts w:ascii="Calibri" w:hAnsi="Calibri"/>
          <w:b/>
          <w:color w:val="0D9488"/>
          <w:sz w:val="20"/>
        </w:rPr>
        <w:t xml:space="preserve">Step 1. </w:t>
      </w:r>
      <w:r>
        <w:rPr>
          <w:rFonts w:ascii="Calibri" w:hAnsi="Calibri"/>
          <w:b/>
          <w:color w:val="0F172A"/>
          <w:sz w:val="20"/>
        </w:rPr>
        <w:t xml:space="preserve">Application Submission: </w:t>
      </w:r>
      <w:r>
        <w:rPr>
          <w:rFonts w:ascii="Calibri" w:hAnsi="Calibri"/>
          <w:color w:val="334155"/>
          <w:sz w:val="20"/>
        </w:rPr>
        <w:t>The candidate completes the online form, providing personal data, LinkedIn/portfolio links, bio, and attaching CV, Curriculum, and Roadmap.</w:t>
      </w:r>
    </w:p>
    <w:p>
      <w:pPr>
        <w:spacing w:before="40" w:after="60" w:line="276" w:lineRule="auto"/>
        <w:ind w:left="288"/>
      </w:pPr>
      <w:r>
        <w:rPr>
          <w:rFonts w:ascii="Calibri" w:hAnsi="Calibri"/>
          <w:b/>
          <w:color w:val="0D9488"/>
          <w:sz w:val="20"/>
        </w:rPr>
        <w:t xml:space="preserve">Step 2. </w:t>
      </w:r>
      <w:r>
        <w:rPr>
          <w:rFonts w:ascii="Calibri" w:hAnsi="Calibri"/>
          <w:b/>
          <w:color w:val="0F172A"/>
          <w:sz w:val="20"/>
        </w:rPr>
        <w:t xml:space="preserve">Admin Dossier Generation: </w:t>
      </w:r>
      <w:r>
        <w:rPr>
          <w:rFonts w:ascii="Calibri" w:hAnsi="Calibri"/>
          <w:color w:val="334155"/>
          <w:sz w:val="20"/>
        </w:rPr>
        <w:t>The system generates an official, standardized PDF Application Dossier for the Academic Board, bundling applicant metrics and links.</w:t>
      </w:r>
    </w:p>
    <w:p>
      <w:pPr>
        <w:spacing w:before="40" w:after="60" w:line="276" w:lineRule="auto"/>
        <w:ind w:left="288"/>
      </w:pPr>
      <w:r>
        <w:rPr>
          <w:rFonts w:ascii="Calibri" w:hAnsi="Calibri"/>
          <w:b/>
          <w:color w:val="0D9488"/>
          <w:sz w:val="20"/>
        </w:rPr>
        <w:t xml:space="preserve">Step 3. </w:t>
      </w:r>
      <w:r>
        <w:rPr>
          <w:rFonts w:ascii="Calibri" w:hAnsi="Calibri"/>
          <w:b/>
          <w:color w:val="0F172A"/>
          <w:sz w:val="20"/>
        </w:rPr>
        <w:t xml:space="preserve">ZIP Document Archive Audit: </w:t>
      </w:r>
      <w:r>
        <w:rPr>
          <w:rFonts w:ascii="Calibri" w:hAnsi="Calibri"/>
          <w:color w:val="334155"/>
          <w:sz w:val="20"/>
        </w:rPr>
        <w:t>Admins download the applicant's complete attachment package in a single ZIP archive to inspect curriculum rigor and resume validity.</w:t>
      </w:r>
    </w:p>
    <w:p>
      <w:pPr>
        <w:spacing w:before="40" w:after="60" w:line="276" w:lineRule="auto"/>
        <w:ind w:left="288"/>
      </w:pPr>
      <w:r>
        <w:rPr>
          <w:rFonts w:ascii="Calibri" w:hAnsi="Calibri"/>
          <w:b/>
          <w:color w:val="0D9488"/>
          <w:sz w:val="20"/>
        </w:rPr>
        <w:t xml:space="preserve">Step 4. </w:t>
      </w:r>
      <w:r>
        <w:rPr>
          <w:rFonts w:ascii="Calibri" w:hAnsi="Calibri"/>
          <w:b/>
          <w:color w:val="0F172A"/>
          <w:sz w:val="20"/>
        </w:rPr>
        <w:t xml:space="preserve">Teaching Interview / Audition: </w:t>
      </w:r>
      <w:r>
        <w:rPr>
          <w:rFonts w:ascii="Calibri" w:hAnsi="Calibri"/>
          <w:color w:val="334155"/>
          <w:sz w:val="20"/>
        </w:rPr>
        <w:t>Shortlisted candidates participate in a 20-minute mock teaching audition demonstrating their classroom presence and concept breakdown.</w:t>
      </w:r>
    </w:p>
    <w:p>
      <w:pPr>
        <w:spacing w:before="40" w:after="60" w:line="276" w:lineRule="auto"/>
        <w:ind w:left="288"/>
      </w:pPr>
      <w:r>
        <w:rPr>
          <w:rFonts w:ascii="Calibri" w:hAnsi="Calibri"/>
          <w:b/>
          <w:color w:val="0D9488"/>
          <w:sz w:val="20"/>
        </w:rPr>
        <w:t xml:space="preserve">Step 5. </w:t>
      </w:r>
      <w:r>
        <w:rPr>
          <w:rFonts w:ascii="Calibri" w:hAnsi="Calibri"/>
          <w:b/>
          <w:color w:val="0F172A"/>
          <w:sz w:val="20"/>
        </w:rPr>
        <w:t xml:space="preserve">Accreditation &amp; Account Provisioning: </w:t>
      </w:r>
      <w:r>
        <w:rPr>
          <w:rFonts w:ascii="Calibri" w:hAnsi="Calibri"/>
          <w:color w:val="334155"/>
          <w:sz w:val="20"/>
        </w:rPr>
        <w:t>Upon approval, the instructor account is activated, granting access to the secure Instructor Panel at /instructor.</w:t>
      </w:r>
    </w:p>
    <w:tbl>
      <w:tblPr>
        <w:tblW w:type="auto" w:w="0"/>
        <w:jc w:val="center"/>
        <w:tblLayout w:type="fixed"/>
        <w:tblLook w:firstColumn="1" w:firstRow="1" w:lastColumn="0" w:lastRow="0" w:noHBand="0" w:noVBand="1" w:val="04A0"/>
      </w:tblPr>
      <w:tblGrid>
        <w:gridCol w:w="9360"/>
      </w:tblGrid>
      <w:tr>
        <w:tc>
          <w:tcPr>
            <w:tcW w:type="dxa" w:w="9360"/>
            <w:shd w:fill="F8FAFC"/>
            <w:tcMar>
              <w:top w:w="130" w:type="dxa"/>
              <w:bottom w:w="130" w:type="dxa"/>
              <w:left w:w="180" w:type="dxa"/>
              <w:right w:w="140" w:type="dxa"/>
            </w:tcMar>
            <w:tcBorders>
              <w:top w:val="none"/>
              <w:bottom w:val="none"/>
              <w:left w:val="single" w:sz="24" w:space="0" w:color="0F172A"/>
              <w:right w:val="none"/>
            </w:tcBorders>
          </w:tcPr>
          <w:p>
            <w:pPr>
              <w:spacing w:before="0" w:after="40" w:line="276" w:lineRule="auto"/>
            </w:pPr>
            <w:r>
              <w:rPr>
                <w:rFonts w:ascii="Calibri" w:hAnsi="Calibri"/>
                <w:b/>
                <w:color w:val="0F172A"/>
                <w:sz w:val="21"/>
              </w:rPr>
              <w:t>[IMPORTANT POLICY:] ATTACHMENT RETENTION POLICY</w:t>
              <w:br/>
            </w:r>
            <w:r>
              <w:rPr>
                <w:rFonts w:ascii="Calibri" w:hAnsi="Calibri"/>
                <w:color w:val="334155"/>
                <w:sz w:val="19"/>
              </w:rPr>
              <w:t>Ensure all uploaded documents are under 25MB and named cleanly (e.g., 'Jane_Doe_Curriculum_2026.pdf'). Our system preserves these attachments for regulatory accreditation audits and student transparency.</w:t>
            </w:r>
          </w:p>
        </w:tc>
      </w:tr>
    </w:tbl>
    <w:p>
      <w:pPr>
        <w:spacing w:before="0" w:after="80"/>
      </w:pPr>
    </w:p>
    <w:p>
      <w:pPr>
        <w:keepNext/>
        <w:spacing w:before="400" w:after="120"/>
      </w:pPr>
      <w:r>
        <w:rPr>
          <w:rFonts w:ascii="Calibri" w:hAnsi="Calibri"/>
          <w:b/>
          <w:color w:val="0D9488"/>
          <w:sz w:val="30"/>
        </w:rPr>
        <w:t xml:space="preserve">3.0  </w:t>
      </w:r>
      <w:r>
        <w:rPr>
          <w:rFonts w:ascii="Calibri" w:hAnsi="Calibri"/>
          <w:b/>
          <w:color w:val="0F172A"/>
          <w:sz w:val="30"/>
        </w:rPr>
        <w:t>Navigating the Instructor Portal (/instructor)</w:t>
      </w:r>
    </w:p>
    <w:p>
      <w:pPr>
        <w:spacing w:before="0" w:after="80" w:line="276" w:lineRule="auto"/>
      </w:pPr>
      <w:r>
        <w:rPr>
          <w:rFonts w:ascii="Calibri" w:hAnsi="Calibri"/>
          <w:color w:val="334155"/>
          <w:sz w:val="20"/>
        </w:rPr>
        <w:t>Once accredited, instructors manage their educational duties through the dedicated Filament-powered Instructor Panel. The interface is optimized for speed, clarity, and mobile responsiveness.</w:t>
      </w:r>
    </w:p>
    <w:p>
      <w:pPr>
        <w:keepNext/>
        <w:spacing w:before="280" w:after="80"/>
      </w:pPr>
      <w:r>
        <w:rPr>
          <w:rFonts w:ascii="Calibri" w:hAnsi="Calibri"/>
          <w:b/>
          <w:color w:val="0D9488"/>
          <w:sz w:val="25"/>
        </w:rPr>
        <w:t xml:space="preserve">3.1 </w:t>
      </w:r>
      <w:r>
        <w:rPr>
          <w:rFonts w:ascii="Calibri" w:hAnsi="Calibri"/>
          <w:b/>
          <w:color w:val="1E3A8A"/>
          <w:sz w:val="25"/>
        </w:rPr>
        <w:t>Portal Sections Overview</w:t>
      </w:r>
    </w:p>
    <w:p>
      <w:pPr>
        <w:pStyle w:val="ListBullet"/>
        <w:spacing w:before="0" w:after="50" w:line="276" w:lineRule="auto"/>
      </w:pPr>
      <w:r>
        <w:rPr>
          <w:rFonts w:ascii="Calibri" w:hAnsi="Calibri"/>
          <w:b/>
          <w:color w:val="0F172A"/>
          <w:sz w:val="20"/>
        </w:rPr>
        <w:t>Courses:</w:t>
      </w:r>
      <w:r>
        <w:rPr>
          <w:rFonts w:ascii="Calibri" w:hAnsi="Calibri"/>
          <w:color w:val="334155"/>
          <w:sz w:val="20"/>
        </w:rPr>
        <w:t xml:space="preserve"> Course catalog, modular syllabus builder, fee structure configuration, enrollment mode toggles.</w:t>
      </w:r>
    </w:p>
    <w:p>
      <w:pPr>
        <w:pStyle w:val="ListBullet"/>
        <w:spacing w:before="0" w:after="50" w:line="276" w:lineRule="auto"/>
      </w:pPr>
      <w:r>
        <w:rPr>
          <w:rFonts w:ascii="Calibri" w:hAnsi="Calibri"/>
          <w:b/>
          <w:color w:val="0F172A"/>
          <w:sz w:val="20"/>
        </w:rPr>
        <w:t>Course Intakes:</w:t>
      </w:r>
      <w:r>
        <w:rPr>
          <w:rFonts w:ascii="Calibri" w:hAnsi="Calibri"/>
          <w:color w:val="334155"/>
          <w:sz w:val="20"/>
        </w:rPr>
        <w:t xml:space="preserve"> Cohort intake groups, date windows, student registration limits.</w:t>
      </w:r>
    </w:p>
    <w:p>
      <w:pPr>
        <w:pStyle w:val="ListBullet"/>
        <w:spacing w:before="0" w:after="50" w:line="276" w:lineRule="auto"/>
      </w:pPr>
      <w:r>
        <w:rPr>
          <w:rFonts w:ascii="Calibri" w:hAnsi="Calibri"/>
          <w:b/>
          <w:color w:val="0F172A"/>
          <w:sz w:val="20"/>
        </w:rPr>
        <w:t>Course Sessions:</w:t>
      </w:r>
      <w:r>
        <w:rPr>
          <w:rFonts w:ascii="Calibri" w:hAnsi="Calibri"/>
          <w:color w:val="334155"/>
          <w:sz w:val="20"/>
        </w:rPr>
        <w:t xml:space="preserve"> Class timetable, recurring calendar entries, virtual meeting URLs (Zoom/Google Meet), live attendance registers.</w:t>
      </w:r>
    </w:p>
    <w:p>
      <w:pPr>
        <w:pStyle w:val="ListBullet"/>
        <w:spacing w:before="0" w:after="50" w:line="276" w:lineRule="auto"/>
      </w:pPr>
      <w:r>
        <w:rPr>
          <w:rFonts w:ascii="Calibri" w:hAnsi="Calibri"/>
          <w:b/>
          <w:color w:val="0F172A"/>
          <w:sz w:val="20"/>
        </w:rPr>
        <w:t>Learning Materials:</w:t>
      </w:r>
      <w:r>
        <w:rPr>
          <w:rFonts w:ascii="Calibri" w:hAnsi="Calibri"/>
          <w:color w:val="334155"/>
          <w:sz w:val="20"/>
        </w:rPr>
        <w:t xml:space="preserve"> Slide decks, downloadable laboratory handouts, source code starters, cheatsheets.</w:t>
      </w:r>
    </w:p>
    <w:p>
      <w:pPr>
        <w:pStyle w:val="ListBullet"/>
        <w:spacing w:before="0" w:after="50" w:line="276" w:lineRule="auto"/>
      </w:pPr>
      <w:r>
        <w:rPr>
          <w:rFonts w:ascii="Calibri" w:hAnsi="Calibri"/>
          <w:b/>
          <w:color w:val="0F172A"/>
          <w:sz w:val="20"/>
        </w:rPr>
        <w:t>Resource Videos:</w:t>
      </w:r>
      <w:r>
        <w:rPr>
          <w:rFonts w:ascii="Calibri" w:hAnsi="Calibri"/>
          <w:color w:val="334155"/>
          <w:sz w:val="20"/>
        </w:rPr>
        <w:t xml:space="preserve"> Video lectures, external Vimeo/YouTube embeddings, module progress tracking.</w:t>
      </w:r>
    </w:p>
    <w:p>
      <w:pPr>
        <w:pStyle w:val="ListBullet"/>
        <w:spacing w:before="0" w:after="50" w:line="276" w:lineRule="auto"/>
      </w:pPr>
      <w:r>
        <w:rPr>
          <w:rFonts w:ascii="Calibri" w:hAnsi="Calibri"/>
          <w:b/>
          <w:color w:val="0F172A"/>
          <w:sz w:val="20"/>
        </w:rPr>
        <w:t>Assignments &amp; Submissions:</w:t>
      </w:r>
      <w:r>
        <w:rPr>
          <w:rFonts w:ascii="Calibri" w:hAnsi="Calibri"/>
          <w:color w:val="334155"/>
          <w:sz w:val="20"/>
        </w:rPr>
        <w:t xml:space="preserve"> Homework problem sets, starter files, grading rubrics, submission evaluations.</w:t>
      </w:r>
    </w:p>
    <w:p>
      <w:pPr>
        <w:pStyle w:val="ListBullet"/>
        <w:spacing w:before="0" w:after="50" w:line="276" w:lineRule="auto"/>
      </w:pPr>
      <w:r>
        <w:rPr>
          <w:rFonts w:ascii="Calibri" w:hAnsi="Calibri"/>
          <w:b/>
          <w:color w:val="0F172A"/>
          <w:sz w:val="20"/>
        </w:rPr>
        <w:t>Quizzes:</w:t>
      </w:r>
      <w:r>
        <w:rPr>
          <w:rFonts w:ascii="Calibri" w:hAnsi="Calibri"/>
          <w:color w:val="334155"/>
          <w:sz w:val="20"/>
        </w:rPr>
        <w:t xml:space="preserve"> Formative quizzes, multiple-choice questions, theory prompts, automated scoring.</w:t>
      </w:r>
    </w:p>
    <w:p>
      <w:pPr>
        <w:pStyle w:val="ListBullet"/>
        <w:spacing w:before="0" w:after="50" w:line="276" w:lineRule="auto"/>
      </w:pPr>
      <w:r>
        <w:rPr>
          <w:rFonts w:ascii="Calibri" w:hAnsi="Calibri"/>
          <w:b/>
          <w:color w:val="0F172A"/>
          <w:sz w:val="20"/>
        </w:rPr>
        <w:t>Gamification Rules:</w:t>
      </w:r>
      <w:r>
        <w:rPr>
          <w:rFonts w:ascii="Calibri" w:hAnsi="Calibri"/>
          <w:color w:val="334155"/>
          <w:sz w:val="20"/>
        </w:rPr>
        <w:t xml:space="preserve"> Gamification rules, XP triggers, milestone badges, cohort leaderboards.</w:t>
      </w:r>
    </w:p>
    <w:p>
      <w:pPr>
        <w:pStyle w:val="ListBullet"/>
        <w:spacing w:before="0" w:after="50" w:line="276" w:lineRule="auto"/>
      </w:pPr>
      <w:r>
        <w:rPr>
          <w:rFonts w:ascii="Calibri" w:hAnsi="Calibri"/>
          <w:b/>
          <w:color w:val="0F172A"/>
          <w:sz w:val="20"/>
        </w:rPr>
        <w:t>Hub Posts:</w:t>
      </w:r>
      <w:r>
        <w:rPr>
          <w:rFonts w:ascii="Calibri" w:hAnsi="Calibri"/>
          <w:color w:val="334155"/>
          <w:sz w:val="20"/>
        </w:rPr>
        <w:t xml:space="preserve"> Cohort discussions, homework reminders, announcement broadcasts.</w:t>
      </w:r>
    </w:p>
    <w:p>
      <w:pPr>
        <w:pStyle w:val="ListBullet"/>
        <w:spacing w:before="0" w:after="50" w:line="276" w:lineRule="auto"/>
      </w:pPr>
      <w:r>
        <w:rPr>
          <w:rFonts w:ascii="Calibri" w:hAnsi="Calibri"/>
          <w:b/>
          <w:color w:val="0F172A"/>
          <w:sz w:val="20"/>
        </w:rPr>
        <w:t>Academic Reports:</w:t>
      </w:r>
      <w:r>
        <w:rPr>
          <w:rFonts w:ascii="Calibri" w:hAnsi="Calibri"/>
          <w:color w:val="334155"/>
          <w:sz w:val="20"/>
        </w:rPr>
        <w:t xml:space="preserve"> Generating student grade dossiers, attendance certificates, and cohort completion analytics.</w:t>
      </w:r>
    </w:p>
    <w:p>
      <w:pPr>
        <w:pStyle w:val="ListBullet"/>
        <w:spacing w:before="0" w:after="50" w:line="276" w:lineRule="auto"/>
      </w:pPr>
      <w:r>
        <w:rPr>
          <w:rFonts w:ascii="Calibri" w:hAnsi="Calibri"/>
          <w:b/>
          <w:color w:val="0F172A"/>
          <w:sz w:val="20"/>
        </w:rPr>
        <w:t>Claims &amp; Claim Items:</w:t>
      </w:r>
      <w:r>
        <w:rPr>
          <w:rFonts w:ascii="Calibri" w:hAnsi="Calibri"/>
          <w:color w:val="334155"/>
          <w:sz w:val="20"/>
        </w:rPr>
        <w:t xml:space="preserve"> Submitting session timesheets, grading stipends, and payout requests.</w:t>
      </w:r>
    </w:p>
    <w:p>
      <w:pPr>
        <w:keepNext/>
        <w:spacing w:before="280" w:after="80"/>
      </w:pPr>
      <w:r>
        <w:rPr>
          <w:rFonts w:ascii="Calibri" w:hAnsi="Calibri"/>
          <w:b/>
          <w:color w:val="0D9488"/>
          <w:sz w:val="25"/>
        </w:rPr>
        <w:t xml:space="preserve">3.2 </w:t>
      </w:r>
      <w:r>
        <w:rPr>
          <w:rFonts w:ascii="Calibri" w:hAnsi="Calibri"/>
          <w:b/>
          <w:color w:val="1E3A8A"/>
          <w:sz w:val="25"/>
        </w:rPr>
        <w:t>Profile Configuration &amp; Payout Preferences</w:t>
      </w:r>
    </w:p>
    <w:p>
      <w:pPr>
        <w:spacing w:before="0" w:after="80" w:line="276" w:lineRule="auto"/>
      </w:pPr>
      <w:r>
        <w:rPr>
          <w:rFonts w:ascii="Calibri" w:hAnsi="Calibri"/>
          <w:color w:val="334155"/>
          <w:sz w:val="20"/>
        </w:rPr>
        <w:t>Before scheduling your first session, visit your Profile Settings to:</w:t>
        <w:br/>
        <w:t>1. Upload a professional headshot (minimum 400x400px, neutral background).</w:t>
        <w:br/>
        <w:t>2. Polish your public Instructor Bio highlighting your professional background, companies worked with, and teaching passion.</w:t>
        <w:br/>
        <w:t>3. Configure your Payout Details: Mobile Money (Airtel/MTN) or Direct Bank Account information for monthly settlement disbursements.</w:t>
      </w:r>
    </w:p>
    <w:p>
      <w:pPr>
        <w:keepNext/>
        <w:spacing w:before="400" w:after="120"/>
      </w:pPr>
      <w:r>
        <w:rPr>
          <w:rFonts w:ascii="Calibri" w:hAnsi="Calibri"/>
          <w:b/>
          <w:color w:val="0D9488"/>
          <w:sz w:val="30"/>
        </w:rPr>
        <w:t xml:space="preserve">4.0  </w:t>
      </w:r>
      <w:r>
        <w:rPr>
          <w:rFonts w:ascii="Calibri" w:hAnsi="Calibri"/>
          <w:b/>
          <w:color w:val="0F172A"/>
          <w:sz w:val="30"/>
        </w:rPr>
        <w:t>Course Architecture &amp; Curriculum Design</w:t>
      </w:r>
    </w:p>
    <w:p>
      <w:pPr>
        <w:spacing w:before="0" w:after="80" w:line="276" w:lineRule="auto"/>
      </w:pPr>
      <w:r>
        <w:rPr>
          <w:rFonts w:ascii="Calibri" w:hAnsi="Calibri"/>
          <w:color w:val="334155"/>
          <w:sz w:val="20"/>
        </w:rPr>
        <w:t>High-performing courses on Thinker HUB adhere to a standardized architectural structure. Every course record must be thoroughly documented before being switched to Active status.</w:t>
      </w:r>
    </w:p>
    <w:p>
      <w:pPr>
        <w:keepNext/>
        <w:spacing w:before="280" w:after="80"/>
      </w:pPr>
      <w:r>
        <w:rPr>
          <w:rFonts w:ascii="Calibri" w:hAnsi="Calibri"/>
          <w:b/>
          <w:color w:val="0D9488"/>
          <w:sz w:val="25"/>
        </w:rPr>
        <w:t xml:space="preserve">4.1 </w:t>
      </w:r>
      <w:r>
        <w:rPr>
          <w:rFonts w:ascii="Calibri" w:hAnsi="Calibri"/>
          <w:b/>
          <w:color w:val="1E3A8A"/>
          <w:sz w:val="25"/>
        </w:rPr>
        <w:t>Core Course Fields &amp; Quality Standards</w:t>
      </w:r>
    </w:p>
    <w:p>
      <w:pPr>
        <w:pStyle w:val="ListBullet"/>
        <w:spacing w:before="0" w:after="50" w:line="276" w:lineRule="auto"/>
      </w:pPr>
      <w:r>
        <w:rPr>
          <w:rFonts w:ascii="Calibri" w:hAnsi="Calibri"/>
          <w:b/>
          <w:color w:val="0F172A"/>
          <w:sz w:val="20"/>
        </w:rPr>
        <w:t>Course Title:</w:t>
      </w:r>
      <w:r>
        <w:rPr>
          <w:rFonts w:ascii="Calibri" w:hAnsi="Calibri"/>
          <w:color w:val="334155"/>
          <w:sz w:val="20"/>
        </w:rPr>
        <w:t xml:space="preserve"> Must be engaging, clear, and outcome-oriented (e.g. 'Full-Stack Web Development Mastery: From Zero to Cloud Deployed'). Avoid vague titles like 'Web Basics'.</w:t>
      </w:r>
    </w:p>
    <w:p>
      <w:pPr>
        <w:pStyle w:val="ListBullet"/>
        <w:spacing w:before="0" w:after="50" w:line="276" w:lineRule="auto"/>
      </w:pPr>
      <w:r>
        <w:rPr>
          <w:rFonts w:ascii="Calibri" w:hAnsi="Calibri"/>
          <w:b/>
          <w:color w:val="0F172A"/>
          <w:sz w:val="20"/>
        </w:rPr>
        <w:t>Course Code:</w:t>
      </w:r>
      <w:r>
        <w:rPr>
          <w:rFonts w:ascii="Calibri" w:hAnsi="Calibri"/>
          <w:color w:val="334155"/>
          <w:sz w:val="20"/>
        </w:rPr>
        <w:t xml:space="preserve"> A unique uppercase code used for identification and bulk JSON linking (e.g., 'WEB-101', 'DATA-201', 'DEV-301').</w:t>
      </w:r>
    </w:p>
    <w:p>
      <w:pPr>
        <w:pStyle w:val="ListBullet"/>
        <w:spacing w:before="0" w:after="50" w:line="276" w:lineRule="auto"/>
      </w:pPr>
      <w:r>
        <w:rPr>
          <w:rFonts w:ascii="Calibri" w:hAnsi="Calibri"/>
          <w:b/>
          <w:color w:val="0F172A"/>
          <w:sz w:val="20"/>
        </w:rPr>
        <w:t>Short Description:</w:t>
      </w:r>
      <w:r>
        <w:rPr>
          <w:rFonts w:ascii="Calibri" w:hAnsi="Calibri"/>
          <w:color w:val="334155"/>
          <w:sz w:val="20"/>
        </w:rPr>
        <w:t xml:space="preserve"> 1–3 punchy sentences summarizing the course value proposition for student catalog cards.</w:t>
      </w:r>
    </w:p>
    <w:p>
      <w:pPr>
        <w:pStyle w:val="ListBullet"/>
        <w:spacing w:before="0" w:after="50" w:line="276" w:lineRule="auto"/>
      </w:pPr>
      <w:r>
        <w:rPr>
          <w:rFonts w:ascii="Calibri" w:hAnsi="Calibri"/>
          <w:b/>
          <w:color w:val="0F172A"/>
          <w:sz w:val="20"/>
        </w:rPr>
        <w:t>Detailed Overview:</w:t>
      </w:r>
      <w:r>
        <w:rPr>
          <w:rFonts w:ascii="Calibri" w:hAnsi="Calibri"/>
          <w:color w:val="334155"/>
          <w:sz w:val="20"/>
        </w:rPr>
        <w:t xml:space="preserve"> Comprehensive syllabus displayed in the student details modal. Include course philosophy, teaching methods, target audience, and real-world applicability.</w:t>
      </w:r>
    </w:p>
    <w:p>
      <w:pPr>
        <w:pStyle w:val="ListBullet"/>
        <w:spacing w:before="0" w:after="50" w:line="276" w:lineRule="auto"/>
      </w:pPr>
      <w:r>
        <w:rPr>
          <w:rFonts w:ascii="Calibri" w:hAnsi="Calibri"/>
          <w:b/>
          <w:color w:val="0F172A"/>
          <w:sz w:val="20"/>
        </w:rPr>
        <w:t>Timeline:</w:t>
      </w:r>
      <w:r>
        <w:rPr>
          <w:rFonts w:ascii="Calibri" w:hAnsi="Calibri"/>
          <w:color w:val="334155"/>
          <w:sz w:val="20"/>
        </w:rPr>
        <w:t xml:space="preserve"> Explicit weekly time commitment (e.g. '8 Weeks • 5–6 hours per week').</w:t>
      </w:r>
    </w:p>
    <w:p>
      <w:pPr>
        <w:keepNext/>
        <w:spacing w:before="280" w:after="80"/>
      </w:pPr>
      <w:r>
        <w:rPr>
          <w:rFonts w:ascii="Calibri" w:hAnsi="Calibri"/>
          <w:b/>
          <w:color w:val="0D9488"/>
          <w:sz w:val="25"/>
        </w:rPr>
        <w:t xml:space="preserve">4.2 </w:t>
      </w:r>
      <w:r>
        <w:rPr>
          <w:rFonts w:ascii="Calibri" w:hAnsi="Calibri"/>
          <w:b/>
          <w:color w:val="1E3A8A"/>
          <w:sz w:val="25"/>
        </w:rPr>
        <w:t>Multi-Tier Fee Structure Matrix</w:t>
      </w:r>
    </w:p>
    <w:p>
      <w:pPr>
        <w:spacing w:before="0" w:after="80" w:line="276" w:lineRule="auto"/>
      </w:pPr>
      <w:r>
        <w:rPr>
          <w:rFonts w:ascii="Calibri" w:hAnsi="Calibri"/>
          <w:color w:val="334155"/>
          <w:sz w:val="20"/>
        </w:rPr>
        <w:t>Thinker HUB allows flexible fee combinations across delivery categories and skill tiers:</w:t>
      </w:r>
    </w:p>
    <w:tbl>
      <w:tblPr>
        <w:tblW w:type="auto" w:w="0"/>
        <w:jc w:val="center"/>
        <w:tblLayout w:type="fixed"/>
        <w:tblLook w:firstColumn="1" w:firstRow="1" w:lastColumn="0" w:lastRow="0" w:noHBand="0" w:noVBand="1" w:val="04A0"/>
      </w:tblPr>
      <w:tblGrid>
        <w:gridCol w:w="2340"/>
        <w:gridCol w:w="2340"/>
        <w:gridCol w:w="2340"/>
        <w:gridCol w:w="2340"/>
      </w:tblGrid>
      <w:tr>
        <w:trPr>
          <w:tblHeader/>
          <w:cantSplit/>
        </w:trPr>
        <w:tc>
          <w:tcPr>
            <w:tcW w:type="dxa" w:w="2880"/>
            <w:shd w:fill="0F172A"/>
            <w:tcMar>
              <w:top w:w="120" w:type="dxa"/>
              <w:bottom w:w="120" w:type="dxa"/>
              <w:left w:w="120" w:type="dxa"/>
              <w:right w:w="120" w:type="dxa"/>
            </w:tcMar>
            <w:tcBorders>
              <w:top w:val="single" w:sz="6" w:space="0" w:color="0F172A"/>
              <w:bottom w:val="single" w:sz="18" w:space="0" w:color="0D9488"/>
              <w:left w:val="none" w:sz="0" w:space="0" w:color="FFFFFF"/>
              <w:right w:val="none" w:sz="0" w:space="0" w:color="FFFFFF"/>
            </w:tcBorders>
          </w:tcPr>
          <w:p>
            <w:pPr>
              <w:spacing w:before="0" w:after="0"/>
              <w:jc w:val="left"/>
            </w:pPr>
            <w:r>
              <w:rPr>
                <w:rFonts w:ascii="Calibri" w:hAnsi="Calibri"/>
                <w:b/>
                <w:color w:val="FFFFFF"/>
                <w:sz w:val="19"/>
              </w:rPr>
              <w:t>Delivery Category</w:t>
            </w:r>
          </w:p>
        </w:tc>
        <w:tc>
          <w:tcPr>
            <w:tcW w:type="dxa" w:w="2160"/>
            <w:shd w:fill="0F172A"/>
            <w:tcMar>
              <w:top w:w="120" w:type="dxa"/>
              <w:bottom w:w="120" w:type="dxa"/>
              <w:left w:w="120" w:type="dxa"/>
              <w:right w:w="120" w:type="dxa"/>
            </w:tcMar>
            <w:tcBorders>
              <w:top w:val="single" w:sz="6" w:space="0" w:color="0F172A"/>
              <w:bottom w:val="single" w:sz="18" w:space="0" w:color="0D9488"/>
              <w:left w:val="none" w:sz="0" w:space="0" w:color="FFFFFF"/>
              <w:right w:val="none" w:sz="0" w:space="0" w:color="FFFFFF"/>
            </w:tcBorders>
          </w:tcPr>
          <w:p>
            <w:pPr>
              <w:spacing w:before="0" w:after="0"/>
              <w:jc w:val="left"/>
            </w:pPr>
            <w:r>
              <w:rPr>
                <w:rFonts w:ascii="Calibri" w:hAnsi="Calibri"/>
                <w:b/>
                <w:color w:val="FFFFFF"/>
                <w:sz w:val="19"/>
              </w:rPr>
              <w:t>Learner Level</w:t>
            </w:r>
          </w:p>
        </w:tc>
        <w:tc>
          <w:tcPr>
            <w:tcW w:type="dxa" w:w="2160"/>
            <w:shd w:fill="0F172A"/>
            <w:tcMar>
              <w:top w:w="120" w:type="dxa"/>
              <w:bottom w:w="120" w:type="dxa"/>
              <w:left w:w="120" w:type="dxa"/>
              <w:right w:w="120" w:type="dxa"/>
            </w:tcMar>
            <w:tcBorders>
              <w:top w:val="single" w:sz="6" w:space="0" w:color="0F172A"/>
              <w:bottom w:val="single" w:sz="18" w:space="0" w:color="0D9488"/>
              <w:left w:val="none" w:sz="0" w:space="0" w:color="FFFFFF"/>
              <w:right w:val="none" w:sz="0" w:space="0" w:color="FFFFFF"/>
            </w:tcBorders>
          </w:tcPr>
          <w:p>
            <w:pPr>
              <w:spacing w:before="0" w:after="0"/>
              <w:jc w:val="left"/>
            </w:pPr>
            <w:r>
              <w:rPr>
                <w:rFonts w:ascii="Calibri" w:hAnsi="Calibri"/>
                <w:b/>
                <w:color w:val="FFFFFF"/>
                <w:sz w:val="19"/>
              </w:rPr>
              <w:t>Standard Pricing (ZMW)</w:t>
            </w:r>
          </w:p>
        </w:tc>
        <w:tc>
          <w:tcPr>
            <w:tcW w:type="dxa" w:w="2160"/>
            <w:shd w:fill="0F172A"/>
            <w:tcMar>
              <w:top w:w="120" w:type="dxa"/>
              <w:bottom w:w="120" w:type="dxa"/>
              <w:left w:w="120" w:type="dxa"/>
              <w:right w:w="120" w:type="dxa"/>
            </w:tcMar>
            <w:tcBorders>
              <w:top w:val="single" w:sz="6" w:space="0" w:color="0F172A"/>
              <w:bottom w:val="single" w:sz="18" w:space="0" w:color="0D9488"/>
              <w:left w:val="none" w:sz="0" w:space="0" w:color="FFFFFF"/>
              <w:right w:val="none" w:sz="0" w:space="0" w:color="FFFFFF"/>
            </w:tcBorders>
          </w:tcPr>
          <w:p>
            <w:pPr>
              <w:spacing w:before="0" w:after="0"/>
              <w:jc w:val="left"/>
            </w:pPr>
            <w:r>
              <w:rPr>
                <w:rFonts w:ascii="Calibri" w:hAnsi="Calibri"/>
                <w:b/>
                <w:color w:val="FFFFFF"/>
                <w:sz w:val="19"/>
              </w:rPr>
              <w:t>Recommended Duration</w:t>
            </w:r>
          </w:p>
        </w:tc>
      </w:tr>
      <w:tr>
        <w:trPr>
          <w:cantSplit/>
        </w:trPr>
        <w:tc>
          <w:tcPr>
            <w:tcW w:type="dxa" w:w="2880"/>
            <w:shd w:fill="FFFFFF"/>
            <w:tcMar>
              <w:top w:w="90" w:type="dxa"/>
              <w:bottom w:w="90" w:type="dxa"/>
              <w:left w:w="120" w:type="dxa"/>
              <w:right w:w="120" w:type="dxa"/>
            </w:tcMar>
            <w:tcBorders>
              <w:top w:val="single" w:sz="4" w:space="0" w:color="E2E8F0"/>
              <w:bottom w:val="single" w:sz="4" w:space="0" w:color="E2E8F0"/>
              <w:left w:val="none" w:sz="0" w:space="0" w:color="FFFFFF"/>
              <w:right w:val="none" w:sz="0" w:space="0" w:color="FFFFFF"/>
            </w:tcBorders>
          </w:tcPr>
          <w:p>
            <w:pPr>
              <w:spacing w:before="0" w:after="0"/>
              <w:jc w:val="left"/>
            </w:pPr>
            <w:r>
              <w:rPr>
                <w:rFonts w:ascii="Calibri" w:hAnsi="Calibri"/>
                <w:color w:val="1E293B"/>
                <w:sz w:val="18"/>
              </w:rPr>
              <w:t>One-On-One Mentorship</w:t>
            </w:r>
          </w:p>
        </w:tc>
        <w:tc>
          <w:tcPr>
            <w:tcW w:type="dxa" w:w="2160"/>
            <w:shd w:fill="FFFFFF"/>
            <w:tcMar>
              <w:top w:w="90" w:type="dxa"/>
              <w:bottom w:w="90" w:type="dxa"/>
              <w:left w:w="120" w:type="dxa"/>
              <w:right w:w="120" w:type="dxa"/>
            </w:tcMar>
            <w:tcBorders>
              <w:top w:val="single" w:sz="4" w:space="0" w:color="E2E8F0"/>
              <w:bottom w:val="single" w:sz="4" w:space="0" w:color="E2E8F0"/>
              <w:left w:val="none" w:sz="0" w:space="0" w:color="FFFFFF"/>
              <w:right w:val="none" w:sz="0" w:space="0" w:color="FFFFFF"/>
            </w:tcBorders>
          </w:tcPr>
          <w:p>
            <w:pPr>
              <w:spacing w:before="0" w:after="0"/>
              <w:jc w:val="left"/>
            </w:pPr>
            <w:r>
              <w:rPr>
                <w:rFonts w:ascii="Calibri" w:hAnsi="Calibri"/>
                <w:color w:val="1E293B"/>
                <w:sz w:val="18"/>
              </w:rPr>
              <w:t>Beginner</w:t>
            </w:r>
          </w:p>
        </w:tc>
        <w:tc>
          <w:tcPr>
            <w:tcW w:type="dxa" w:w="2160"/>
            <w:shd w:fill="FFFFFF"/>
            <w:tcMar>
              <w:top w:w="90" w:type="dxa"/>
              <w:bottom w:w="90" w:type="dxa"/>
              <w:left w:w="120" w:type="dxa"/>
              <w:right w:w="120" w:type="dxa"/>
            </w:tcMar>
            <w:tcBorders>
              <w:top w:val="single" w:sz="4" w:space="0" w:color="E2E8F0"/>
              <w:bottom w:val="single" w:sz="4" w:space="0" w:color="E2E8F0"/>
              <w:left w:val="none" w:sz="0" w:space="0" w:color="FFFFFF"/>
              <w:right w:val="none" w:sz="0" w:space="0" w:color="FFFFFF"/>
            </w:tcBorders>
          </w:tcPr>
          <w:p>
            <w:pPr>
              <w:spacing w:before="0" w:after="0"/>
              <w:jc w:val="left"/>
            </w:pPr>
            <w:r>
              <w:rPr>
                <w:rFonts w:ascii="Calibri" w:hAnsi="Calibri"/>
                <w:color w:val="1E293B"/>
                <w:sz w:val="18"/>
              </w:rPr>
              <w:t>K450 – K600</w:t>
            </w:r>
          </w:p>
        </w:tc>
        <w:tc>
          <w:tcPr>
            <w:tcW w:type="dxa" w:w="2160"/>
            <w:shd w:fill="FFFFFF"/>
            <w:tcMar>
              <w:top w:w="90" w:type="dxa"/>
              <w:bottom w:w="90" w:type="dxa"/>
              <w:left w:w="120" w:type="dxa"/>
              <w:right w:w="120" w:type="dxa"/>
            </w:tcMar>
            <w:tcBorders>
              <w:top w:val="single" w:sz="4" w:space="0" w:color="E2E8F0"/>
              <w:bottom w:val="single" w:sz="4" w:space="0" w:color="E2E8F0"/>
              <w:left w:val="none" w:sz="0" w:space="0" w:color="FFFFFF"/>
              <w:right w:val="none" w:sz="0" w:space="0" w:color="FFFFFF"/>
            </w:tcBorders>
          </w:tcPr>
          <w:p>
            <w:pPr>
              <w:spacing w:before="0" w:after="0"/>
              <w:jc w:val="left"/>
            </w:pPr>
            <w:r>
              <w:rPr>
                <w:rFonts w:ascii="Calibri" w:hAnsi="Calibri"/>
                <w:color w:val="1E293B"/>
                <w:sz w:val="18"/>
              </w:rPr>
              <w:t>6 to 8 Weeks</w:t>
            </w:r>
          </w:p>
        </w:tc>
      </w:tr>
      <w:tr>
        <w:trPr>
          <w:cantSplit/>
        </w:trPr>
        <w:tc>
          <w:tcPr>
            <w:tcW w:type="dxa" w:w="2880"/>
            <w:shd w:fill="F8FAFC"/>
            <w:tcMar>
              <w:top w:w="90" w:type="dxa"/>
              <w:bottom w:w="90" w:type="dxa"/>
              <w:left w:w="120" w:type="dxa"/>
              <w:right w:w="120" w:type="dxa"/>
            </w:tcMar>
            <w:tcBorders>
              <w:top w:val="single" w:sz="4" w:space="0" w:color="E2E8F0"/>
              <w:bottom w:val="single" w:sz="4" w:space="0" w:color="E2E8F0"/>
              <w:left w:val="none" w:sz="0" w:space="0" w:color="FFFFFF"/>
              <w:right w:val="none" w:sz="0" w:space="0" w:color="FFFFFF"/>
            </w:tcBorders>
          </w:tcPr>
          <w:p>
            <w:pPr>
              <w:spacing w:before="0" w:after="0"/>
              <w:jc w:val="left"/>
            </w:pPr>
            <w:r>
              <w:rPr>
                <w:rFonts w:ascii="Calibri" w:hAnsi="Calibri"/>
                <w:color w:val="1E293B"/>
                <w:sz w:val="18"/>
              </w:rPr>
              <w:t>One-On-One Mentorship</w:t>
            </w:r>
          </w:p>
        </w:tc>
        <w:tc>
          <w:tcPr>
            <w:tcW w:type="dxa" w:w="2160"/>
            <w:shd w:fill="F8FAFC"/>
            <w:tcMar>
              <w:top w:w="90" w:type="dxa"/>
              <w:bottom w:w="90" w:type="dxa"/>
              <w:left w:w="120" w:type="dxa"/>
              <w:right w:w="120" w:type="dxa"/>
            </w:tcMar>
            <w:tcBorders>
              <w:top w:val="single" w:sz="4" w:space="0" w:color="E2E8F0"/>
              <w:bottom w:val="single" w:sz="4" w:space="0" w:color="E2E8F0"/>
              <w:left w:val="none" w:sz="0" w:space="0" w:color="FFFFFF"/>
              <w:right w:val="none" w:sz="0" w:space="0" w:color="FFFFFF"/>
            </w:tcBorders>
          </w:tcPr>
          <w:p>
            <w:pPr>
              <w:spacing w:before="0" w:after="0"/>
              <w:jc w:val="left"/>
            </w:pPr>
            <w:r>
              <w:rPr>
                <w:rFonts w:ascii="Calibri" w:hAnsi="Calibri"/>
                <w:color w:val="1E293B"/>
                <w:sz w:val="18"/>
              </w:rPr>
              <w:t>Intermediate</w:t>
            </w:r>
          </w:p>
        </w:tc>
        <w:tc>
          <w:tcPr>
            <w:tcW w:type="dxa" w:w="2160"/>
            <w:shd w:fill="F8FAFC"/>
            <w:tcMar>
              <w:top w:w="90" w:type="dxa"/>
              <w:bottom w:w="90" w:type="dxa"/>
              <w:left w:w="120" w:type="dxa"/>
              <w:right w:w="120" w:type="dxa"/>
            </w:tcMar>
            <w:tcBorders>
              <w:top w:val="single" w:sz="4" w:space="0" w:color="E2E8F0"/>
              <w:bottom w:val="single" w:sz="4" w:space="0" w:color="E2E8F0"/>
              <w:left w:val="none" w:sz="0" w:space="0" w:color="FFFFFF"/>
              <w:right w:val="none" w:sz="0" w:space="0" w:color="FFFFFF"/>
            </w:tcBorders>
          </w:tcPr>
          <w:p>
            <w:pPr>
              <w:spacing w:before="0" w:after="0"/>
              <w:jc w:val="left"/>
            </w:pPr>
            <w:r>
              <w:rPr>
                <w:rFonts w:ascii="Calibri" w:hAnsi="Calibri"/>
                <w:color w:val="1E293B"/>
                <w:sz w:val="18"/>
              </w:rPr>
              <w:t>K600 – K800</w:t>
            </w:r>
          </w:p>
        </w:tc>
        <w:tc>
          <w:tcPr>
            <w:tcW w:type="dxa" w:w="2160"/>
            <w:shd w:fill="F8FAFC"/>
            <w:tcMar>
              <w:top w:w="90" w:type="dxa"/>
              <w:bottom w:w="90" w:type="dxa"/>
              <w:left w:w="120" w:type="dxa"/>
              <w:right w:w="120" w:type="dxa"/>
            </w:tcMar>
            <w:tcBorders>
              <w:top w:val="single" w:sz="4" w:space="0" w:color="E2E8F0"/>
              <w:bottom w:val="single" w:sz="4" w:space="0" w:color="E2E8F0"/>
              <w:left w:val="none" w:sz="0" w:space="0" w:color="FFFFFF"/>
              <w:right w:val="none" w:sz="0" w:space="0" w:color="FFFFFF"/>
            </w:tcBorders>
          </w:tcPr>
          <w:p>
            <w:pPr>
              <w:spacing w:before="0" w:after="0"/>
              <w:jc w:val="left"/>
            </w:pPr>
            <w:r>
              <w:rPr>
                <w:rFonts w:ascii="Calibri" w:hAnsi="Calibri"/>
                <w:color w:val="1E293B"/>
                <w:sz w:val="18"/>
              </w:rPr>
              <w:t>6 to 8 Weeks</w:t>
            </w:r>
          </w:p>
        </w:tc>
      </w:tr>
      <w:tr>
        <w:trPr>
          <w:cantSplit/>
        </w:trPr>
        <w:tc>
          <w:tcPr>
            <w:tcW w:type="dxa" w:w="2880"/>
            <w:shd w:fill="FFFFFF"/>
            <w:tcMar>
              <w:top w:w="90" w:type="dxa"/>
              <w:bottom w:w="90" w:type="dxa"/>
              <w:left w:w="120" w:type="dxa"/>
              <w:right w:w="120" w:type="dxa"/>
            </w:tcMar>
            <w:tcBorders>
              <w:top w:val="single" w:sz="4" w:space="0" w:color="E2E8F0"/>
              <w:bottom w:val="single" w:sz="4" w:space="0" w:color="E2E8F0"/>
              <w:left w:val="none" w:sz="0" w:space="0" w:color="FFFFFF"/>
              <w:right w:val="none" w:sz="0" w:space="0" w:color="FFFFFF"/>
            </w:tcBorders>
          </w:tcPr>
          <w:p>
            <w:pPr>
              <w:spacing w:before="0" w:after="0"/>
              <w:jc w:val="left"/>
            </w:pPr>
            <w:r>
              <w:rPr>
                <w:rFonts w:ascii="Calibri" w:hAnsi="Calibri"/>
                <w:color w:val="1E293B"/>
                <w:sz w:val="18"/>
              </w:rPr>
              <w:t>One-On-One Mentorship</w:t>
            </w:r>
          </w:p>
        </w:tc>
        <w:tc>
          <w:tcPr>
            <w:tcW w:type="dxa" w:w="2160"/>
            <w:shd w:fill="FFFFFF"/>
            <w:tcMar>
              <w:top w:w="90" w:type="dxa"/>
              <w:bottom w:w="90" w:type="dxa"/>
              <w:left w:w="120" w:type="dxa"/>
              <w:right w:w="120" w:type="dxa"/>
            </w:tcMar>
            <w:tcBorders>
              <w:top w:val="single" w:sz="4" w:space="0" w:color="E2E8F0"/>
              <w:bottom w:val="single" w:sz="4" w:space="0" w:color="E2E8F0"/>
              <w:left w:val="none" w:sz="0" w:space="0" w:color="FFFFFF"/>
              <w:right w:val="none" w:sz="0" w:space="0" w:color="FFFFFF"/>
            </w:tcBorders>
          </w:tcPr>
          <w:p>
            <w:pPr>
              <w:spacing w:before="0" w:after="0"/>
              <w:jc w:val="left"/>
            </w:pPr>
            <w:r>
              <w:rPr>
                <w:rFonts w:ascii="Calibri" w:hAnsi="Calibri"/>
                <w:color w:val="1E293B"/>
                <w:sz w:val="18"/>
              </w:rPr>
              <w:t>Advanced</w:t>
            </w:r>
          </w:p>
        </w:tc>
        <w:tc>
          <w:tcPr>
            <w:tcW w:type="dxa" w:w="2160"/>
            <w:shd w:fill="FFFFFF"/>
            <w:tcMar>
              <w:top w:w="90" w:type="dxa"/>
              <w:bottom w:w="90" w:type="dxa"/>
              <w:left w:w="120" w:type="dxa"/>
              <w:right w:w="120" w:type="dxa"/>
            </w:tcMar>
            <w:tcBorders>
              <w:top w:val="single" w:sz="4" w:space="0" w:color="E2E8F0"/>
              <w:bottom w:val="single" w:sz="4" w:space="0" w:color="E2E8F0"/>
              <w:left w:val="none" w:sz="0" w:space="0" w:color="FFFFFF"/>
              <w:right w:val="none" w:sz="0" w:space="0" w:color="FFFFFF"/>
            </w:tcBorders>
          </w:tcPr>
          <w:p>
            <w:pPr>
              <w:spacing w:before="0" w:after="0"/>
              <w:jc w:val="left"/>
            </w:pPr>
            <w:r>
              <w:rPr>
                <w:rFonts w:ascii="Calibri" w:hAnsi="Calibri"/>
                <w:color w:val="1E293B"/>
                <w:sz w:val="18"/>
              </w:rPr>
              <w:t>K800 – K1,200</w:t>
            </w:r>
          </w:p>
        </w:tc>
        <w:tc>
          <w:tcPr>
            <w:tcW w:type="dxa" w:w="2160"/>
            <w:shd w:fill="FFFFFF"/>
            <w:tcMar>
              <w:top w:w="90" w:type="dxa"/>
              <w:bottom w:w="90" w:type="dxa"/>
              <w:left w:w="120" w:type="dxa"/>
              <w:right w:w="120" w:type="dxa"/>
            </w:tcMar>
            <w:tcBorders>
              <w:top w:val="single" w:sz="4" w:space="0" w:color="E2E8F0"/>
              <w:bottom w:val="single" w:sz="4" w:space="0" w:color="E2E8F0"/>
              <w:left w:val="none" w:sz="0" w:space="0" w:color="FFFFFF"/>
              <w:right w:val="none" w:sz="0" w:space="0" w:color="FFFFFF"/>
            </w:tcBorders>
          </w:tcPr>
          <w:p>
            <w:pPr>
              <w:spacing w:before="0" w:after="0"/>
              <w:jc w:val="left"/>
            </w:pPr>
            <w:r>
              <w:rPr>
                <w:rFonts w:ascii="Calibri" w:hAnsi="Calibri"/>
                <w:color w:val="1E293B"/>
                <w:sz w:val="18"/>
              </w:rPr>
              <w:t>8 to 10 Weeks</w:t>
            </w:r>
          </w:p>
        </w:tc>
      </w:tr>
      <w:tr>
        <w:trPr>
          <w:cantSplit/>
        </w:trPr>
        <w:tc>
          <w:tcPr>
            <w:tcW w:type="dxa" w:w="2880"/>
            <w:shd w:fill="F8FAFC"/>
            <w:tcMar>
              <w:top w:w="90" w:type="dxa"/>
              <w:bottom w:w="90" w:type="dxa"/>
              <w:left w:w="120" w:type="dxa"/>
              <w:right w:w="120" w:type="dxa"/>
            </w:tcMar>
            <w:tcBorders>
              <w:top w:val="single" w:sz="4" w:space="0" w:color="E2E8F0"/>
              <w:bottom w:val="single" w:sz="4" w:space="0" w:color="E2E8F0"/>
              <w:left w:val="none" w:sz="0" w:space="0" w:color="FFFFFF"/>
              <w:right w:val="none" w:sz="0" w:space="0" w:color="FFFFFF"/>
            </w:tcBorders>
          </w:tcPr>
          <w:p>
            <w:pPr>
              <w:spacing w:before="0" w:after="0"/>
              <w:jc w:val="left"/>
            </w:pPr>
            <w:r>
              <w:rPr>
                <w:rFonts w:ascii="Calibri" w:hAnsi="Calibri"/>
                <w:color w:val="1E293B"/>
                <w:sz w:val="18"/>
              </w:rPr>
              <w:t>Group Cohort (Max 15)</w:t>
            </w:r>
          </w:p>
        </w:tc>
        <w:tc>
          <w:tcPr>
            <w:tcW w:type="dxa" w:w="2160"/>
            <w:shd w:fill="F8FAFC"/>
            <w:tcMar>
              <w:top w:w="90" w:type="dxa"/>
              <w:bottom w:w="90" w:type="dxa"/>
              <w:left w:w="120" w:type="dxa"/>
              <w:right w:w="120" w:type="dxa"/>
            </w:tcMar>
            <w:tcBorders>
              <w:top w:val="single" w:sz="4" w:space="0" w:color="E2E8F0"/>
              <w:bottom w:val="single" w:sz="4" w:space="0" w:color="E2E8F0"/>
              <w:left w:val="none" w:sz="0" w:space="0" w:color="FFFFFF"/>
              <w:right w:val="none" w:sz="0" w:space="0" w:color="FFFFFF"/>
            </w:tcBorders>
          </w:tcPr>
          <w:p>
            <w:pPr>
              <w:spacing w:before="0" w:after="0"/>
              <w:jc w:val="left"/>
            </w:pPr>
            <w:r>
              <w:rPr>
                <w:rFonts w:ascii="Calibri" w:hAnsi="Calibri"/>
                <w:color w:val="1E293B"/>
                <w:sz w:val="18"/>
              </w:rPr>
              <w:t>Beginner</w:t>
            </w:r>
          </w:p>
        </w:tc>
        <w:tc>
          <w:tcPr>
            <w:tcW w:type="dxa" w:w="2160"/>
            <w:shd w:fill="F8FAFC"/>
            <w:tcMar>
              <w:top w:w="90" w:type="dxa"/>
              <w:bottom w:w="90" w:type="dxa"/>
              <w:left w:w="120" w:type="dxa"/>
              <w:right w:w="120" w:type="dxa"/>
            </w:tcMar>
            <w:tcBorders>
              <w:top w:val="single" w:sz="4" w:space="0" w:color="E2E8F0"/>
              <w:bottom w:val="single" w:sz="4" w:space="0" w:color="E2E8F0"/>
              <w:left w:val="none" w:sz="0" w:space="0" w:color="FFFFFF"/>
              <w:right w:val="none" w:sz="0" w:space="0" w:color="FFFFFF"/>
            </w:tcBorders>
          </w:tcPr>
          <w:p>
            <w:pPr>
              <w:spacing w:before="0" w:after="0"/>
              <w:jc w:val="left"/>
            </w:pPr>
            <w:r>
              <w:rPr>
                <w:rFonts w:ascii="Calibri" w:hAnsi="Calibri"/>
                <w:color w:val="1E293B"/>
                <w:sz w:val="18"/>
              </w:rPr>
              <w:t>K250 – K350</w:t>
            </w:r>
          </w:p>
        </w:tc>
        <w:tc>
          <w:tcPr>
            <w:tcW w:type="dxa" w:w="2160"/>
            <w:shd w:fill="F8FAFC"/>
            <w:tcMar>
              <w:top w:w="90" w:type="dxa"/>
              <w:bottom w:w="90" w:type="dxa"/>
              <w:left w:w="120" w:type="dxa"/>
              <w:right w:w="120" w:type="dxa"/>
            </w:tcMar>
            <w:tcBorders>
              <w:top w:val="single" w:sz="4" w:space="0" w:color="E2E8F0"/>
              <w:bottom w:val="single" w:sz="4" w:space="0" w:color="E2E8F0"/>
              <w:left w:val="none" w:sz="0" w:space="0" w:color="FFFFFF"/>
              <w:right w:val="none" w:sz="0" w:space="0" w:color="FFFFFF"/>
            </w:tcBorders>
          </w:tcPr>
          <w:p>
            <w:pPr>
              <w:spacing w:before="0" w:after="0"/>
              <w:jc w:val="left"/>
            </w:pPr>
            <w:r>
              <w:rPr>
                <w:rFonts w:ascii="Calibri" w:hAnsi="Calibri"/>
                <w:color w:val="1E293B"/>
                <w:sz w:val="18"/>
              </w:rPr>
              <w:t>6 to 8 Weeks</w:t>
            </w:r>
          </w:p>
        </w:tc>
      </w:tr>
      <w:tr>
        <w:trPr>
          <w:cantSplit/>
        </w:trPr>
        <w:tc>
          <w:tcPr>
            <w:tcW w:type="dxa" w:w="2880"/>
            <w:shd w:fill="FFFFFF"/>
            <w:tcMar>
              <w:top w:w="90" w:type="dxa"/>
              <w:bottom w:w="90" w:type="dxa"/>
              <w:left w:w="120" w:type="dxa"/>
              <w:right w:w="120" w:type="dxa"/>
            </w:tcMar>
            <w:tcBorders>
              <w:top w:val="single" w:sz="4" w:space="0" w:color="E2E8F0"/>
              <w:bottom w:val="single" w:sz="4" w:space="0" w:color="E2E8F0"/>
              <w:left w:val="none" w:sz="0" w:space="0" w:color="FFFFFF"/>
              <w:right w:val="none" w:sz="0" w:space="0" w:color="FFFFFF"/>
            </w:tcBorders>
          </w:tcPr>
          <w:p>
            <w:pPr>
              <w:spacing w:before="0" w:after="0"/>
              <w:jc w:val="left"/>
            </w:pPr>
            <w:r>
              <w:rPr>
                <w:rFonts w:ascii="Calibri" w:hAnsi="Calibri"/>
                <w:color w:val="1E293B"/>
                <w:sz w:val="18"/>
              </w:rPr>
              <w:t>Group Cohort (Max 15)</w:t>
            </w:r>
          </w:p>
        </w:tc>
        <w:tc>
          <w:tcPr>
            <w:tcW w:type="dxa" w:w="2160"/>
            <w:shd w:fill="FFFFFF"/>
            <w:tcMar>
              <w:top w:w="90" w:type="dxa"/>
              <w:bottom w:w="90" w:type="dxa"/>
              <w:left w:w="120" w:type="dxa"/>
              <w:right w:w="120" w:type="dxa"/>
            </w:tcMar>
            <w:tcBorders>
              <w:top w:val="single" w:sz="4" w:space="0" w:color="E2E8F0"/>
              <w:bottom w:val="single" w:sz="4" w:space="0" w:color="E2E8F0"/>
              <w:left w:val="none" w:sz="0" w:space="0" w:color="FFFFFF"/>
              <w:right w:val="none" w:sz="0" w:space="0" w:color="FFFFFF"/>
            </w:tcBorders>
          </w:tcPr>
          <w:p>
            <w:pPr>
              <w:spacing w:before="0" w:after="0"/>
              <w:jc w:val="left"/>
            </w:pPr>
            <w:r>
              <w:rPr>
                <w:rFonts w:ascii="Calibri" w:hAnsi="Calibri"/>
                <w:color w:val="1E293B"/>
                <w:sz w:val="18"/>
              </w:rPr>
              <w:t>Intermediate</w:t>
            </w:r>
          </w:p>
        </w:tc>
        <w:tc>
          <w:tcPr>
            <w:tcW w:type="dxa" w:w="2160"/>
            <w:shd w:fill="FFFFFF"/>
            <w:tcMar>
              <w:top w:w="90" w:type="dxa"/>
              <w:bottom w:w="90" w:type="dxa"/>
              <w:left w:w="120" w:type="dxa"/>
              <w:right w:w="120" w:type="dxa"/>
            </w:tcMar>
            <w:tcBorders>
              <w:top w:val="single" w:sz="4" w:space="0" w:color="E2E8F0"/>
              <w:bottom w:val="single" w:sz="4" w:space="0" w:color="E2E8F0"/>
              <w:left w:val="none" w:sz="0" w:space="0" w:color="FFFFFF"/>
              <w:right w:val="none" w:sz="0" w:space="0" w:color="FFFFFF"/>
            </w:tcBorders>
          </w:tcPr>
          <w:p>
            <w:pPr>
              <w:spacing w:before="0" w:after="0"/>
              <w:jc w:val="left"/>
            </w:pPr>
            <w:r>
              <w:rPr>
                <w:rFonts w:ascii="Calibri" w:hAnsi="Calibri"/>
                <w:color w:val="1E293B"/>
                <w:sz w:val="18"/>
              </w:rPr>
              <w:t>K350 – K500</w:t>
            </w:r>
          </w:p>
        </w:tc>
        <w:tc>
          <w:tcPr>
            <w:tcW w:type="dxa" w:w="2160"/>
            <w:shd w:fill="FFFFFF"/>
            <w:tcMar>
              <w:top w:w="90" w:type="dxa"/>
              <w:bottom w:w="90" w:type="dxa"/>
              <w:left w:w="120" w:type="dxa"/>
              <w:right w:w="120" w:type="dxa"/>
            </w:tcMar>
            <w:tcBorders>
              <w:top w:val="single" w:sz="4" w:space="0" w:color="E2E8F0"/>
              <w:bottom w:val="single" w:sz="4" w:space="0" w:color="E2E8F0"/>
              <w:left w:val="none" w:sz="0" w:space="0" w:color="FFFFFF"/>
              <w:right w:val="none" w:sz="0" w:space="0" w:color="FFFFFF"/>
            </w:tcBorders>
          </w:tcPr>
          <w:p>
            <w:pPr>
              <w:spacing w:before="0" w:after="0"/>
              <w:jc w:val="left"/>
            </w:pPr>
            <w:r>
              <w:rPr>
                <w:rFonts w:ascii="Calibri" w:hAnsi="Calibri"/>
                <w:color w:val="1E293B"/>
                <w:sz w:val="18"/>
              </w:rPr>
              <w:t>6 to 8 Weeks</w:t>
            </w:r>
          </w:p>
        </w:tc>
      </w:tr>
      <w:tr>
        <w:trPr>
          <w:cantSplit/>
        </w:trPr>
        <w:tc>
          <w:tcPr>
            <w:tcW w:type="dxa" w:w="2880"/>
            <w:shd w:fill="F8FAFC"/>
            <w:tcMar>
              <w:top w:w="90" w:type="dxa"/>
              <w:bottom w:w="90" w:type="dxa"/>
              <w:left w:w="120" w:type="dxa"/>
              <w:right w:w="120" w:type="dxa"/>
            </w:tcMar>
            <w:tcBorders>
              <w:top w:val="single" w:sz="4" w:space="0" w:color="E2E8F0"/>
              <w:bottom w:val="single" w:sz="4" w:space="0" w:color="E2E8F0"/>
              <w:left w:val="none" w:sz="0" w:space="0" w:color="FFFFFF"/>
              <w:right w:val="none" w:sz="0" w:space="0" w:color="FFFFFF"/>
            </w:tcBorders>
          </w:tcPr>
          <w:p>
            <w:pPr>
              <w:spacing w:before="0" w:after="0"/>
              <w:jc w:val="left"/>
            </w:pPr>
            <w:r>
              <w:rPr>
                <w:rFonts w:ascii="Calibri" w:hAnsi="Calibri"/>
                <w:color w:val="1E293B"/>
                <w:sz w:val="18"/>
              </w:rPr>
              <w:t>Group Cohort (Max 15)</w:t>
            </w:r>
          </w:p>
        </w:tc>
        <w:tc>
          <w:tcPr>
            <w:tcW w:type="dxa" w:w="2160"/>
            <w:shd w:fill="F8FAFC"/>
            <w:tcMar>
              <w:top w:w="90" w:type="dxa"/>
              <w:bottom w:w="90" w:type="dxa"/>
              <w:left w:w="120" w:type="dxa"/>
              <w:right w:w="120" w:type="dxa"/>
            </w:tcMar>
            <w:tcBorders>
              <w:top w:val="single" w:sz="4" w:space="0" w:color="E2E8F0"/>
              <w:bottom w:val="single" w:sz="4" w:space="0" w:color="E2E8F0"/>
              <w:left w:val="none" w:sz="0" w:space="0" w:color="FFFFFF"/>
              <w:right w:val="none" w:sz="0" w:space="0" w:color="FFFFFF"/>
            </w:tcBorders>
          </w:tcPr>
          <w:p>
            <w:pPr>
              <w:spacing w:before="0" w:after="0"/>
              <w:jc w:val="left"/>
            </w:pPr>
            <w:r>
              <w:rPr>
                <w:rFonts w:ascii="Calibri" w:hAnsi="Calibri"/>
                <w:color w:val="1E293B"/>
                <w:sz w:val="18"/>
              </w:rPr>
              <w:t>Advanced</w:t>
            </w:r>
          </w:p>
        </w:tc>
        <w:tc>
          <w:tcPr>
            <w:tcW w:type="dxa" w:w="2160"/>
            <w:shd w:fill="F8FAFC"/>
            <w:tcMar>
              <w:top w:w="90" w:type="dxa"/>
              <w:bottom w:w="90" w:type="dxa"/>
              <w:left w:w="120" w:type="dxa"/>
              <w:right w:w="120" w:type="dxa"/>
            </w:tcMar>
            <w:tcBorders>
              <w:top w:val="single" w:sz="4" w:space="0" w:color="E2E8F0"/>
              <w:bottom w:val="single" w:sz="4" w:space="0" w:color="E2E8F0"/>
              <w:left w:val="none" w:sz="0" w:space="0" w:color="FFFFFF"/>
              <w:right w:val="none" w:sz="0" w:space="0" w:color="FFFFFF"/>
            </w:tcBorders>
          </w:tcPr>
          <w:p>
            <w:pPr>
              <w:spacing w:before="0" w:after="0"/>
              <w:jc w:val="left"/>
            </w:pPr>
            <w:r>
              <w:rPr>
                <w:rFonts w:ascii="Calibri" w:hAnsi="Calibri"/>
                <w:color w:val="1E293B"/>
                <w:sz w:val="18"/>
              </w:rPr>
              <w:t>K500 – K750</w:t>
            </w:r>
          </w:p>
        </w:tc>
        <w:tc>
          <w:tcPr>
            <w:tcW w:type="dxa" w:w="2160"/>
            <w:shd w:fill="F8FAFC"/>
            <w:tcMar>
              <w:top w:w="90" w:type="dxa"/>
              <w:bottom w:w="90" w:type="dxa"/>
              <w:left w:w="120" w:type="dxa"/>
              <w:right w:w="120" w:type="dxa"/>
            </w:tcMar>
            <w:tcBorders>
              <w:top w:val="single" w:sz="4" w:space="0" w:color="E2E8F0"/>
              <w:bottom w:val="single" w:sz="4" w:space="0" w:color="E2E8F0"/>
              <w:left w:val="none" w:sz="0" w:space="0" w:color="FFFFFF"/>
              <w:right w:val="none" w:sz="0" w:space="0" w:color="FFFFFF"/>
            </w:tcBorders>
          </w:tcPr>
          <w:p>
            <w:pPr>
              <w:spacing w:before="0" w:after="0"/>
              <w:jc w:val="left"/>
            </w:pPr>
            <w:r>
              <w:rPr>
                <w:rFonts w:ascii="Calibri" w:hAnsi="Calibri"/>
                <w:color w:val="1E293B"/>
                <w:sz w:val="18"/>
              </w:rPr>
              <w:t>8 to 10 Weeks</w:t>
            </w:r>
          </w:p>
        </w:tc>
      </w:tr>
    </w:tbl>
    <w:p>
      <w:pPr>
        <w:spacing w:before="0" w:after="120"/>
      </w:pPr>
    </w:p>
    <w:p>
      <w:pPr>
        <w:keepNext/>
        <w:spacing w:before="280" w:after="80"/>
      </w:pPr>
      <w:r>
        <w:rPr>
          <w:rFonts w:ascii="Calibri" w:hAnsi="Calibri"/>
          <w:b/>
          <w:color w:val="0D9488"/>
          <w:sz w:val="25"/>
        </w:rPr>
        <w:t xml:space="preserve">4.3 </w:t>
      </w:r>
      <w:r>
        <w:rPr>
          <w:rFonts w:ascii="Calibri" w:hAnsi="Calibri"/>
          <w:b/>
          <w:color w:val="1E3A8A"/>
          <w:sz w:val="25"/>
        </w:rPr>
        <w:t>Level Progression Architecture</w:t>
      </w:r>
    </w:p>
    <w:p>
      <w:pPr>
        <w:spacing w:before="0" w:after="80" w:line="276" w:lineRule="auto"/>
      </w:pPr>
      <w:r>
        <w:rPr>
          <w:rFonts w:ascii="Calibri" w:hAnsi="Calibri"/>
          <w:color w:val="334155"/>
          <w:sz w:val="20"/>
        </w:rPr>
        <w:t>To ensure a structured learning curve, courses must define milestones across three distinct levels:</w:t>
      </w:r>
    </w:p>
    <w:p>
      <w:pPr>
        <w:pStyle w:val="ListBullet"/>
        <w:spacing w:before="0" w:after="50" w:line="276" w:lineRule="auto"/>
      </w:pPr>
      <w:r>
        <w:rPr>
          <w:rFonts w:ascii="Calibri" w:hAnsi="Calibri"/>
          <w:b/>
          <w:color w:val="0F172A"/>
          <w:sz w:val="20"/>
        </w:rPr>
        <w:t>1. Beginner Milestone:</w:t>
      </w:r>
      <w:r>
        <w:rPr>
          <w:rFonts w:ascii="Calibri" w:hAnsi="Calibri"/>
          <w:color w:val="334155"/>
          <w:sz w:val="20"/>
        </w:rPr>
        <w:t xml:space="preserve"> Foundational setup, tooling installation, terminology, basic workflows, and structured exercises with heavy scaffolding.</w:t>
      </w:r>
    </w:p>
    <w:p>
      <w:pPr>
        <w:pStyle w:val="ListBullet"/>
        <w:spacing w:before="0" w:after="50" w:line="276" w:lineRule="auto"/>
      </w:pPr>
      <w:r>
        <w:rPr>
          <w:rFonts w:ascii="Calibri" w:hAnsi="Calibri"/>
          <w:b/>
          <w:color w:val="0F172A"/>
          <w:sz w:val="20"/>
        </w:rPr>
        <w:t>2. Intermediate Milestone:</w:t>
      </w:r>
      <w:r>
        <w:rPr>
          <w:rFonts w:ascii="Calibri" w:hAnsi="Calibri"/>
          <w:color w:val="334155"/>
          <w:sz w:val="20"/>
        </w:rPr>
        <w:t xml:space="preserve"> Applied development, best-practice methodologies, multi-component integrations, collaborative team assignments.</w:t>
      </w:r>
    </w:p>
    <w:p>
      <w:pPr>
        <w:pStyle w:val="ListBullet"/>
        <w:spacing w:before="0" w:after="50" w:line="276" w:lineRule="auto"/>
      </w:pPr>
      <w:r>
        <w:rPr>
          <w:rFonts w:ascii="Calibri" w:hAnsi="Calibri"/>
          <w:b/>
          <w:color w:val="0F172A"/>
          <w:sz w:val="20"/>
        </w:rPr>
        <w:t>3. Advanced Milestone:</w:t>
      </w:r>
      <w:r>
        <w:rPr>
          <w:rFonts w:ascii="Calibri" w:hAnsi="Calibri"/>
          <w:color w:val="334155"/>
          <w:sz w:val="20"/>
        </w:rPr>
        <w:t xml:space="preserve"> Complex real-world case studies, edge-case debugging, performance optimization, and an unguided capstone portfolio project.</w:t>
      </w:r>
    </w:p>
    <w:p>
      <w:pPr>
        <w:keepNext/>
        <w:spacing w:before="280" w:after="80"/>
      </w:pPr>
      <w:r>
        <w:rPr>
          <w:rFonts w:ascii="Calibri" w:hAnsi="Calibri"/>
          <w:b/>
          <w:color w:val="0D9488"/>
          <w:sz w:val="25"/>
        </w:rPr>
        <w:t xml:space="preserve">4.4 </w:t>
      </w:r>
      <w:r>
        <w:rPr>
          <w:rFonts w:ascii="Calibri" w:hAnsi="Calibri"/>
          <w:b/>
          <w:color w:val="1E3A8A"/>
          <w:sz w:val="25"/>
        </w:rPr>
        <w:t>Enrollment Mode &amp; Course Status</w:t>
      </w:r>
    </w:p>
    <w:p>
      <w:pPr>
        <w:pStyle w:val="ListBullet"/>
        <w:spacing w:before="0" w:after="50" w:line="276" w:lineRule="auto"/>
      </w:pPr>
      <w:r>
        <w:rPr>
          <w:rFonts w:ascii="Calibri" w:hAnsi="Calibri"/>
          <w:b/>
          <w:color w:val="0F172A"/>
          <w:sz w:val="20"/>
        </w:rPr>
        <w:t>Open Public Enrollment (ON):</w:t>
      </w:r>
      <w:r>
        <w:rPr>
          <w:rFonts w:ascii="Calibri" w:hAnsi="Calibri"/>
          <w:color w:val="334155"/>
          <w:sz w:val="20"/>
        </w:rPr>
        <w:t xml:space="preserve"> When enabled, any authenticated student can browse, purchase, and enroll directly.</w:t>
      </w:r>
    </w:p>
    <w:p>
      <w:pPr>
        <w:pStyle w:val="ListBullet"/>
        <w:spacing w:before="0" w:after="50" w:line="276" w:lineRule="auto"/>
      </w:pPr>
      <w:r>
        <w:rPr>
          <w:rFonts w:ascii="Calibri" w:hAnsi="Calibri"/>
          <w:b/>
          <w:color w:val="0F172A"/>
          <w:sz w:val="20"/>
        </w:rPr>
        <w:t>Restricted Enrollment (OFF):</w:t>
      </w:r>
      <w:r>
        <w:rPr>
          <w:rFonts w:ascii="Calibri" w:hAnsi="Calibri"/>
          <w:color w:val="334155"/>
          <w:sz w:val="20"/>
        </w:rPr>
        <w:t xml:space="preserve"> When disabled, the course is locked. Only students manually added by Admin/Instructor or designated enterprise cohorts can access the materials.</w:t>
      </w:r>
    </w:p>
    <w:p>
      <w:pPr>
        <w:pStyle w:val="ListBullet"/>
        <w:spacing w:before="0" w:after="50" w:line="276" w:lineRule="auto"/>
      </w:pPr>
      <w:r>
        <w:rPr>
          <w:rFonts w:ascii="Calibri" w:hAnsi="Calibri"/>
          <w:b/>
          <w:color w:val="0F172A"/>
          <w:sz w:val="20"/>
        </w:rPr>
        <w:t>Active Status:</w:t>
      </w:r>
      <w:r>
        <w:rPr>
          <w:rFonts w:ascii="Calibri" w:hAnsi="Calibri"/>
          <w:color w:val="334155"/>
          <w:sz w:val="20"/>
        </w:rPr>
        <w:t xml:space="preserve"> Keep OFF while authoring content. Switch to ON only when syllabus, quizzes, and initial session schedules are fully finalized.</w:t>
      </w:r>
    </w:p>
    <w:p>
      <w:pPr>
        <w:keepNext/>
        <w:spacing w:before="400" w:after="120"/>
      </w:pPr>
      <w:r>
        <w:rPr>
          <w:rFonts w:ascii="Calibri" w:hAnsi="Calibri"/>
          <w:b/>
          <w:color w:val="0D9488"/>
          <w:sz w:val="30"/>
        </w:rPr>
        <w:t xml:space="preserve">5.0  </w:t>
      </w:r>
      <w:r>
        <w:rPr>
          <w:rFonts w:ascii="Calibri" w:hAnsi="Calibri"/>
          <w:b/>
          <w:color w:val="0F172A"/>
          <w:sz w:val="30"/>
        </w:rPr>
        <w:t>Cohort Management &amp; Session Scheduling</w:t>
      </w:r>
    </w:p>
    <w:p>
      <w:pPr>
        <w:spacing w:before="0" w:after="80" w:line="276" w:lineRule="auto"/>
      </w:pPr>
      <w:r>
        <w:rPr>
          <w:rFonts w:ascii="Calibri" w:hAnsi="Calibri"/>
          <w:color w:val="334155"/>
          <w:sz w:val="20"/>
        </w:rPr>
        <w:t>Learning at Thinker HUB thrives on structured cohorts and consistent scheduling. Instructors organize teaching through Course Intakes and Course Sessions.</w:t>
      </w:r>
    </w:p>
    <w:p>
      <w:pPr>
        <w:keepNext/>
        <w:spacing w:before="280" w:after="80"/>
      </w:pPr>
      <w:r>
        <w:rPr>
          <w:rFonts w:ascii="Calibri" w:hAnsi="Calibri"/>
          <w:b/>
          <w:color w:val="0D9488"/>
          <w:sz w:val="25"/>
        </w:rPr>
        <w:t xml:space="preserve">5.1 </w:t>
      </w:r>
      <w:r>
        <w:rPr>
          <w:rFonts w:ascii="Calibri" w:hAnsi="Calibri"/>
          <w:b/>
          <w:color w:val="1E3A8A"/>
          <w:sz w:val="25"/>
        </w:rPr>
        <w:t>Setting Up Course Intakes</w:t>
      </w:r>
    </w:p>
    <w:p>
      <w:pPr>
        <w:spacing w:before="0" w:after="80" w:line="276" w:lineRule="auto"/>
      </w:pPr>
      <w:r>
        <w:rPr>
          <w:rFonts w:ascii="Calibri" w:hAnsi="Calibri"/>
          <w:color w:val="334155"/>
          <w:sz w:val="20"/>
        </w:rPr>
        <w:t>An Intake represents a specific batch of students progressing through the curriculum together (e.g., 'September 2026 Cohort'). Define the start date, expected graduation date, and learner registration cap (recommended maximum: 15–20 students per group for high engagement).</w:t>
      </w:r>
    </w:p>
    <w:p>
      <w:pPr>
        <w:keepNext/>
        <w:spacing w:before="280" w:after="80"/>
      </w:pPr>
      <w:r>
        <w:rPr>
          <w:rFonts w:ascii="Calibri" w:hAnsi="Calibri"/>
          <w:b/>
          <w:color w:val="0D9488"/>
          <w:sz w:val="25"/>
        </w:rPr>
        <w:t xml:space="preserve">5.2 </w:t>
      </w:r>
      <w:r>
        <w:rPr>
          <w:rFonts w:ascii="Calibri" w:hAnsi="Calibri"/>
          <w:b/>
          <w:color w:val="1E3A8A"/>
          <w:sz w:val="25"/>
        </w:rPr>
        <w:t>Scheduling Course Sessions</w:t>
      </w:r>
    </w:p>
    <w:p>
      <w:pPr>
        <w:spacing w:before="0" w:after="80" w:line="276" w:lineRule="auto"/>
      </w:pPr>
      <w:r>
        <w:rPr>
          <w:rFonts w:ascii="Calibri" w:hAnsi="Calibri"/>
          <w:color w:val="334155"/>
          <w:sz w:val="20"/>
        </w:rPr>
        <w:t>Sessions can be scheduled individually through the UI or bulk imported via JSON:</w:t>
      </w:r>
    </w:p>
    <w:p>
      <w:pPr>
        <w:pStyle w:val="ListBullet"/>
        <w:spacing w:before="0" w:after="50" w:line="276" w:lineRule="auto"/>
      </w:pPr>
      <w:r>
        <w:rPr>
          <w:rFonts w:ascii="Calibri" w:hAnsi="Calibri"/>
          <w:b/>
          <w:color w:val="0F172A"/>
          <w:sz w:val="20"/>
        </w:rPr>
        <w:t>Session Date:</w:t>
      </w:r>
      <w:r>
        <w:rPr>
          <w:rFonts w:ascii="Calibri" w:hAnsi="Calibri"/>
          <w:color w:val="334155"/>
          <w:sz w:val="20"/>
        </w:rPr>
        <w:t xml:space="preserve"> Date in YYYY-MM-DD format (e.g., '2026-09-02').</w:t>
      </w:r>
    </w:p>
    <w:p>
      <w:pPr>
        <w:pStyle w:val="ListBullet"/>
        <w:spacing w:before="0" w:after="50" w:line="276" w:lineRule="auto"/>
      </w:pPr>
      <w:r>
        <w:rPr>
          <w:rFonts w:ascii="Calibri" w:hAnsi="Calibri"/>
          <w:b/>
          <w:color w:val="0F172A"/>
          <w:sz w:val="20"/>
        </w:rPr>
        <w:t>Time Window:</w:t>
      </w:r>
      <w:r>
        <w:rPr>
          <w:rFonts w:ascii="Calibri" w:hAnsi="Calibri"/>
          <w:color w:val="334155"/>
          <w:sz w:val="20"/>
        </w:rPr>
        <w:t xml:space="preserve"> Start and end times in 24-hour format (e.g., '09:00' to '10:30').</w:t>
      </w:r>
    </w:p>
    <w:p>
      <w:pPr>
        <w:pStyle w:val="ListBullet"/>
        <w:spacing w:before="0" w:after="50" w:line="276" w:lineRule="auto"/>
      </w:pPr>
      <w:r>
        <w:rPr>
          <w:rFonts w:ascii="Calibri" w:hAnsi="Calibri"/>
          <w:b/>
          <w:color w:val="0F172A"/>
          <w:sz w:val="20"/>
        </w:rPr>
        <w:t>Session Type:</w:t>
      </w:r>
      <w:r>
        <w:rPr>
          <w:rFonts w:ascii="Calibri" w:hAnsi="Calibri"/>
          <w:color w:val="334155"/>
          <w:sz w:val="20"/>
        </w:rPr>
        <w:t xml:space="preserve"> Select 'Group' for cohort lectures or 'One-On-One' for private mentorship.</w:t>
      </w:r>
    </w:p>
    <w:p>
      <w:pPr>
        <w:pStyle w:val="ListBullet"/>
        <w:spacing w:before="0" w:after="50" w:line="276" w:lineRule="auto"/>
      </w:pPr>
      <w:r>
        <w:rPr>
          <w:rFonts w:ascii="Calibri" w:hAnsi="Calibri"/>
          <w:b/>
          <w:color w:val="0F172A"/>
          <w:sz w:val="20"/>
        </w:rPr>
        <w:t>Student Email:</w:t>
      </w:r>
      <w:r>
        <w:rPr>
          <w:rFonts w:ascii="Calibri" w:hAnsi="Calibri"/>
          <w:color w:val="334155"/>
          <w:sz w:val="20"/>
        </w:rPr>
        <w:t xml:space="preserve"> Required for 1-on-1 sessions to bind the session directly to the learner's personal calendar.</w:t>
      </w:r>
    </w:p>
    <w:p>
      <w:pPr>
        <w:pStyle w:val="ListBullet"/>
        <w:spacing w:before="0" w:after="50" w:line="276" w:lineRule="auto"/>
      </w:pPr>
      <w:r>
        <w:rPr>
          <w:rFonts w:ascii="Calibri" w:hAnsi="Calibri"/>
          <w:b/>
          <w:color w:val="0F172A"/>
          <w:sz w:val="20"/>
        </w:rPr>
        <w:t>Session Notes:</w:t>
      </w:r>
      <w:r>
        <w:rPr>
          <w:rFonts w:ascii="Calibri" w:hAnsi="Calibri"/>
          <w:color w:val="334155"/>
          <w:sz w:val="20"/>
        </w:rPr>
        <w:t xml:space="preserve"> Include the direct Zoom/Google Meet link, passcode, and pre-class reading instructions.</w:t>
      </w:r>
    </w:p>
    <w:tbl>
      <w:tblPr>
        <w:tblW w:type="auto" w:w="0"/>
        <w:jc w:val="center"/>
        <w:tblLayout w:type="fixed"/>
        <w:tblLook w:firstColumn="1" w:firstRow="1" w:lastColumn="0" w:lastRow="0" w:noHBand="0" w:noVBand="1" w:val="04A0"/>
      </w:tblPr>
      <w:tblGrid>
        <w:gridCol w:w="9360"/>
      </w:tblGrid>
      <w:tr>
        <w:tc>
          <w:tcPr>
            <w:tcW w:type="dxa" w:w="9360"/>
            <w:shd w:fill="F1F5F9"/>
            <w:tcMar>
              <w:top w:w="130" w:type="dxa"/>
              <w:bottom w:w="130" w:type="dxa"/>
              <w:left w:w="180" w:type="dxa"/>
              <w:right w:w="140" w:type="dxa"/>
            </w:tcMar>
            <w:tcBorders>
              <w:top w:val="none"/>
              <w:bottom w:val="none"/>
              <w:left w:val="single" w:sz="24" w:space="0" w:color="64748B"/>
              <w:right w:val="none"/>
            </w:tcBorders>
          </w:tcPr>
          <w:p>
            <w:pPr>
              <w:spacing w:before="0" w:after="40" w:line="276" w:lineRule="auto"/>
            </w:pPr>
            <w:r>
              <w:rPr>
                <w:rFonts w:ascii="Calibri" w:hAnsi="Calibri"/>
                <w:b/>
                <w:color w:val="64748B"/>
                <w:sz w:val="21"/>
              </w:rPr>
              <w:t>[BEST PRACTICE:] AUTOMATIC UPSERT DEDUPLICATION</w:t>
              <w:br/>
            </w:r>
            <w:r>
              <w:rPr>
                <w:rFonts w:ascii="Calibri" w:hAnsi="Calibri"/>
                <w:color w:val="334155"/>
                <w:sz w:val="19"/>
              </w:rPr>
              <w:t>When importing or updating sessions, Thinker HUB matches records based on Course Code + Session Date + Start Time + Type. Re-running imports will safely update session titles and notes without creating duplicate calendar entries.</w:t>
            </w:r>
          </w:p>
        </w:tc>
      </w:tr>
    </w:tbl>
    <w:p>
      <w:pPr>
        <w:spacing w:before="0" w:after="80"/>
      </w:pPr>
    </w:p>
    <w:p>
      <w:pPr>
        <w:keepNext/>
        <w:spacing w:before="400" w:after="120"/>
      </w:pPr>
      <w:r>
        <w:rPr>
          <w:rFonts w:ascii="Calibri" w:hAnsi="Calibri"/>
          <w:b/>
          <w:color w:val="0D9488"/>
          <w:sz w:val="30"/>
        </w:rPr>
        <w:t xml:space="preserve">6.0  </w:t>
      </w:r>
      <w:r>
        <w:rPr>
          <w:rFonts w:ascii="Calibri" w:hAnsi="Calibri"/>
          <w:b/>
          <w:color w:val="0F172A"/>
          <w:sz w:val="30"/>
        </w:rPr>
        <w:t>Live Classroom Delivery &amp; Attendance Tracking</w:t>
      </w:r>
    </w:p>
    <w:p>
      <w:pPr>
        <w:spacing w:before="0" w:after="80" w:line="276" w:lineRule="auto"/>
      </w:pPr>
      <w:r>
        <w:rPr>
          <w:rFonts w:ascii="Calibri" w:hAnsi="Calibri"/>
          <w:color w:val="334155"/>
          <w:sz w:val="20"/>
        </w:rPr>
        <w:t>Consistent attendance is the single highest predictor of student graduation success. Thinker HUB requires instructors to maintain an accurate, real-time attendance register for every scheduled session.</w:t>
      </w:r>
    </w:p>
    <w:p>
      <w:pPr>
        <w:keepNext/>
        <w:spacing w:before="280" w:after="80"/>
      </w:pPr>
      <w:r>
        <w:rPr>
          <w:rFonts w:ascii="Calibri" w:hAnsi="Calibri"/>
          <w:b/>
          <w:color w:val="0D9488"/>
          <w:sz w:val="25"/>
        </w:rPr>
        <w:t xml:space="preserve">6.1 </w:t>
      </w:r>
      <w:r>
        <w:rPr>
          <w:rFonts w:ascii="Calibri" w:hAnsi="Calibri"/>
          <w:b/>
          <w:color w:val="1E3A8A"/>
          <w:sz w:val="25"/>
        </w:rPr>
        <w:t>The Pre-Flight Routine (15 Minutes Before Class)</w:t>
      </w:r>
    </w:p>
    <w:p>
      <w:pPr>
        <w:spacing w:before="40" w:after="60" w:line="276" w:lineRule="auto"/>
        <w:ind w:left="288"/>
      </w:pPr>
      <w:r>
        <w:rPr>
          <w:rFonts w:ascii="Calibri" w:hAnsi="Calibri"/>
          <w:b/>
          <w:color w:val="0D9488"/>
          <w:sz w:val="20"/>
        </w:rPr>
        <w:t xml:space="preserve">1. </w:t>
      </w:r>
      <w:r>
        <w:rPr>
          <w:rFonts w:ascii="Calibri" w:hAnsi="Calibri"/>
          <w:b/>
          <w:color w:val="0F172A"/>
          <w:sz w:val="20"/>
        </w:rPr>
        <w:t xml:space="preserve">Room / Link Check: </w:t>
      </w:r>
      <w:r>
        <w:rPr>
          <w:rFonts w:ascii="Calibri" w:hAnsi="Calibri"/>
          <w:color w:val="334155"/>
          <w:sz w:val="20"/>
        </w:rPr>
        <w:t>Launch your virtual meeting room (or arrive in the physical laboratory) 15 minutes before the hour. Verify audio, camera, and screen sharing.</w:t>
      </w:r>
    </w:p>
    <w:p>
      <w:pPr>
        <w:spacing w:before="40" w:after="60" w:line="276" w:lineRule="auto"/>
        <w:ind w:left="288"/>
      </w:pPr>
      <w:r>
        <w:rPr>
          <w:rFonts w:ascii="Calibri" w:hAnsi="Calibri"/>
          <w:b/>
          <w:color w:val="0D9488"/>
          <w:sz w:val="20"/>
        </w:rPr>
        <w:t xml:space="preserve">2. </w:t>
      </w:r>
      <w:r>
        <w:rPr>
          <w:rFonts w:ascii="Calibri" w:hAnsi="Calibri"/>
          <w:b/>
          <w:color w:val="0F172A"/>
          <w:sz w:val="20"/>
        </w:rPr>
        <w:t xml:space="preserve">Load Slide Deck &amp; Code Starter: </w:t>
      </w:r>
      <w:r>
        <w:rPr>
          <w:rFonts w:ascii="Calibri" w:hAnsi="Calibri"/>
          <w:color w:val="334155"/>
          <w:sz w:val="20"/>
        </w:rPr>
        <w:t>Open all demo terminals, presentation slides, and browser windows. Verify test servers are operational.</w:t>
      </w:r>
    </w:p>
    <w:p>
      <w:pPr>
        <w:spacing w:before="40" w:after="60" w:line="276" w:lineRule="auto"/>
        <w:ind w:left="288"/>
      </w:pPr>
      <w:r>
        <w:rPr>
          <w:rFonts w:ascii="Calibri" w:hAnsi="Calibri"/>
          <w:b/>
          <w:color w:val="0D9488"/>
          <w:sz w:val="20"/>
        </w:rPr>
        <w:t xml:space="preserve">3. </w:t>
      </w:r>
      <w:r>
        <w:rPr>
          <w:rFonts w:ascii="Calibri" w:hAnsi="Calibri"/>
          <w:b/>
          <w:color w:val="0F172A"/>
          <w:sz w:val="20"/>
        </w:rPr>
        <w:t xml:space="preserve">Broadcast Session Reminder: </w:t>
      </w:r>
      <w:r>
        <w:rPr>
          <w:rFonts w:ascii="Calibri" w:hAnsi="Calibri"/>
          <w:color w:val="334155"/>
          <w:sz w:val="20"/>
        </w:rPr>
        <w:t>Publish a quick Hub Post or message in the cohort room announcing that doors are open.</w:t>
      </w:r>
    </w:p>
    <w:p>
      <w:pPr>
        <w:keepNext/>
        <w:spacing w:before="280" w:after="80"/>
      </w:pPr>
      <w:r>
        <w:rPr>
          <w:rFonts w:ascii="Calibri" w:hAnsi="Calibri"/>
          <w:b/>
          <w:color w:val="0D9488"/>
          <w:sz w:val="25"/>
        </w:rPr>
        <w:t xml:space="preserve">6.2 </w:t>
      </w:r>
      <w:r>
        <w:rPr>
          <w:rFonts w:ascii="Calibri" w:hAnsi="Calibri"/>
          <w:b/>
          <w:color w:val="1E3A8A"/>
          <w:sz w:val="25"/>
        </w:rPr>
        <w:t>Marking the Attendance Register</w:t>
      </w:r>
    </w:p>
    <w:p>
      <w:pPr>
        <w:spacing w:before="0" w:after="80" w:line="276" w:lineRule="auto"/>
      </w:pPr>
      <w:r>
        <w:rPr>
          <w:rFonts w:ascii="Calibri" w:hAnsi="Calibri"/>
          <w:color w:val="334155"/>
          <w:sz w:val="20"/>
        </w:rPr>
        <w:t>During or immediately following class, navigate to Course Sessions -&gt; View Session -&gt; Attendance Register:</w:t>
      </w:r>
    </w:p>
    <w:tbl>
      <w:tblPr>
        <w:tblW w:type="auto" w:w="0"/>
        <w:jc w:val="center"/>
        <w:tblLayout w:type="fixed"/>
        <w:tblLook w:firstColumn="1" w:firstRow="1" w:lastColumn="0" w:lastRow="0" w:noHBand="0" w:noVBand="1" w:val="04A0"/>
      </w:tblPr>
      <w:tblGrid>
        <w:gridCol w:w="2340"/>
        <w:gridCol w:w="2340"/>
        <w:gridCol w:w="2340"/>
        <w:gridCol w:w="2340"/>
      </w:tblGrid>
      <w:tr>
        <w:trPr>
          <w:tblHeader/>
          <w:cantSplit/>
        </w:trPr>
        <w:tc>
          <w:tcPr>
            <w:tcW w:type="dxa" w:w="2160"/>
            <w:shd w:fill="0F172A"/>
            <w:tcMar>
              <w:top w:w="120" w:type="dxa"/>
              <w:bottom w:w="120" w:type="dxa"/>
              <w:left w:w="120" w:type="dxa"/>
              <w:right w:w="120" w:type="dxa"/>
            </w:tcMar>
            <w:tcBorders>
              <w:top w:val="single" w:sz="6" w:space="0" w:color="0F172A"/>
              <w:bottom w:val="single" w:sz="18" w:space="0" w:color="0D9488"/>
              <w:left w:val="none" w:sz="0" w:space="0" w:color="FFFFFF"/>
              <w:right w:val="none" w:sz="0" w:space="0" w:color="FFFFFF"/>
            </w:tcBorders>
          </w:tcPr>
          <w:p>
            <w:pPr>
              <w:spacing w:before="0" w:after="0"/>
              <w:jc w:val="left"/>
            </w:pPr>
            <w:r>
              <w:rPr>
                <w:rFonts w:ascii="Calibri" w:hAnsi="Calibri"/>
                <w:b/>
                <w:color w:val="FFFFFF"/>
                <w:sz w:val="19"/>
              </w:rPr>
              <w:t>Attendance Status</w:t>
            </w:r>
          </w:p>
        </w:tc>
        <w:tc>
          <w:tcPr>
            <w:tcW w:type="dxa" w:w="3168"/>
            <w:shd w:fill="0F172A"/>
            <w:tcMar>
              <w:top w:w="120" w:type="dxa"/>
              <w:bottom w:w="120" w:type="dxa"/>
              <w:left w:w="120" w:type="dxa"/>
              <w:right w:w="120" w:type="dxa"/>
            </w:tcMar>
            <w:tcBorders>
              <w:top w:val="single" w:sz="6" w:space="0" w:color="0F172A"/>
              <w:bottom w:val="single" w:sz="18" w:space="0" w:color="0D9488"/>
              <w:left w:val="none" w:sz="0" w:space="0" w:color="FFFFFF"/>
              <w:right w:val="none" w:sz="0" w:space="0" w:color="FFFFFF"/>
            </w:tcBorders>
          </w:tcPr>
          <w:p>
            <w:pPr>
              <w:spacing w:before="0" w:after="0"/>
              <w:jc w:val="left"/>
            </w:pPr>
            <w:r>
              <w:rPr>
                <w:rFonts w:ascii="Calibri" w:hAnsi="Calibri"/>
                <w:b/>
                <w:color w:val="FFFFFF"/>
                <w:sz w:val="19"/>
              </w:rPr>
              <w:t>Academic Definition</w:t>
            </w:r>
          </w:p>
        </w:tc>
        <w:tc>
          <w:tcPr>
            <w:tcW w:type="dxa" w:w="2016"/>
            <w:shd w:fill="0F172A"/>
            <w:tcMar>
              <w:top w:w="120" w:type="dxa"/>
              <w:bottom w:w="120" w:type="dxa"/>
              <w:left w:w="120" w:type="dxa"/>
              <w:right w:w="120" w:type="dxa"/>
            </w:tcMar>
            <w:tcBorders>
              <w:top w:val="single" w:sz="6" w:space="0" w:color="0F172A"/>
              <w:bottom w:val="single" w:sz="18" w:space="0" w:color="0D9488"/>
              <w:left w:val="none" w:sz="0" w:space="0" w:color="FFFFFF"/>
              <w:right w:val="none" w:sz="0" w:space="0" w:color="FFFFFF"/>
            </w:tcBorders>
          </w:tcPr>
          <w:p>
            <w:pPr>
              <w:spacing w:before="0" w:after="0"/>
              <w:jc w:val="left"/>
            </w:pPr>
            <w:r>
              <w:rPr>
                <w:rFonts w:ascii="Calibri" w:hAnsi="Calibri"/>
                <w:b/>
                <w:color w:val="FFFFFF"/>
                <w:sz w:val="19"/>
              </w:rPr>
              <w:t>Impact on Record</w:t>
            </w:r>
          </w:p>
        </w:tc>
        <w:tc>
          <w:tcPr>
            <w:tcW w:type="dxa" w:w="2016"/>
            <w:shd w:fill="0F172A"/>
            <w:tcMar>
              <w:top w:w="120" w:type="dxa"/>
              <w:bottom w:w="120" w:type="dxa"/>
              <w:left w:w="120" w:type="dxa"/>
              <w:right w:w="120" w:type="dxa"/>
            </w:tcMar>
            <w:tcBorders>
              <w:top w:val="single" w:sz="6" w:space="0" w:color="0F172A"/>
              <w:bottom w:val="single" w:sz="18" w:space="0" w:color="0D9488"/>
              <w:left w:val="none" w:sz="0" w:space="0" w:color="FFFFFF"/>
              <w:right w:val="none" w:sz="0" w:space="0" w:color="FFFFFF"/>
            </w:tcBorders>
          </w:tcPr>
          <w:p>
            <w:pPr>
              <w:spacing w:before="0" w:after="0"/>
              <w:jc w:val="left"/>
            </w:pPr>
            <w:r>
              <w:rPr>
                <w:rFonts w:ascii="Calibri" w:hAnsi="Calibri"/>
                <w:b/>
                <w:color w:val="FFFFFF"/>
                <w:sz w:val="19"/>
              </w:rPr>
              <w:t>Action Required</w:t>
            </w:r>
          </w:p>
        </w:tc>
      </w:tr>
      <w:tr>
        <w:trPr>
          <w:cantSplit/>
        </w:trPr>
        <w:tc>
          <w:tcPr>
            <w:tcW w:type="dxa" w:w="2160"/>
            <w:shd w:fill="FFFFFF"/>
            <w:tcMar>
              <w:top w:w="90" w:type="dxa"/>
              <w:bottom w:w="90" w:type="dxa"/>
              <w:left w:w="120" w:type="dxa"/>
              <w:right w:w="120" w:type="dxa"/>
            </w:tcMar>
            <w:tcBorders>
              <w:top w:val="single" w:sz="4" w:space="0" w:color="E2E8F0"/>
              <w:bottom w:val="single" w:sz="4" w:space="0" w:color="E2E8F0"/>
              <w:left w:val="none" w:sz="0" w:space="0" w:color="FFFFFF"/>
              <w:right w:val="none" w:sz="0" w:space="0" w:color="FFFFFF"/>
            </w:tcBorders>
          </w:tcPr>
          <w:p>
            <w:pPr>
              <w:spacing w:before="0" w:after="0"/>
              <w:jc w:val="left"/>
            </w:pPr>
            <w:r>
              <w:rPr>
                <w:rFonts w:ascii="Calibri" w:hAnsi="Calibri"/>
                <w:color w:val="1E293B"/>
                <w:sz w:val="18"/>
              </w:rPr>
              <w:t>Present</w:t>
            </w:r>
          </w:p>
        </w:tc>
        <w:tc>
          <w:tcPr>
            <w:tcW w:type="dxa" w:w="3168"/>
            <w:shd w:fill="FFFFFF"/>
            <w:tcMar>
              <w:top w:w="90" w:type="dxa"/>
              <w:bottom w:w="90" w:type="dxa"/>
              <w:left w:w="120" w:type="dxa"/>
              <w:right w:w="120" w:type="dxa"/>
            </w:tcMar>
            <w:tcBorders>
              <w:top w:val="single" w:sz="4" w:space="0" w:color="E2E8F0"/>
              <w:bottom w:val="single" w:sz="4" w:space="0" w:color="E2E8F0"/>
              <w:left w:val="none" w:sz="0" w:space="0" w:color="FFFFFF"/>
              <w:right w:val="none" w:sz="0" w:space="0" w:color="FFFFFF"/>
            </w:tcBorders>
          </w:tcPr>
          <w:p>
            <w:pPr>
              <w:spacing w:before="0" w:after="0"/>
              <w:jc w:val="left"/>
            </w:pPr>
            <w:r>
              <w:rPr>
                <w:rFonts w:ascii="Calibri" w:hAnsi="Calibri"/>
                <w:color w:val="1E293B"/>
                <w:sz w:val="18"/>
              </w:rPr>
              <w:t>Learner joined on time and participated in ≥ 80% of session.</w:t>
            </w:r>
          </w:p>
        </w:tc>
        <w:tc>
          <w:tcPr>
            <w:tcW w:type="dxa" w:w="2016"/>
            <w:shd w:fill="FFFFFF"/>
            <w:tcMar>
              <w:top w:w="90" w:type="dxa"/>
              <w:bottom w:w="90" w:type="dxa"/>
              <w:left w:w="120" w:type="dxa"/>
              <w:right w:w="120" w:type="dxa"/>
            </w:tcMar>
            <w:tcBorders>
              <w:top w:val="single" w:sz="4" w:space="0" w:color="E2E8F0"/>
              <w:bottom w:val="single" w:sz="4" w:space="0" w:color="E2E8F0"/>
              <w:left w:val="none" w:sz="0" w:space="0" w:color="FFFFFF"/>
              <w:right w:val="none" w:sz="0" w:space="0" w:color="FFFFFF"/>
            </w:tcBorders>
          </w:tcPr>
          <w:p>
            <w:pPr>
              <w:spacing w:before="0" w:after="0"/>
              <w:jc w:val="left"/>
            </w:pPr>
            <w:r>
              <w:rPr>
                <w:rFonts w:ascii="Calibri" w:hAnsi="Calibri"/>
                <w:color w:val="1E293B"/>
                <w:sz w:val="18"/>
              </w:rPr>
              <w:t>Full Credit (100%)</w:t>
            </w:r>
          </w:p>
        </w:tc>
        <w:tc>
          <w:tcPr>
            <w:tcW w:type="dxa" w:w="2016"/>
            <w:shd w:fill="FFFFFF"/>
            <w:tcMar>
              <w:top w:w="90" w:type="dxa"/>
              <w:bottom w:w="90" w:type="dxa"/>
              <w:left w:w="120" w:type="dxa"/>
              <w:right w:w="120" w:type="dxa"/>
            </w:tcMar>
            <w:tcBorders>
              <w:top w:val="single" w:sz="4" w:space="0" w:color="E2E8F0"/>
              <w:bottom w:val="single" w:sz="4" w:space="0" w:color="E2E8F0"/>
              <w:left w:val="none" w:sz="0" w:space="0" w:color="FFFFFF"/>
              <w:right w:val="none" w:sz="0" w:space="0" w:color="FFFFFF"/>
            </w:tcBorders>
          </w:tcPr>
          <w:p>
            <w:pPr>
              <w:spacing w:before="0" w:after="0"/>
              <w:jc w:val="left"/>
            </w:pPr>
            <w:r>
              <w:rPr>
                <w:rFonts w:ascii="Calibri" w:hAnsi="Calibri"/>
                <w:color w:val="1E293B"/>
                <w:sz w:val="18"/>
              </w:rPr>
              <w:t>Mark status; award attendance XP.</w:t>
            </w:r>
          </w:p>
        </w:tc>
      </w:tr>
      <w:tr>
        <w:trPr>
          <w:cantSplit/>
        </w:trPr>
        <w:tc>
          <w:tcPr>
            <w:tcW w:type="dxa" w:w="2160"/>
            <w:shd w:fill="F8FAFC"/>
            <w:tcMar>
              <w:top w:w="90" w:type="dxa"/>
              <w:bottom w:w="90" w:type="dxa"/>
              <w:left w:w="120" w:type="dxa"/>
              <w:right w:w="120" w:type="dxa"/>
            </w:tcMar>
            <w:tcBorders>
              <w:top w:val="single" w:sz="4" w:space="0" w:color="E2E8F0"/>
              <w:bottom w:val="single" w:sz="4" w:space="0" w:color="E2E8F0"/>
              <w:left w:val="none" w:sz="0" w:space="0" w:color="FFFFFF"/>
              <w:right w:val="none" w:sz="0" w:space="0" w:color="FFFFFF"/>
            </w:tcBorders>
          </w:tcPr>
          <w:p>
            <w:pPr>
              <w:spacing w:before="0" w:after="0"/>
              <w:jc w:val="left"/>
            </w:pPr>
            <w:r>
              <w:rPr>
                <w:rFonts w:ascii="Calibri" w:hAnsi="Calibri"/>
                <w:color w:val="1E293B"/>
                <w:sz w:val="18"/>
              </w:rPr>
              <w:t>Late</w:t>
            </w:r>
          </w:p>
        </w:tc>
        <w:tc>
          <w:tcPr>
            <w:tcW w:type="dxa" w:w="3168"/>
            <w:shd w:fill="F8FAFC"/>
            <w:tcMar>
              <w:top w:w="90" w:type="dxa"/>
              <w:bottom w:w="90" w:type="dxa"/>
              <w:left w:w="120" w:type="dxa"/>
              <w:right w:w="120" w:type="dxa"/>
            </w:tcMar>
            <w:tcBorders>
              <w:top w:val="single" w:sz="4" w:space="0" w:color="E2E8F0"/>
              <w:bottom w:val="single" w:sz="4" w:space="0" w:color="E2E8F0"/>
              <w:left w:val="none" w:sz="0" w:space="0" w:color="FFFFFF"/>
              <w:right w:val="none" w:sz="0" w:space="0" w:color="FFFFFF"/>
            </w:tcBorders>
          </w:tcPr>
          <w:p>
            <w:pPr>
              <w:spacing w:before="0" w:after="0"/>
              <w:jc w:val="left"/>
            </w:pPr>
            <w:r>
              <w:rPr>
                <w:rFonts w:ascii="Calibri" w:hAnsi="Calibri"/>
                <w:color w:val="1E293B"/>
                <w:sz w:val="18"/>
              </w:rPr>
              <w:t>Learner joined 10–25 minutes after scheduled start.</w:t>
            </w:r>
          </w:p>
        </w:tc>
        <w:tc>
          <w:tcPr>
            <w:tcW w:type="dxa" w:w="2016"/>
            <w:shd w:fill="F8FAFC"/>
            <w:tcMar>
              <w:top w:w="90" w:type="dxa"/>
              <w:bottom w:w="90" w:type="dxa"/>
              <w:left w:w="120" w:type="dxa"/>
              <w:right w:w="120" w:type="dxa"/>
            </w:tcMar>
            <w:tcBorders>
              <w:top w:val="single" w:sz="4" w:space="0" w:color="E2E8F0"/>
              <w:bottom w:val="single" w:sz="4" w:space="0" w:color="E2E8F0"/>
              <w:left w:val="none" w:sz="0" w:space="0" w:color="FFFFFF"/>
              <w:right w:val="none" w:sz="0" w:space="0" w:color="FFFFFF"/>
            </w:tcBorders>
          </w:tcPr>
          <w:p>
            <w:pPr>
              <w:spacing w:before="0" w:after="0"/>
              <w:jc w:val="left"/>
            </w:pPr>
            <w:r>
              <w:rPr>
                <w:rFonts w:ascii="Calibri" w:hAnsi="Calibri"/>
                <w:color w:val="1E293B"/>
                <w:sz w:val="18"/>
              </w:rPr>
              <w:t>Partial Credit (70%)</w:t>
            </w:r>
          </w:p>
        </w:tc>
        <w:tc>
          <w:tcPr>
            <w:tcW w:type="dxa" w:w="2016"/>
            <w:shd w:fill="F8FAFC"/>
            <w:tcMar>
              <w:top w:w="90" w:type="dxa"/>
              <w:bottom w:w="90" w:type="dxa"/>
              <w:left w:w="120" w:type="dxa"/>
              <w:right w:w="120" w:type="dxa"/>
            </w:tcMar>
            <w:tcBorders>
              <w:top w:val="single" w:sz="4" w:space="0" w:color="E2E8F0"/>
              <w:bottom w:val="single" w:sz="4" w:space="0" w:color="E2E8F0"/>
              <w:left w:val="none" w:sz="0" w:space="0" w:color="FFFFFF"/>
              <w:right w:val="none" w:sz="0" w:space="0" w:color="FFFFFF"/>
            </w:tcBorders>
          </w:tcPr>
          <w:p>
            <w:pPr>
              <w:spacing w:before="0" w:after="0"/>
              <w:jc w:val="left"/>
            </w:pPr>
            <w:r>
              <w:rPr>
                <w:rFonts w:ascii="Calibri" w:hAnsi="Calibri"/>
                <w:color w:val="1E293B"/>
                <w:sz w:val="18"/>
              </w:rPr>
              <w:t>Note arrival time in session comments.</w:t>
            </w:r>
          </w:p>
        </w:tc>
      </w:tr>
      <w:tr>
        <w:trPr>
          <w:cantSplit/>
        </w:trPr>
        <w:tc>
          <w:tcPr>
            <w:tcW w:type="dxa" w:w="2160"/>
            <w:shd w:fill="FFFFFF"/>
            <w:tcMar>
              <w:top w:w="90" w:type="dxa"/>
              <w:bottom w:w="90" w:type="dxa"/>
              <w:left w:w="120" w:type="dxa"/>
              <w:right w:w="120" w:type="dxa"/>
            </w:tcMar>
            <w:tcBorders>
              <w:top w:val="single" w:sz="4" w:space="0" w:color="E2E8F0"/>
              <w:bottom w:val="single" w:sz="4" w:space="0" w:color="E2E8F0"/>
              <w:left w:val="none" w:sz="0" w:space="0" w:color="FFFFFF"/>
              <w:right w:val="none" w:sz="0" w:space="0" w:color="FFFFFF"/>
            </w:tcBorders>
          </w:tcPr>
          <w:p>
            <w:pPr>
              <w:spacing w:before="0" w:after="0"/>
              <w:jc w:val="left"/>
            </w:pPr>
            <w:r>
              <w:rPr>
                <w:rFonts w:ascii="Calibri" w:hAnsi="Calibri"/>
                <w:color w:val="1E293B"/>
                <w:sz w:val="18"/>
              </w:rPr>
              <w:t>Apology / Excused</w:t>
            </w:r>
          </w:p>
        </w:tc>
        <w:tc>
          <w:tcPr>
            <w:tcW w:type="dxa" w:w="3168"/>
            <w:shd w:fill="FFFFFF"/>
            <w:tcMar>
              <w:top w:w="90" w:type="dxa"/>
              <w:bottom w:w="90" w:type="dxa"/>
              <w:left w:w="120" w:type="dxa"/>
              <w:right w:w="120" w:type="dxa"/>
            </w:tcMar>
            <w:tcBorders>
              <w:top w:val="single" w:sz="4" w:space="0" w:color="E2E8F0"/>
              <w:bottom w:val="single" w:sz="4" w:space="0" w:color="E2E8F0"/>
              <w:left w:val="none" w:sz="0" w:space="0" w:color="FFFFFF"/>
              <w:right w:val="none" w:sz="0" w:space="0" w:color="FFFFFF"/>
            </w:tcBorders>
          </w:tcPr>
          <w:p>
            <w:pPr>
              <w:spacing w:before="0" w:after="0"/>
              <w:jc w:val="left"/>
            </w:pPr>
            <w:r>
              <w:rPr>
                <w:rFonts w:ascii="Calibri" w:hAnsi="Calibri"/>
                <w:color w:val="1E293B"/>
                <w:sz w:val="18"/>
              </w:rPr>
              <w:t>Student submitted formal written notice prior to class.</w:t>
            </w:r>
          </w:p>
        </w:tc>
        <w:tc>
          <w:tcPr>
            <w:tcW w:type="dxa" w:w="2016"/>
            <w:shd w:fill="FFFFFF"/>
            <w:tcMar>
              <w:top w:w="90" w:type="dxa"/>
              <w:bottom w:w="90" w:type="dxa"/>
              <w:left w:w="120" w:type="dxa"/>
              <w:right w:w="120" w:type="dxa"/>
            </w:tcMar>
            <w:tcBorders>
              <w:top w:val="single" w:sz="4" w:space="0" w:color="E2E8F0"/>
              <w:bottom w:val="single" w:sz="4" w:space="0" w:color="E2E8F0"/>
              <w:left w:val="none" w:sz="0" w:space="0" w:color="FFFFFF"/>
              <w:right w:val="none" w:sz="0" w:space="0" w:color="FFFFFF"/>
            </w:tcBorders>
          </w:tcPr>
          <w:p>
            <w:pPr>
              <w:spacing w:before="0" w:after="0"/>
              <w:jc w:val="left"/>
            </w:pPr>
            <w:r>
              <w:rPr>
                <w:rFonts w:ascii="Calibri" w:hAnsi="Calibri"/>
                <w:color w:val="1E293B"/>
                <w:sz w:val="18"/>
              </w:rPr>
              <w:t>Excused Absence</w:t>
            </w:r>
          </w:p>
        </w:tc>
        <w:tc>
          <w:tcPr>
            <w:tcW w:type="dxa" w:w="2016"/>
            <w:shd w:fill="FFFFFF"/>
            <w:tcMar>
              <w:top w:w="90" w:type="dxa"/>
              <w:bottom w:w="90" w:type="dxa"/>
              <w:left w:w="120" w:type="dxa"/>
              <w:right w:w="120" w:type="dxa"/>
            </w:tcMar>
            <w:tcBorders>
              <w:top w:val="single" w:sz="4" w:space="0" w:color="E2E8F0"/>
              <w:bottom w:val="single" w:sz="4" w:space="0" w:color="E2E8F0"/>
              <w:left w:val="none" w:sz="0" w:space="0" w:color="FFFFFF"/>
              <w:right w:val="none" w:sz="0" w:space="0" w:color="FFFFFF"/>
            </w:tcBorders>
          </w:tcPr>
          <w:p>
            <w:pPr>
              <w:spacing w:before="0" w:after="0"/>
              <w:jc w:val="left"/>
            </w:pPr>
            <w:r>
              <w:rPr>
                <w:rFonts w:ascii="Calibri" w:hAnsi="Calibri"/>
                <w:color w:val="1E293B"/>
                <w:sz w:val="18"/>
              </w:rPr>
              <w:t>Verify medical/work excuse; share recording link.</w:t>
            </w:r>
          </w:p>
        </w:tc>
      </w:tr>
      <w:tr>
        <w:trPr>
          <w:cantSplit/>
        </w:trPr>
        <w:tc>
          <w:tcPr>
            <w:tcW w:type="dxa" w:w="2160"/>
            <w:shd w:fill="F8FAFC"/>
            <w:tcMar>
              <w:top w:w="90" w:type="dxa"/>
              <w:bottom w:w="90" w:type="dxa"/>
              <w:left w:w="120" w:type="dxa"/>
              <w:right w:w="120" w:type="dxa"/>
            </w:tcMar>
            <w:tcBorders>
              <w:top w:val="single" w:sz="4" w:space="0" w:color="E2E8F0"/>
              <w:bottom w:val="single" w:sz="4" w:space="0" w:color="E2E8F0"/>
              <w:left w:val="none" w:sz="0" w:space="0" w:color="FFFFFF"/>
              <w:right w:val="none" w:sz="0" w:space="0" w:color="FFFFFF"/>
            </w:tcBorders>
          </w:tcPr>
          <w:p>
            <w:pPr>
              <w:spacing w:before="0" w:after="0"/>
              <w:jc w:val="left"/>
            </w:pPr>
            <w:r>
              <w:rPr>
                <w:rFonts w:ascii="Calibri" w:hAnsi="Calibri"/>
                <w:color w:val="1E293B"/>
                <w:sz w:val="18"/>
              </w:rPr>
              <w:t>Absent</w:t>
            </w:r>
          </w:p>
        </w:tc>
        <w:tc>
          <w:tcPr>
            <w:tcW w:type="dxa" w:w="3168"/>
            <w:shd w:fill="F8FAFC"/>
            <w:tcMar>
              <w:top w:w="90" w:type="dxa"/>
              <w:bottom w:w="90" w:type="dxa"/>
              <w:left w:w="120" w:type="dxa"/>
              <w:right w:w="120" w:type="dxa"/>
            </w:tcMar>
            <w:tcBorders>
              <w:top w:val="single" w:sz="4" w:space="0" w:color="E2E8F0"/>
              <w:bottom w:val="single" w:sz="4" w:space="0" w:color="E2E8F0"/>
              <w:left w:val="none" w:sz="0" w:space="0" w:color="FFFFFF"/>
              <w:right w:val="none" w:sz="0" w:space="0" w:color="FFFFFF"/>
            </w:tcBorders>
          </w:tcPr>
          <w:p>
            <w:pPr>
              <w:spacing w:before="0" w:after="0"/>
              <w:jc w:val="left"/>
            </w:pPr>
            <w:r>
              <w:rPr>
                <w:rFonts w:ascii="Calibri" w:hAnsi="Calibri"/>
                <w:color w:val="1E293B"/>
                <w:sz w:val="18"/>
              </w:rPr>
              <w:t>Unexcused non-attendance or attended &lt; 50% of class.</w:t>
            </w:r>
          </w:p>
        </w:tc>
        <w:tc>
          <w:tcPr>
            <w:tcW w:type="dxa" w:w="2016"/>
            <w:shd w:fill="F8FAFC"/>
            <w:tcMar>
              <w:top w:w="90" w:type="dxa"/>
              <w:bottom w:w="90" w:type="dxa"/>
              <w:left w:w="120" w:type="dxa"/>
              <w:right w:w="120" w:type="dxa"/>
            </w:tcMar>
            <w:tcBorders>
              <w:top w:val="single" w:sz="4" w:space="0" w:color="E2E8F0"/>
              <w:bottom w:val="single" w:sz="4" w:space="0" w:color="E2E8F0"/>
              <w:left w:val="none" w:sz="0" w:space="0" w:color="FFFFFF"/>
              <w:right w:val="none" w:sz="0" w:space="0" w:color="FFFFFF"/>
            </w:tcBorders>
          </w:tcPr>
          <w:p>
            <w:pPr>
              <w:spacing w:before="0" w:after="0"/>
              <w:jc w:val="left"/>
            </w:pPr>
            <w:r>
              <w:rPr>
                <w:rFonts w:ascii="Calibri" w:hAnsi="Calibri"/>
                <w:color w:val="1E293B"/>
                <w:sz w:val="18"/>
              </w:rPr>
              <w:t>Zero Credit (0%)</w:t>
            </w:r>
          </w:p>
        </w:tc>
        <w:tc>
          <w:tcPr>
            <w:tcW w:type="dxa" w:w="2016"/>
            <w:shd w:fill="F8FAFC"/>
            <w:tcMar>
              <w:top w:w="90" w:type="dxa"/>
              <w:bottom w:w="90" w:type="dxa"/>
              <w:left w:w="120" w:type="dxa"/>
              <w:right w:w="120" w:type="dxa"/>
            </w:tcMar>
            <w:tcBorders>
              <w:top w:val="single" w:sz="4" w:space="0" w:color="E2E8F0"/>
              <w:bottom w:val="single" w:sz="4" w:space="0" w:color="E2E8F0"/>
              <w:left w:val="none" w:sz="0" w:space="0" w:color="FFFFFF"/>
              <w:right w:val="none" w:sz="0" w:space="0" w:color="FFFFFF"/>
            </w:tcBorders>
          </w:tcPr>
          <w:p>
            <w:pPr>
              <w:spacing w:before="0" w:after="0"/>
              <w:jc w:val="left"/>
            </w:pPr>
            <w:r>
              <w:rPr>
                <w:rFonts w:ascii="Calibri" w:hAnsi="Calibri"/>
                <w:color w:val="1E293B"/>
                <w:sz w:val="18"/>
              </w:rPr>
              <w:t>Triggers automated absence alert email.</w:t>
            </w:r>
          </w:p>
        </w:tc>
      </w:tr>
    </w:tbl>
    <w:p>
      <w:pPr>
        <w:spacing w:before="0" w:after="120"/>
      </w:pPr>
    </w:p>
    <w:tbl>
      <w:tblPr>
        <w:tblW w:type="auto" w:w="0"/>
        <w:jc w:val="center"/>
        <w:tblLayout w:type="fixed"/>
        <w:tblLook w:firstColumn="1" w:firstRow="1" w:lastColumn="0" w:lastRow="0" w:noHBand="0" w:noVBand="1" w:val="04A0"/>
      </w:tblPr>
      <w:tblGrid>
        <w:gridCol w:w="9360"/>
      </w:tblGrid>
      <w:tr>
        <w:tc>
          <w:tcPr>
            <w:tcW w:type="dxa" w:w="9360"/>
            <w:shd w:fill="FFFBEB"/>
            <w:tcMar>
              <w:top w:w="130" w:type="dxa"/>
              <w:bottom w:w="130" w:type="dxa"/>
              <w:left w:w="180" w:type="dxa"/>
              <w:right w:w="140" w:type="dxa"/>
            </w:tcMar>
            <w:tcBorders>
              <w:top w:val="none"/>
              <w:bottom w:val="none"/>
              <w:left w:val="single" w:sz="24" w:space="0" w:color="F59E0B"/>
              <w:right w:val="none"/>
            </w:tcBorders>
          </w:tcPr>
          <w:p>
            <w:pPr>
              <w:spacing w:before="0" w:after="40" w:line="276" w:lineRule="auto"/>
            </w:pPr>
            <w:r>
              <w:rPr>
                <w:rFonts w:ascii="Calibri" w:hAnsi="Calibri"/>
                <w:b/>
                <w:color w:val="F59E0B"/>
                <w:sz w:val="21"/>
              </w:rPr>
              <w:t>[CRITICAL REQUIREMENT:] 80% ATTENDANCE GRADUATION THRESHOLD</w:t>
              <w:br/>
            </w:r>
            <w:r>
              <w:rPr>
                <w:rFonts w:ascii="Calibri" w:hAnsi="Calibri"/>
                <w:color w:val="334155"/>
                <w:sz w:val="19"/>
              </w:rPr>
              <w:t>Students must achieve at least 80% cumulative attendance to qualify for course completion certificates. If a student accumulates 3 consecutive unexcused absences, flag them to the Academic Admin immediately for intervention.</w:t>
            </w:r>
          </w:p>
        </w:tc>
      </w:tr>
    </w:tbl>
    <w:p>
      <w:pPr>
        <w:spacing w:before="0" w:after="80"/>
      </w:pPr>
    </w:p>
    <w:p>
      <w:pPr>
        <w:keepNext/>
        <w:spacing w:before="400" w:after="120"/>
      </w:pPr>
      <w:r>
        <w:rPr>
          <w:rFonts w:ascii="Calibri" w:hAnsi="Calibri"/>
          <w:b/>
          <w:color w:val="0D9488"/>
          <w:sz w:val="30"/>
        </w:rPr>
        <w:t xml:space="preserve">7.0  </w:t>
      </w:r>
      <w:r>
        <w:rPr>
          <w:rFonts w:ascii="Calibri" w:hAnsi="Calibri"/>
          <w:b/>
          <w:color w:val="0F172A"/>
          <w:sz w:val="30"/>
        </w:rPr>
        <w:t>Course Collateral &amp; Digital Assets</w:t>
      </w:r>
    </w:p>
    <w:p>
      <w:pPr>
        <w:spacing w:before="0" w:after="80" w:line="276" w:lineRule="auto"/>
      </w:pPr>
      <w:r>
        <w:rPr>
          <w:rFonts w:ascii="Calibri" w:hAnsi="Calibri"/>
          <w:color w:val="334155"/>
          <w:sz w:val="20"/>
        </w:rPr>
        <w:t>High-quality digital assets enhance learner retention and enable asynchronous revision. Instructors upload files via Learning Materials and video lectures via Resource Videos.</w:t>
      </w:r>
    </w:p>
    <w:p>
      <w:pPr>
        <w:keepNext/>
        <w:spacing w:before="280" w:after="80"/>
      </w:pPr>
      <w:r>
        <w:rPr>
          <w:rFonts w:ascii="Calibri" w:hAnsi="Calibri"/>
          <w:b/>
          <w:color w:val="0D9488"/>
          <w:sz w:val="25"/>
        </w:rPr>
        <w:t xml:space="preserve">7.1 </w:t>
      </w:r>
      <w:r>
        <w:rPr>
          <w:rFonts w:ascii="Calibri" w:hAnsi="Calibri"/>
          <w:b/>
          <w:color w:val="1E3A8A"/>
          <w:sz w:val="25"/>
        </w:rPr>
        <w:t>Learning Materials Management</w:t>
      </w:r>
    </w:p>
    <w:p>
      <w:pPr>
        <w:pStyle w:val="ListBullet"/>
        <w:spacing w:before="0" w:after="50" w:line="276" w:lineRule="auto"/>
      </w:pPr>
      <w:r>
        <w:rPr>
          <w:rFonts w:ascii="Calibri" w:hAnsi="Calibri"/>
          <w:b/>
          <w:color w:val="0F172A"/>
          <w:sz w:val="20"/>
        </w:rPr>
        <w:t>Supported Formats:</w:t>
      </w:r>
      <w:r>
        <w:rPr>
          <w:rFonts w:ascii="Calibri" w:hAnsi="Calibri"/>
          <w:color w:val="334155"/>
          <w:sz w:val="20"/>
        </w:rPr>
        <w:t xml:space="preserve"> PDF lecture presentations, lab exercise sheets, cheatsheets, code zip bundles.</w:t>
      </w:r>
    </w:p>
    <w:p>
      <w:pPr>
        <w:pStyle w:val="ListBullet"/>
        <w:spacing w:before="0" w:after="50" w:line="276" w:lineRule="auto"/>
      </w:pPr>
      <w:r>
        <w:rPr>
          <w:rFonts w:ascii="Calibri" w:hAnsi="Calibri"/>
          <w:b/>
          <w:color w:val="0F172A"/>
          <w:sz w:val="20"/>
        </w:rPr>
        <w:t>File Sizing:</w:t>
      </w:r>
      <w:r>
        <w:rPr>
          <w:rFonts w:ascii="Calibri" w:hAnsi="Calibri"/>
          <w:color w:val="334155"/>
          <w:sz w:val="20"/>
        </w:rPr>
        <w:t xml:space="preserve"> Keep individual uploads below 50MB. Large datasets should be linked via cloud storage or Git repositories.</w:t>
      </w:r>
    </w:p>
    <w:p>
      <w:pPr>
        <w:pStyle w:val="ListBullet"/>
        <w:spacing w:before="0" w:after="50" w:line="276" w:lineRule="auto"/>
      </w:pPr>
      <w:r>
        <w:rPr>
          <w:rFonts w:ascii="Calibri" w:hAnsi="Calibri"/>
          <w:b/>
          <w:color w:val="0F172A"/>
          <w:sz w:val="20"/>
        </w:rPr>
        <w:t>File Naming:</w:t>
      </w:r>
      <w:r>
        <w:rPr>
          <w:rFonts w:ascii="Calibri" w:hAnsi="Calibri"/>
          <w:color w:val="334155"/>
          <w:sz w:val="20"/>
        </w:rPr>
        <w:t xml:space="preserve"> Use predictable naming conventions (e.g. 'WEB101_Module02_Responsive_CSS_Lab.pdf').</w:t>
      </w:r>
    </w:p>
    <w:p>
      <w:pPr>
        <w:pStyle w:val="ListBullet"/>
        <w:spacing w:before="0" w:after="50" w:line="276" w:lineRule="auto"/>
      </w:pPr>
      <w:r>
        <w:rPr>
          <w:rFonts w:ascii="Calibri" w:hAnsi="Calibri"/>
          <w:b/>
          <w:color w:val="0F172A"/>
          <w:sz w:val="20"/>
        </w:rPr>
        <w:t>Modular Alignment:</w:t>
      </w:r>
      <w:r>
        <w:rPr>
          <w:rFonts w:ascii="Calibri" w:hAnsi="Calibri"/>
          <w:color w:val="334155"/>
          <w:sz w:val="20"/>
        </w:rPr>
        <w:t xml:space="preserve"> Tag materials to specific course modules so students can access resources in contextual order.</w:t>
      </w:r>
    </w:p>
    <w:p>
      <w:pPr>
        <w:keepNext/>
        <w:spacing w:before="280" w:after="80"/>
      </w:pPr>
      <w:r>
        <w:rPr>
          <w:rFonts w:ascii="Calibri" w:hAnsi="Calibri"/>
          <w:b/>
          <w:color w:val="0D9488"/>
          <w:sz w:val="25"/>
        </w:rPr>
        <w:t xml:space="preserve">7.2 </w:t>
      </w:r>
      <w:r>
        <w:rPr>
          <w:rFonts w:ascii="Calibri" w:hAnsi="Calibri"/>
          <w:b/>
          <w:color w:val="1E3A8A"/>
          <w:sz w:val="25"/>
        </w:rPr>
        <w:t>Resource Videos &amp; Lecture Recordings</w:t>
      </w:r>
    </w:p>
    <w:p>
      <w:pPr>
        <w:spacing w:before="0" w:after="80" w:line="276" w:lineRule="auto"/>
      </w:pPr>
      <w:r>
        <w:rPr>
          <w:rFonts w:ascii="Calibri" w:hAnsi="Calibri"/>
          <w:color w:val="334155"/>
          <w:sz w:val="20"/>
        </w:rPr>
        <w:t>Thinker HUB supports embedding video resources from Vimeo, YouTube (Unlisted), or direct MP4 cloud streams:</w:t>
        <w:br/>
        <w:t>• Live Session Archives: Upload recording links within 24 hours of session completion so absent students can catch up.</w:t>
        <w:br/>
        <w:t>• Bite-Sized Conceptual Videos: Create 5–10 minute micro-lectures explaining complex syntax or algorithms before live coding labs.</w:t>
        <w:br/>
        <w:t>• Progress Analytics: Instructors can monitor student video watch percentages through the Student Analytics tab.</w:t>
      </w:r>
    </w:p>
    <w:p>
      <w:pPr>
        <w:keepNext/>
        <w:spacing w:before="400" w:after="120"/>
      </w:pPr>
      <w:r>
        <w:rPr>
          <w:rFonts w:ascii="Calibri" w:hAnsi="Calibri"/>
          <w:b/>
          <w:color w:val="0D9488"/>
          <w:sz w:val="30"/>
        </w:rPr>
        <w:t xml:space="preserve">8.0  </w:t>
      </w:r>
      <w:r>
        <w:rPr>
          <w:rFonts w:ascii="Calibri" w:hAnsi="Calibri"/>
          <w:b/>
          <w:color w:val="0F172A"/>
          <w:sz w:val="30"/>
        </w:rPr>
        <w:t>Student Assessments: Quizzes, Homework &amp; Grading</w:t>
      </w:r>
    </w:p>
    <w:p>
      <w:pPr>
        <w:spacing w:before="0" w:after="80" w:line="276" w:lineRule="auto"/>
      </w:pPr>
      <w:r>
        <w:rPr>
          <w:rFonts w:ascii="Calibri" w:hAnsi="Calibri"/>
          <w:color w:val="334155"/>
          <w:sz w:val="20"/>
        </w:rPr>
        <w:t>Assessments at Thinker HUB are designed to be pedagogical tools that solidify understanding, not just punitive tests.</w:t>
      </w:r>
    </w:p>
    <w:p>
      <w:pPr>
        <w:keepNext/>
        <w:spacing w:before="280" w:after="80"/>
      </w:pPr>
      <w:r>
        <w:rPr>
          <w:rFonts w:ascii="Calibri" w:hAnsi="Calibri"/>
          <w:b/>
          <w:color w:val="0D9488"/>
          <w:sz w:val="25"/>
        </w:rPr>
        <w:t xml:space="preserve">8.1 </w:t>
      </w:r>
      <w:r>
        <w:rPr>
          <w:rFonts w:ascii="Calibri" w:hAnsi="Calibri"/>
          <w:b/>
          <w:color w:val="1E3A8A"/>
          <w:sz w:val="25"/>
        </w:rPr>
        <w:t>Quiz Architecture (QuizResource)</w:t>
      </w:r>
    </w:p>
    <w:p>
      <w:pPr>
        <w:spacing w:before="0" w:after="80" w:line="276" w:lineRule="auto"/>
      </w:pPr>
      <w:r>
        <w:rPr>
          <w:rFonts w:ascii="Calibri" w:hAnsi="Calibri"/>
          <w:color w:val="334155"/>
          <w:sz w:val="20"/>
        </w:rPr>
        <w:t>Quizzes provide instant feedback on theoretical and conceptual foundations:</w:t>
      </w:r>
    </w:p>
    <w:p>
      <w:pPr>
        <w:pStyle w:val="ListBullet"/>
        <w:spacing w:before="0" w:after="50" w:line="276" w:lineRule="auto"/>
      </w:pPr>
      <w:r>
        <w:rPr>
          <w:rFonts w:ascii="Calibri" w:hAnsi="Calibri"/>
          <w:b/>
          <w:color w:val="0F172A"/>
          <w:sz w:val="20"/>
        </w:rPr>
        <w:t>Multiple Choice (MCQ):</w:t>
      </w:r>
      <w:r>
        <w:rPr>
          <w:rFonts w:ascii="Calibri" w:hAnsi="Calibri"/>
          <w:color w:val="334155"/>
          <w:sz w:val="20"/>
        </w:rPr>
        <w:t xml:space="preserve"> Ideal for syntax knowledge, multiple choice logic, and quick concept verification. Automatically graded by the platform.</w:t>
      </w:r>
    </w:p>
    <w:p>
      <w:pPr>
        <w:pStyle w:val="ListBullet"/>
        <w:spacing w:before="0" w:after="50" w:line="276" w:lineRule="auto"/>
      </w:pPr>
      <w:r>
        <w:rPr>
          <w:rFonts w:ascii="Calibri" w:hAnsi="Calibri"/>
          <w:b/>
          <w:color w:val="0F172A"/>
          <w:sz w:val="20"/>
        </w:rPr>
        <w:t>Theory Questions:</w:t>
      </w:r>
      <w:r>
        <w:rPr>
          <w:rFonts w:ascii="Calibri" w:hAnsi="Calibri"/>
          <w:color w:val="334155"/>
          <w:sz w:val="20"/>
        </w:rPr>
        <w:t xml:space="preserve"> Short answer prompts requiring students to explain architectural trade-offs or design decisions in their own words.</w:t>
      </w:r>
    </w:p>
    <w:p>
      <w:pPr>
        <w:pStyle w:val="ListBullet"/>
        <w:spacing w:before="0" w:after="50" w:line="276" w:lineRule="auto"/>
      </w:pPr>
      <w:r>
        <w:rPr>
          <w:rFonts w:ascii="Calibri" w:hAnsi="Calibri"/>
          <w:b/>
          <w:color w:val="0F172A"/>
          <w:sz w:val="20"/>
        </w:rPr>
        <w:t>Practical Questions:</w:t>
      </w:r>
      <w:r>
        <w:rPr>
          <w:rFonts w:ascii="Calibri" w:hAnsi="Calibri"/>
          <w:color w:val="334155"/>
          <w:sz w:val="20"/>
        </w:rPr>
        <w:t xml:space="preserve"> Code snippets or troubleshooting challenges where students identify bugs and propose corrected implementations.</w:t>
      </w:r>
    </w:p>
    <w:p>
      <w:pPr>
        <w:pStyle w:val="ListBullet"/>
        <w:spacing w:before="0" w:after="50" w:line="276" w:lineRule="auto"/>
      </w:pPr>
      <w:r>
        <w:rPr>
          <w:rFonts w:ascii="Calibri" w:hAnsi="Calibri"/>
          <w:b/>
          <w:color w:val="0F172A"/>
          <w:sz w:val="20"/>
        </w:rPr>
        <w:t>Pass Threshold &amp; Timer:</w:t>
      </w:r>
      <w:r>
        <w:rPr>
          <w:rFonts w:ascii="Calibri" w:hAnsi="Calibri"/>
          <w:color w:val="334155"/>
          <w:sz w:val="20"/>
        </w:rPr>
        <w:t xml:space="preserve"> Standard pass rate is 50% (70% for advanced courses). Set realistic time limits (e.g., 30–45 minutes for 15 questions).</w:t>
      </w:r>
    </w:p>
    <w:p>
      <w:pPr>
        <w:keepNext/>
        <w:spacing w:before="280" w:after="80"/>
      </w:pPr>
      <w:r>
        <w:rPr>
          <w:rFonts w:ascii="Calibri" w:hAnsi="Calibri"/>
          <w:b/>
          <w:color w:val="0D9488"/>
          <w:sz w:val="25"/>
        </w:rPr>
        <w:t xml:space="preserve">8.2 </w:t>
      </w:r>
      <w:r>
        <w:rPr>
          <w:rFonts w:ascii="Calibri" w:hAnsi="Calibri"/>
          <w:b/>
          <w:color w:val="1E3A8A"/>
          <w:sz w:val="25"/>
        </w:rPr>
        <w:t>Assignment Design &amp; Grading Workflow (AssignmentResource)</w:t>
      </w:r>
    </w:p>
    <w:p>
      <w:pPr>
        <w:spacing w:before="0" w:after="80" w:line="276" w:lineRule="auto"/>
      </w:pPr>
      <w:r>
        <w:rPr>
          <w:rFonts w:ascii="Calibri" w:hAnsi="Calibri"/>
          <w:color w:val="334155"/>
          <w:sz w:val="20"/>
        </w:rPr>
        <w:t>Practical assignments represent 60% of the student's academic standing:</w:t>
      </w:r>
    </w:p>
    <w:p>
      <w:pPr>
        <w:spacing w:before="40" w:after="60" w:line="276" w:lineRule="auto"/>
        <w:ind w:left="288"/>
      </w:pPr>
      <w:r>
        <w:rPr>
          <w:rFonts w:ascii="Calibri" w:hAnsi="Calibri"/>
          <w:b/>
          <w:color w:val="0D9488"/>
          <w:sz w:val="20"/>
        </w:rPr>
        <w:t xml:space="preserve">Step 1. </w:t>
      </w:r>
      <w:r>
        <w:rPr>
          <w:rFonts w:ascii="Calibri" w:hAnsi="Calibri"/>
          <w:b/>
          <w:color w:val="0F172A"/>
          <w:sz w:val="20"/>
        </w:rPr>
        <w:t xml:space="preserve">Drafting Clear Prompts: </w:t>
      </w:r>
      <w:r>
        <w:rPr>
          <w:rFonts w:ascii="Calibri" w:hAnsi="Calibri"/>
          <w:color w:val="334155"/>
          <w:sz w:val="20"/>
        </w:rPr>
        <w:t>Specify the business problem, expected deliverables (e.g. GitHub repo URL, deployed live demo link, PDF write-up), and acceptance criteria.</w:t>
      </w:r>
    </w:p>
    <w:p>
      <w:pPr>
        <w:spacing w:before="40" w:after="60" w:line="276" w:lineRule="auto"/>
        <w:ind w:left="288"/>
      </w:pPr>
      <w:r>
        <w:rPr>
          <w:rFonts w:ascii="Calibri" w:hAnsi="Calibri"/>
          <w:b/>
          <w:color w:val="0D9488"/>
          <w:sz w:val="20"/>
        </w:rPr>
        <w:t xml:space="preserve">Step 2. </w:t>
      </w:r>
      <w:r>
        <w:rPr>
          <w:rFonts w:ascii="Calibri" w:hAnsi="Calibri"/>
          <w:b/>
          <w:color w:val="0F172A"/>
          <w:sz w:val="20"/>
        </w:rPr>
        <w:t xml:space="preserve">Publishing Transparent Rubrics: </w:t>
      </w:r>
      <w:r>
        <w:rPr>
          <w:rFonts w:ascii="Calibri" w:hAnsi="Calibri"/>
          <w:color w:val="334155"/>
          <w:sz w:val="20"/>
        </w:rPr>
        <w:t>Breakdown points across Functionality (40%), Code Quality &amp; Structure (30%), UI/UX or Documentation (20%), and Git Best Practices (10%).</w:t>
      </w:r>
    </w:p>
    <w:p>
      <w:pPr>
        <w:spacing w:before="40" w:after="60" w:line="276" w:lineRule="auto"/>
        <w:ind w:left="288"/>
      </w:pPr>
      <w:r>
        <w:rPr>
          <w:rFonts w:ascii="Calibri" w:hAnsi="Calibri"/>
          <w:b/>
          <w:color w:val="0D9488"/>
          <w:sz w:val="20"/>
        </w:rPr>
        <w:t xml:space="preserve">Step 3. </w:t>
      </w:r>
      <w:r>
        <w:rPr>
          <w:rFonts w:ascii="Calibri" w:hAnsi="Calibri"/>
          <w:b/>
          <w:color w:val="0F172A"/>
          <w:sz w:val="20"/>
        </w:rPr>
        <w:t xml:space="preserve">Reviewing Submissions: </w:t>
      </w:r>
      <w:r>
        <w:rPr>
          <w:rFonts w:ascii="Calibri" w:hAnsi="Calibri"/>
          <w:color w:val="334155"/>
          <w:sz w:val="20"/>
        </w:rPr>
        <w:t>Navigate to Assignment Submissions. Download files or inspect GitHub pull requests directly.</w:t>
      </w:r>
    </w:p>
    <w:p>
      <w:pPr>
        <w:spacing w:before="40" w:after="60" w:line="276" w:lineRule="auto"/>
        <w:ind w:left="288"/>
      </w:pPr>
      <w:r>
        <w:rPr>
          <w:rFonts w:ascii="Calibri" w:hAnsi="Calibri"/>
          <w:b/>
          <w:color w:val="0D9488"/>
          <w:sz w:val="20"/>
        </w:rPr>
        <w:t xml:space="preserve">Step 4. </w:t>
      </w:r>
      <w:r>
        <w:rPr>
          <w:rFonts w:ascii="Calibri" w:hAnsi="Calibri"/>
          <w:b/>
          <w:color w:val="0F172A"/>
          <w:sz w:val="20"/>
        </w:rPr>
        <w:t xml:space="preserve">Constructive Feedback: </w:t>
      </w:r>
      <w:r>
        <w:rPr>
          <w:rFonts w:ascii="Calibri" w:hAnsi="Calibri"/>
          <w:color w:val="334155"/>
          <w:sz w:val="20"/>
        </w:rPr>
        <w:t>Never award a grade without written comments. Highlight 2 things done exceptionally well and 1 actionable area for optimization.</w:t>
      </w:r>
    </w:p>
    <w:p>
      <w:pPr>
        <w:spacing w:before="40" w:after="60" w:line="276" w:lineRule="auto"/>
        <w:ind w:left="288"/>
      </w:pPr>
      <w:r>
        <w:rPr>
          <w:rFonts w:ascii="Calibri" w:hAnsi="Calibri"/>
          <w:b/>
          <w:color w:val="0D9488"/>
          <w:sz w:val="20"/>
        </w:rPr>
        <w:t xml:space="preserve">Step 5. </w:t>
      </w:r>
      <w:r>
        <w:rPr>
          <w:rFonts w:ascii="Calibri" w:hAnsi="Calibri"/>
          <w:b/>
          <w:color w:val="0F172A"/>
          <w:sz w:val="20"/>
        </w:rPr>
        <w:t xml:space="preserve">Re-Submission Policy: </w:t>
      </w:r>
      <w:r>
        <w:rPr>
          <w:rFonts w:ascii="Calibri" w:hAnsi="Calibri"/>
          <w:color w:val="334155"/>
          <w:sz w:val="20"/>
        </w:rPr>
        <w:t>Students who score below 60% are eligible for a 48-hour re-submission window to correct flaws and achieve mastery.</w:t>
      </w:r>
    </w:p>
    <w:p>
      <w:pPr>
        <w:keepNext/>
        <w:spacing w:before="400" w:after="120"/>
      </w:pPr>
      <w:r>
        <w:rPr>
          <w:rFonts w:ascii="Calibri" w:hAnsi="Calibri"/>
          <w:b/>
          <w:color w:val="0D9488"/>
          <w:sz w:val="30"/>
        </w:rPr>
        <w:t xml:space="preserve">9.0  </w:t>
      </w:r>
      <w:r>
        <w:rPr>
          <w:rFonts w:ascii="Calibri" w:hAnsi="Calibri"/>
          <w:b/>
          <w:color w:val="0F172A"/>
          <w:sz w:val="30"/>
        </w:rPr>
        <w:t>Gamification Engine: XP, Badges &amp; Leaderboards</w:t>
      </w:r>
    </w:p>
    <w:p>
      <w:pPr>
        <w:spacing w:before="0" w:after="80" w:line="276" w:lineRule="auto"/>
      </w:pPr>
      <w:r>
        <w:rPr>
          <w:rFonts w:ascii="Calibri" w:hAnsi="Calibri"/>
          <w:color w:val="334155"/>
          <w:sz w:val="20"/>
        </w:rPr>
        <w:t>Thinker HUB incorporates game mechanics to make learning exciting, habit-forming, and rewarding.</w:t>
      </w:r>
    </w:p>
    <w:p>
      <w:pPr>
        <w:keepNext/>
        <w:spacing w:before="280" w:after="80"/>
      </w:pPr>
      <w:r>
        <w:rPr>
          <w:rFonts w:ascii="Calibri" w:hAnsi="Calibri"/>
          <w:b/>
          <w:color w:val="0D9488"/>
          <w:sz w:val="25"/>
        </w:rPr>
        <w:t xml:space="preserve">9.1 </w:t>
      </w:r>
      <w:r>
        <w:rPr>
          <w:rFonts w:ascii="Calibri" w:hAnsi="Calibri"/>
          <w:b/>
          <w:color w:val="1E3A8A"/>
          <w:sz w:val="25"/>
        </w:rPr>
        <w:t>Configuring Course Gamification Rules</w:t>
      </w:r>
    </w:p>
    <w:p>
      <w:pPr>
        <w:spacing w:before="0" w:after="80" w:line="276" w:lineRule="auto"/>
      </w:pPr>
      <w:r>
        <w:rPr>
          <w:rFonts w:ascii="Calibri" w:hAnsi="Calibri"/>
          <w:color w:val="334155"/>
          <w:sz w:val="20"/>
        </w:rPr>
        <w:t>Instructors can configure automated point-awarding rules through CourseGamificationRuleResource:</w:t>
      </w:r>
    </w:p>
    <w:tbl>
      <w:tblPr>
        <w:tblW w:type="auto" w:w="0"/>
        <w:jc w:val="center"/>
        <w:tblLayout w:type="fixed"/>
        <w:tblLook w:firstColumn="1" w:firstRow="1" w:lastColumn="0" w:lastRow="0" w:noHBand="0" w:noVBand="1" w:val="04A0"/>
      </w:tblPr>
      <w:tblGrid>
        <w:gridCol w:w="2340"/>
        <w:gridCol w:w="2340"/>
        <w:gridCol w:w="2340"/>
        <w:gridCol w:w="2340"/>
      </w:tblGrid>
      <w:tr>
        <w:trPr>
          <w:tblHeader/>
          <w:cantSplit/>
        </w:trPr>
        <w:tc>
          <w:tcPr>
            <w:tcW w:type="dxa" w:w="2304"/>
            <w:shd w:fill="0F172A"/>
            <w:tcMar>
              <w:top w:w="120" w:type="dxa"/>
              <w:bottom w:w="120" w:type="dxa"/>
              <w:left w:w="120" w:type="dxa"/>
              <w:right w:w="120" w:type="dxa"/>
            </w:tcMar>
            <w:tcBorders>
              <w:top w:val="single" w:sz="6" w:space="0" w:color="0F172A"/>
              <w:bottom w:val="single" w:sz="18" w:space="0" w:color="0D9488"/>
              <w:left w:val="none" w:sz="0" w:space="0" w:color="FFFFFF"/>
              <w:right w:val="none" w:sz="0" w:space="0" w:color="FFFFFF"/>
            </w:tcBorders>
          </w:tcPr>
          <w:p>
            <w:pPr>
              <w:spacing w:before="0" w:after="0"/>
              <w:jc w:val="left"/>
            </w:pPr>
            <w:r>
              <w:rPr>
                <w:rFonts w:ascii="Calibri" w:hAnsi="Calibri"/>
                <w:b/>
                <w:color w:val="FFFFFF"/>
                <w:sz w:val="19"/>
              </w:rPr>
              <w:t>Action / Achievement</w:t>
            </w:r>
          </w:p>
        </w:tc>
        <w:tc>
          <w:tcPr>
            <w:tcW w:type="dxa" w:w="3168"/>
            <w:shd w:fill="0F172A"/>
            <w:tcMar>
              <w:top w:w="120" w:type="dxa"/>
              <w:bottom w:w="120" w:type="dxa"/>
              <w:left w:w="120" w:type="dxa"/>
              <w:right w:w="120" w:type="dxa"/>
            </w:tcMar>
            <w:tcBorders>
              <w:top w:val="single" w:sz="6" w:space="0" w:color="0F172A"/>
              <w:bottom w:val="single" w:sz="18" w:space="0" w:color="0D9488"/>
              <w:left w:val="none" w:sz="0" w:space="0" w:color="FFFFFF"/>
              <w:right w:val="none" w:sz="0" w:space="0" w:color="FFFFFF"/>
            </w:tcBorders>
          </w:tcPr>
          <w:p>
            <w:pPr>
              <w:spacing w:before="0" w:after="0"/>
              <w:jc w:val="left"/>
            </w:pPr>
            <w:r>
              <w:rPr>
                <w:rFonts w:ascii="Calibri" w:hAnsi="Calibri"/>
                <w:b/>
                <w:color w:val="FFFFFF"/>
                <w:sz w:val="19"/>
              </w:rPr>
              <w:t>Trigger Condition</w:t>
            </w:r>
          </w:p>
        </w:tc>
        <w:tc>
          <w:tcPr>
            <w:tcW w:type="dxa" w:w="1728"/>
            <w:shd w:fill="0F172A"/>
            <w:tcMar>
              <w:top w:w="120" w:type="dxa"/>
              <w:bottom w:w="120" w:type="dxa"/>
              <w:left w:w="120" w:type="dxa"/>
              <w:right w:w="120" w:type="dxa"/>
            </w:tcMar>
            <w:tcBorders>
              <w:top w:val="single" w:sz="6" w:space="0" w:color="0F172A"/>
              <w:bottom w:val="single" w:sz="18" w:space="0" w:color="0D9488"/>
              <w:left w:val="none" w:sz="0" w:space="0" w:color="FFFFFF"/>
              <w:right w:val="none" w:sz="0" w:space="0" w:color="FFFFFF"/>
            </w:tcBorders>
          </w:tcPr>
          <w:p>
            <w:pPr>
              <w:spacing w:before="0" w:after="0"/>
              <w:jc w:val="left"/>
            </w:pPr>
            <w:r>
              <w:rPr>
                <w:rFonts w:ascii="Calibri" w:hAnsi="Calibri"/>
                <w:b/>
                <w:color w:val="FFFFFF"/>
                <w:sz w:val="19"/>
              </w:rPr>
              <w:t>XP Awarded</w:t>
            </w:r>
          </w:p>
        </w:tc>
        <w:tc>
          <w:tcPr>
            <w:tcW w:type="dxa" w:w="2160"/>
            <w:shd w:fill="0F172A"/>
            <w:tcMar>
              <w:top w:w="120" w:type="dxa"/>
              <w:bottom w:w="120" w:type="dxa"/>
              <w:left w:w="120" w:type="dxa"/>
              <w:right w:w="120" w:type="dxa"/>
            </w:tcMar>
            <w:tcBorders>
              <w:top w:val="single" w:sz="6" w:space="0" w:color="0F172A"/>
              <w:bottom w:val="single" w:sz="18" w:space="0" w:color="0D9488"/>
              <w:left w:val="none" w:sz="0" w:space="0" w:color="FFFFFF"/>
              <w:right w:val="none" w:sz="0" w:space="0" w:color="FFFFFF"/>
            </w:tcBorders>
          </w:tcPr>
          <w:p>
            <w:pPr>
              <w:spacing w:before="0" w:after="0"/>
              <w:jc w:val="left"/>
            </w:pPr>
            <w:r>
              <w:rPr>
                <w:rFonts w:ascii="Calibri" w:hAnsi="Calibri"/>
                <w:b/>
                <w:color w:val="FFFFFF"/>
                <w:sz w:val="19"/>
              </w:rPr>
              <w:t>Badge / Trophy</w:t>
            </w:r>
          </w:p>
        </w:tc>
      </w:tr>
      <w:tr>
        <w:trPr>
          <w:cantSplit/>
        </w:trPr>
        <w:tc>
          <w:tcPr>
            <w:tcW w:type="dxa" w:w="2304"/>
            <w:shd w:fill="FFFFFF"/>
            <w:tcMar>
              <w:top w:w="90" w:type="dxa"/>
              <w:bottom w:w="90" w:type="dxa"/>
              <w:left w:w="120" w:type="dxa"/>
              <w:right w:w="120" w:type="dxa"/>
            </w:tcMar>
            <w:tcBorders>
              <w:top w:val="single" w:sz="4" w:space="0" w:color="E2E8F0"/>
              <w:bottom w:val="single" w:sz="4" w:space="0" w:color="E2E8F0"/>
              <w:left w:val="none" w:sz="0" w:space="0" w:color="FFFFFF"/>
              <w:right w:val="none" w:sz="0" w:space="0" w:color="FFFFFF"/>
            </w:tcBorders>
          </w:tcPr>
          <w:p>
            <w:pPr>
              <w:spacing w:before="0" w:after="0"/>
              <w:jc w:val="left"/>
            </w:pPr>
            <w:r>
              <w:rPr>
                <w:rFonts w:ascii="Calibri" w:hAnsi="Calibri"/>
                <w:color w:val="1E293B"/>
                <w:sz w:val="18"/>
              </w:rPr>
              <w:t>Class Punctuality</w:t>
            </w:r>
          </w:p>
        </w:tc>
        <w:tc>
          <w:tcPr>
            <w:tcW w:type="dxa" w:w="3168"/>
            <w:shd w:fill="FFFFFF"/>
            <w:tcMar>
              <w:top w:w="90" w:type="dxa"/>
              <w:bottom w:w="90" w:type="dxa"/>
              <w:left w:w="120" w:type="dxa"/>
              <w:right w:w="120" w:type="dxa"/>
            </w:tcMar>
            <w:tcBorders>
              <w:top w:val="single" w:sz="4" w:space="0" w:color="E2E8F0"/>
              <w:bottom w:val="single" w:sz="4" w:space="0" w:color="E2E8F0"/>
              <w:left w:val="none" w:sz="0" w:space="0" w:color="FFFFFF"/>
              <w:right w:val="none" w:sz="0" w:space="0" w:color="FFFFFF"/>
            </w:tcBorders>
          </w:tcPr>
          <w:p>
            <w:pPr>
              <w:spacing w:before="0" w:after="0"/>
              <w:jc w:val="left"/>
            </w:pPr>
            <w:r>
              <w:rPr>
                <w:rFonts w:ascii="Calibri" w:hAnsi="Calibri"/>
                <w:color w:val="1E293B"/>
                <w:sz w:val="18"/>
              </w:rPr>
              <w:t>Marked 'Present' on attendance register</w:t>
            </w:r>
          </w:p>
        </w:tc>
        <w:tc>
          <w:tcPr>
            <w:tcW w:type="dxa" w:w="1728"/>
            <w:shd w:fill="FFFFFF"/>
            <w:tcMar>
              <w:top w:w="90" w:type="dxa"/>
              <w:bottom w:w="90" w:type="dxa"/>
              <w:left w:w="120" w:type="dxa"/>
              <w:right w:w="120" w:type="dxa"/>
            </w:tcMar>
            <w:tcBorders>
              <w:top w:val="single" w:sz="4" w:space="0" w:color="E2E8F0"/>
              <w:bottom w:val="single" w:sz="4" w:space="0" w:color="E2E8F0"/>
              <w:left w:val="none" w:sz="0" w:space="0" w:color="FFFFFF"/>
              <w:right w:val="none" w:sz="0" w:space="0" w:color="FFFFFF"/>
            </w:tcBorders>
          </w:tcPr>
          <w:p>
            <w:pPr>
              <w:spacing w:before="0" w:after="0"/>
              <w:jc w:val="left"/>
            </w:pPr>
            <w:r>
              <w:rPr>
                <w:rFonts w:ascii="Calibri" w:hAnsi="Calibri"/>
                <w:color w:val="1E293B"/>
                <w:sz w:val="18"/>
              </w:rPr>
              <w:t>+25 XP</w:t>
            </w:r>
          </w:p>
        </w:tc>
        <w:tc>
          <w:tcPr>
            <w:tcW w:type="dxa" w:w="2160"/>
            <w:shd w:fill="FFFFFF"/>
            <w:tcMar>
              <w:top w:w="90" w:type="dxa"/>
              <w:bottom w:w="90" w:type="dxa"/>
              <w:left w:w="120" w:type="dxa"/>
              <w:right w:w="120" w:type="dxa"/>
            </w:tcMar>
            <w:tcBorders>
              <w:top w:val="single" w:sz="4" w:space="0" w:color="E2E8F0"/>
              <w:bottom w:val="single" w:sz="4" w:space="0" w:color="E2E8F0"/>
              <w:left w:val="none" w:sz="0" w:space="0" w:color="FFFFFF"/>
              <w:right w:val="none" w:sz="0" w:space="0" w:color="FFFFFF"/>
            </w:tcBorders>
          </w:tcPr>
          <w:p>
            <w:pPr>
              <w:spacing w:before="0" w:after="0"/>
              <w:jc w:val="left"/>
            </w:pPr>
            <w:r>
              <w:rPr>
                <w:rFonts w:ascii="Calibri" w:hAnsi="Calibri"/>
                <w:color w:val="1E293B"/>
                <w:sz w:val="18"/>
              </w:rPr>
              <w:t>Punctual Thinker</w:t>
            </w:r>
          </w:p>
        </w:tc>
      </w:tr>
      <w:tr>
        <w:trPr>
          <w:cantSplit/>
        </w:trPr>
        <w:tc>
          <w:tcPr>
            <w:tcW w:type="dxa" w:w="2304"/>
            <w:shd w:fill="F8FAFC"/>
            <w:tcMar>
              <w:top w:w="90" w:type="dxa"/>
              <w:bottom w:w="90" w:type="dxa"/>
              <w:left w:w="120" w:type="dxa"/>
              <w:right w:w="120" w:type="dxa"/>
            </w:tcMar>
            <w:tcBorders>
              <w:top w:val="single" w:sz="4" w:space="0" w:color="E2E8F0"/>
              <w:bottom w:val="single" w:sz="4" w:space="0" w:color="E2E8F0"/>
              <w:left w:val="none" w:sz="0" w:space="0" w:color="FFFFFF"/>
              <w:right w:val="none" w:sz="0" w:space="0" w:color="FFFFFF"/>
            </w:tcBorders>
          </w:tcPr>
          <w:p>
            <w:pPr>
              <w:spacing w:before="0" w:after="0"/>
              <w:jc w:val="left"/>
            </w:pPr>
            <w:r>
              <w:rPr>
                <w:rFonts w:ascii="Calibri" w:hAnsi="Calibri"/>
                <w:color w:val="1E293B"/>
                <w:sz w:val="18"/>
              </w:rPr>
              <w:t>Early Assignment</w:t>
            </w:r>
          </w:p>
        </w:tc>
        <w:tc>
          <w:tcPr>
            <w:tcW w:type="dxa" w:w="3168"/>
            <w:shd w:fill="F8FAFC"/>
            <w:tcMar>
              <w:top w:w="90" w:type="dxa"/>
              <w:bottom w:w="90" w:type="dxa"/>
              <w:left w:w="120" w:type="dxa"/>
              <w:right w:w="120" w:type="dxa"/>
            </w:tcMar>
            <w:tcBorders>
              <w:top w:val="single" w:sz="4" w:space="0" w:color="E2E8F0"/>
              <w:bottom w:val="single" w:sz="4" w:space="0" w:color="E2E8F0"/>
              <w:left w:val="none" w:sz="0" w:space="0" w:color="FFFFFF"/>
              <w:right w:val="none" w:sz="0" w:space="0" w:color="FFFFFF"/>
            </w:tcBorders>
          </w:tcPr>
          <w:p>
            <w:pPr>
              <w:spacing w:before="0" w:after="0"/>
              <w:jc w:val="left"/>
            </w:pPr>
            <w:r>
              <w:rPr>
                <w:rFonts w:ascii="Calibri" w:hAnsi="Calibri"/>
                <w:color w:val="1E293B"/>
                <w:sz w:val="18"/>
              </w:rPr>
              <w:t>Submitted ≥ 24 hours prior to deadline</w:t>
            </w:r>
          </w:p>
        </w:tc>
        <w:tc>
          <w:tcPr>
            <w:tcW w:type="dxa" w:w="1728"/>
            <w:shd w:fill="F8FAFC"/>
            <w:tcMar>
              <w:top w:w="90" w:type="dxa"/>
              <w:bottom w:w="90" w:type="dxa"/>
              <w:left w:w="120" w:type="dxa"/>
              <w:right w:w="120" w:type="dxa"/>
            </w:tcMar>
            <w:tcBorders>
              <w:top w:val="single" w:sz="4" w:space="0" w:color="E2E8F0"/>
              <w:bottom w:val="single" w:sz="4" w:space="0" w:color="E2E8F0"/>
              <w:left w:val="none" w:sz="0" w:space="0" w:color="FFFFFF"/>
              <w:right w:val="none" w:sz="0" w:space="0" w:color="FFFFFF"/>
            </w:tcBorders>
          </w:tcPr>
          <w:p>
            <w:pPr>
              <w:spacing w:before="0" w:after="0"/>
              <w:jc w:val="left"/>
            </w:pPr>
            <w:r>
              <w:rPr>
                <w:rFonts w:ascii="Calibri" w:hAnsi="Calibri"/>
                <w:color w:val="1E293B"/>
                <w:sz w:val="18"/>
              </w:rPr>
              <w:t>+50 XP</w:t>
            </w:r>
          </w:p>
        </w:tc>
        <w:tc>
          <w:tcPr>
            <w:tcW w:type="dxa" w:w="2160"/>
            <w:shd w:fill="F8FAFC"/>
            <w:tcMar>
              <w:top w:w="90" w:type="dxa"/>
              <w:bottom w:w="90" w:type="dxa"/>
              <w:left w:w="120" w:type="dxa"/>
              <w:right w:w="120" w:type="dxa"/>
            </w:tcMar>
            <w:tcBorders>
              <w:top w:val="single" w:sz="4" w:space="0" w:color="E2E8F0"/>
              <w:bottom w:val="single" w:sz="4" w:space="0" w:color="E2E8F0"/>
              <w:left w:val="none" w:sz="0" w:space="0" w:color="FFFFFF"/>
              <w:right w:val="none" w:sz="0" w:space="0" w:color="FFFFFF"/>
            </w:tcBorders>
          </w:tcPr>
          <w:p>
            <w:pPr>
              <w:spacing w:before="0" w:after="0"/>
              <w:jc w:val="left"/>
            </w:pPr>
            <w:r>
              <w:rPr>
                <w:rFonts w:ascii="Calibri" w:hAnsi="Calibri"/>
                <w:color w:val="1E293B"/>
                <w:sz w:val="18"/>
              </w:rPr>
              <w:t>Speed Demon</w:t>
            </w:r>
          </w:p>
        </w:tc>
      </w:tr>
      <w:tr>
        <w:trPr>
          <w:cantSplit/>
        </w:trPr>
        <w:tc>
          <w:tcPr>
            <w:tcW w:type="dxa" w:w="2304"/>
            <w:shd w:fill="FFFFFF"/>
            <w:tcMar>
              <w:top w:w="90" w:type="dxa"/>
              <w:bottom w:w="90" w:type="dxa"/>
              <w:left w:w="120" w:type="dxa"/>
              <w:right w:w="120" w:type="dxa"/>
            </w:tcMar>
            <w:tcBorders>
              <w:top w:val="single" w:sz="4" w:space="0" w:color="E2E8F0"/>
              <w:bottom w:val="single" w:sz="4" w:space="0" w:color="E2E8F0"/>
              <w:left w:val="none" w:sz="0" w:space="0" w:color="FFFFFF"/>
              <w:right w:val="none" w:sz="0" w:space="0" w:color="FFFFFF"/>
            </w:tcBorders>
          </w:tcPr>
          <w:p>
            <w:pPr>
              <w:spacing w:before="0" w:after="0"/>
              <w:jc w:val="left"/>
            </w:pPr>
            <w:r>
              <w:rPr>
                <w:rFonts w:ascii="Calibri" w:hAnsi="Calibri"/>
                <w:color w:val="1E293B"/>
                <w:sz w:val="18"/>
              </w:rPr>
              <w:t>Quiz Perfection</w:t>
            </w:r>
          </w:p>
        </w:tc>
        <w:tc>
          <w:tcPr>
            <w:tcW w:type="dxa" w:w="3168"/>
            <w:shd w:fill="FFFFFF"/>
            <w:tcMar>
              <w:top w:w="90" w:type="dxa"/>
              <w:bottom w:w="90" w:type="dxa"/>
              <w:left w:w="120" w:type="dxa"/>
              <w:right w:w="120" w:type="dxa"/>
            </w:tcMar>
            <w:tcBorders>
              <w:top w:val="single" w:sz="4" w:space="0" w:color="E2E8F0"/>
              <w:bottom w:val="single" w:sz="4" w:space="0" w:color="E2E8F0"/>
              <w:left w:val="none" w:sz="0" w:space="0" w:color="FFFFFF"/>
              <w:right w:val="none" w:sz="0" w:space="0" w:color="FFFFFF"/>
            </w:tcBorders>
          </w:tcPr>
          <w:p>
            <w:pPr>
              <w:spacing w:before="0" w:after="0"/>
              <w:jc w:val="left"/>
            </w:pPr>
            <w:r>
              <w:rPr>
                <w:rFonts w:ascii="Calibri" w:hAnsi="Calibri"/>
                <w:color w:val="1E293B"/>
                <w:sz w:val="18"/>
              </w:rPr>
              <w:t>Scored 100% on first quiz attempt</w:t>
            </w:r>
          </w:p>
        </w:tc>
        <w:tc>
          <w:tcPr>
            <w:tcW w:type="dxa" w:w="1728"/>
            <w:shd w:fill="FFFFFF"/>
            <w:tcMar>
              <w:top w:w="90" w:type="dxa"/>
              <w:bottom w:w="90" w:type="dxa"/>
              <w:left w:w="120" w:type="dxa"/>
              <w:right w:w="120" w:type="dxa"/>
            </w:tcMar>
            <w:tcBorders>
              <w:top w:val="single" w:sz="4" w:space="0" w:color="E2E8F0"/>
              <w:bottom w:val="single" w:sz="4" w:space="0" w:color="E2E8F0"/>
              <w:left w:val="none" w:sz="0" w:space="0" w:color="FFFFFF"/>
              <w:right w:val="none" w:sz="0" w:space="0" w:color="FFFFFF"/>
            </w:tcBorders>
          </w:tcPr>
          <w:p>
            <w:pPr>
              <w:spacing w:before="0" w:after="0"/>
              <w:jc w:val="left"/>
            </w:pPr>
            <w:r>
              <w:rPr>
                <w:rFonts w:ascii="Calibri" w:hAnsi="Calibri"/>
                <w:color w:val="1E293B"/>
                <w:sz w:val="18"/>
              </w:rPr>
              <w:t>+75 XP</w:t>
            </w:r>
          </w:p>
        </w:tc>
        <w:tc>
          <w:tcPr>
            <w:tcW w:type="dxa" w:w="2160"/>
            <w:shd w:fill="FFFFFF"/>
            <w:tcMar>
              <w:top w:w="90" w:type="dxa"/>
              <w:bottom w:w="90" w:type="dxa"/>
              <w:left w:w="120" w:type="dxa"/>
              <w:right w:w="120" w:type="dxa"/>
            </w:tcMar>
            <w:tcBorders>
              <w:top w:val="single" w:sz="4" w:space="0" w:color="E2E8F0"/>
              <w:bottom w:val="single" w:sz="4" w:space="0" w:color="E2E8F0"/>
              <w:left w:val="none" w:sz="0" w:space="0" w:color="FFFFFF"/>
              <w:right w:val="none" w:sz="0" w:space="0" w:color="FFFFFF"/>
            </w:tcBorders>
          </w:tcPr>
          <w:p>
            <w:pPr>
              <w:spacing w:before="0" w:after="0"/>
              <w:jc w:val="left"/>
            </w:pPr>
            <w:r>
              <w:rPr>
                <w:rFonts w:ascii="Calibri" w:hAnsi="Calibri"/>
                <w:color w:val="1E293B"/>
                <w:sz w:val="18"/>
              </w:rPr>
              <w:t>Mastermind</w:t>
            </w:r>
          </w:p>
        </w:tc>
      </w:tr>
      <w:tr>
        <w:trPr>
          <w:cantSplit/>
        </w:trPr>
        <w:tc>
          <w:tcPr>
            <w:tcW w:type="dxa" w:w="2304"/>
            <w:shd w:fill="F8FAFC"/>
            <w:tcMar>
              <w:top w:w="90" w:type="dxa"/>
              <w:bottom w:w="90" w:type="dxa"/>
              <w:left w:w="120" w:type="dxa"/>
              <w:right w:w="120" w:type="dxa"/>
            </w:tcMar>
            <w:tcBorders>
              <w:top w:val="single" w:sz="4" w:space="0" w:color="E2E8F0"/>
              <w:bottom w:val="single" w:sz="4" w:space="0" w:color="E2E8F0"/>
              <w:left w:val="none" w:sz="0" w:space="0" w:color="FFFFFF"/>
              <w:right w:val="none" w:sz="0" w:space="0" w:color="FFFFFF"/>
            </w:tcBorders>
          </w:tcPr>
          <w:p>
            <w:pPr>
              <w:spacing w:before="0" w:after="0"/>
              <w:jc w:val="left"/>
            </w:pPr>
            <w:r>
              <w:rPr>
                <w:rFonts w:ascii="Calibri" w:hAnsi="Calibri"/>
                <w:color w:val="1E293B"/>
                <w:sz w:val="18"/>
              </w:rPr>
              <w:t>Peer Code Review</w:t>
            </w:r>
          </w:p>
        </w:tc>
        <w:tc>
          <w:tcPr>
            <w:tcW w:type="dxa" w:w="3168"/>
            <w:shd w:fill="F8FAFC"/>
            <w:tcMar>
              <w:top w:w="90" w:type="dxa"/>
              <w:bottom w:w="90" w:type="dxa"/>
              <w:left w:w="120" w:type="dxa"/>
              <w:right w:w="120" w:type="dxa"/>
            </w:tcMar>
            <w:tcBorders>
              <w:top w:val="single" w:sz="4" w:space="0" w:color="E2E8F0"/>
              <w:bottom w:val="single" w:sz="4" w:space="0" w:color="E2E8F0"/>
              <w:left w:val="none" w:sz="0" w:space="0" w:color="FFFFFF"/>
              <w:right w:val="none" w:sz="0" w:space="0" w:color="FFFFFF"/>
            </w:tcBorders>
          </w:tcPr>
          <w:p>
            <w:pPr>
              <w:spacing w:before="0" w:after="0"/>
              <w:jc w:val="left"/>
            </w:pPr>
            <w:r>
              <w:rPr>
                <w:rFonts w:ascii="Calibri" w:hAnsi="Calibri"/>
                <w:color w:val="1E293B"/>
                <w:sz w:val="18"/>
              </w:rPr>
              <w:t>Helpful comment in Hub community post</w:t>
            </w:r>
          </w:p>
        </w:tc>
        <w:tc>
          <w:tcPr>
            <w:tcW w:type="dxa" w:w="1728"/>
            <w:shd w:fill="F8FAFC"/>
            <w:tcMar>
              <w:top w:w="90" w:type="dxa"/>
              <w:bottom w:w="90" w:type="dxa"/>
              <w:left w:w="120" w:type="dxa"/>
              <w:right w:w="120" w:type="dxa"/>
            </w:tcMar>
            <w:tcBorders>
              <w:top w:val="single" w:sz="4" w:space="0" w:color="E2E8F0"/>
              <w:bottom w:val="single" w:sz="4" w:space="0" w:color="E2E8F0"/>
              <w:left w:val="none" w:sz="0" w:space="0" w:color="FFFFFF"/>
              <w:right w:val="none" w:sz="0" w:space="0" w:color="FFFFFF"/>
            </w:tcBorders>
          </w:tcPr>
          <w:p>
            <w:pPr>
              <w:spacing w:before="0" w:after="0"/>
              <w:jc w:val="left"/>
            </w:pPr>
            <w:r>
              <w:rPr>
                <w:rFonts w:ascii="Calibri" w:hAnsi="Calibri"/>
                <w:color w:val="1E293B"/>
                <w:sz w:val="18"/>
              </w:rPr>
              <w:t>+30 XP</w:t>
            </w:r>
          </w:p>
        </w:tc>
        <w:tc>
          <w:tcPr>
            <w:tcW w:type="dxa" w:w="2160"/>
            <w:shd w:fill="F8FAFC"/>
            <w:tcMar>
              <w:top w:w="90" w:type="dxa"/>
              <w:bottom w:w="90" w:type="dxa"/>
              <w:left w:w="120" w:type="dxa"/>
              <w:right w:w="120" w:type="dxa"/>
            </w:tcMar>
            <w:tcBorders>
              <w:top w:val="single" w:sz="4" w:space="0" w:color="E2E8F0"/>
              <w:bottom w:val="single" w:sz="4" w:space="0" w:color="E2E8F0"/>
              <w:left w:val="none" w:sz="0" w:space="0" w:color="FFFFFF"/>
              <w:right w:val="none" w:sz="0" w:space="0" w:color="FFFFFF"/>
            </w:tcBorders>
          </w:tcPr>
          <w:p>
            <w:pPr>
              <w:spacing w:before="0" w:after="0"/>
              <w:jc w:val="left"/>
            </w:pPr>
            <w:r>
              <w:rPr>
                <w:rFonts w:ascii="Calibri" w:hAnsi="Calibri"/>
                <w:color w:val="1E293B"/>
                <w:sz w:val="18"/>
              </w:rPr>
              <w:t>Helpful Mentor</w:t>
            </w:r>
          </w:p>
        </w:tc>
      </w:tr>
      <w:tr>
        <w:trPr>
          <w:cantSplit/>
        </w:trPr>
        <w:tc>
          <w:tcPr>
            <w:tcW w:type="dxa" w:w="2304"/>
            <w:shd w:fill="FFFFFF"/>
            <w:tcMar>
              <w:top w:w="90" w:type="dxa"/>
              <w:bottom w:w="90" w:type="dxa"/>
              <w:left w:w="120" w:type="dxa"/>
              <w:right w:w="120" w:type="dxa"/>
            </w:tcMar>
            <w:tcBorders>
              <w:top w:val="single" w:sz="4" w:space="0" w:color="E2E8F0"/>
              <w:bottom w:val="single" w:sz="4" w:space="0" w:color="E2E8F0"/>
              <w:left w:val="none" w:sz="0" w:space="0" w:color="FFFFFF"/>
              <w:right w:val="none" w:sz="0" w:space="0" w:color="FFFFFF"/>
            </w:tcBorders>
          </w:tcPr>
          <w:p>
            <w:pPr>
              <w:spacing w:before="0" w:after="0"/>
              <w:jc w:val="left"/>
            </w:pPr>
            <w:r>
              <w:rPr>
                <w:rFonts w:ascii="Calibri" w:hAnsi="Calibri"/>
                <w:color w:val="1E293B"/>
                <w:sz w:val="18"/>
              </w:rPr>
              <w:t>Capstone Completion</w:t>
            </w:r>
          </w:p>
        </w:tc>
        <w:tc>
          <w:tcPr>
            <w:tcW w:type="dxa" w:w="3168"/>
            <w:shd w:fill="FFFFFF"/>
            <w:tcMar>
              <w:top w:w="90" w:type="dxa"/>
              <w:bottom w:w="90" w:type="dxa"/>
              <w:left w:w="120" w:type="dxa"/>
              <w:right w:w="120" w:type="dxa"/>
            </w:tcMar>
            <w:tcBorders>
              <w:top w:val="single" w:sz="4" w:space="0" w:color="E2E8F0"/>
              <w:bottom w:val="single" w:sz="4" w:space="0" w:color="E2E8F0"/>
              <w:left w:val="none" w:sz="0" w:space="0" w:color="FFFFFF"/>
              <w:right w:val="none" w:sz="0" w:space="0" w:color="FFFFFF"/>
            </w:tcBorders>
          </w:tcPr>
          <w:p>
            <w:pPr>
              <w:spacing w:before="0" w:after="0"/>
              <w:jc w:val="left"/>
            </w:pPr>
            <w:r>
              <w:rPr>
                <w:rFonts w:ascii="Calibri" w:hAnsi="Calibri"/>
                <w:color w:val="1E293B"/>
                <w:sz w:val="18"/>
              </w:rPr>
              <w:t>Successfully presented final course project</w:t>
            </w:r>
          </w:p>
        </w:tc>
        <w:tc>
          <w:tcPr>
            <w:tcW w:type="dxa" w:w="1728"/>
            <w:shd w:fill="FFFFFF"/>
            <w:tcMar>
              <w:top w:w="90" w:type="dxa"/>
              <w:bottom w:w="90" w:type="dxa"/>
              <w:left w:w="120" w:type="dxa"/>
              <w:right w:w="120" w:type="dxa"/>
            </w:tcMar>
            <w:tcBorders>
              <w:top w:val="single" w:sz="4" w:space="0" w:color="E2E8F0"/>
              <w:bottom w:val="single" w:sz="4" w:space="0" w:color="E2E8F0"/>
              <w:left w:val="none" w:sz="0" w:space="0" w:color="FFFFFF"/>
              <w:right w:val="none" w:sz="0" w:space="0" w:color="FFFFFF"/>
            </w:tcBorders>
          </w:tcPr>
          <w:p>
            <w:pPr>
              <w:spacing w:before="0" w:after="0"/>
              <w:jc w:val="left"/>
            </w:pPr>
            <w:r>
              <w:rPr>
                <w:rFonts w:ascii="Calibri" w:hAnsi="Calibri"/>
                <w:color w:val="1E293B"/>
                <w:sz w:val="18"/>
              </w:rPr>
              <w:t>+200 XP</w:t>
            </w:r>
          </w:p>
        </w:tc>
        <w:tc>
          <w:tcPr>
            <w:tcW w:type="dxa" w:w="2160"/>
            <w:shd w:fill="FFFFFF"/>
            <w:tcMar>
              <w:top w:w="90" w:type="dxa"/>
              <w:bottom w:w="90" w:type="dxa"/>
              <w:left w:w="120" w:type="dxa"/>
              <w:right w:w="120" w:type="dxa"/>
            </w:tcMar>
            <w:tcBorders>
              <w:top w:val="single" w:sz="4" w:space="0" w:color="E2E8F0"/>
              <w:bottom w:val="single" w:sz="4" w:space="0" w:color="E2E8F0"/>
              <w:left w:val="none" w:sz="0" w:space="0" w:color="FFFFFF"/>
              <w:right w:val="none" w:sz="0" w:space="0" w:color="FFFFFF"/>
            </w:tcBorders>
          </w:tcPr>
          <w:p>
            <w:pPr>
              <w:spacing w:before="0" w:after="0"/>
              <w:jc w:val="left"/>
            </w:pPr>
            <w:r>
              <w:rPr>
                <w:rFonts w:ascii="Calibri" w:hAnsi="Calibri"/>
                <w:color w:val="1E293B"/>
                <w:sz w:val="18"/>
              </w:rPr>
              <w:t>Capstone Champion</w:t>
            </w:r>
          </w:p>
        </w:tc>
      </w:tr>
    </w:tbl>
    <w:p>
      <w:pPr>
        <w:spacing w:before="0" w:after="120"/>
      </w:pPr>
    </w:p>
    <w:p>
      <w:pPr>
        <w:keepNext/>
        <w:spacing w:before="280" w:after="80"/>
      </w:pPr>
      <w:r>
        <w:rPr>
          <w:rFonts w:ascii="Calibri" w:hAnsi="Calibri"/>
          <w:b/>
          <w:color w:val="0D9488"/>
          <w:sz w:val="25"/>
        </w:rPr>
        <w:t xml:space="preserve">9.2 </w:t>
      </w:r>
      <w:r>
        <w:rPr>
          <w:rFonts w:ascii="Calibri" w:hAnsi="Calibri"/>
          <w:b/>
          <w:color w:val="1E3A8A"/>
          <w:sz w:val="25"/>
        </w:rPr>
        <w:t>Managing Cohort Leaderboards</w:t>
      </w:r>
    </w:p>
    <w:p>
      <w:pPr>
        <w:spacing w:before="0" w:after="80" w:line="276" w:lineRule="auto"/>
      </w:pPr>
      <w:r>
        <w:rPr>
          <w:rFonts w:ascii="Calibri" w:hAnsi="Calibri"/>
          <w:color w:val="334155"/>
          <w:sz w:val="20"/>
        </w:rPr>
        <w:t>The cohort leaderboard ranks learners based on cumulative XP earned throughout the intake. Instructors should celebrate top-ranking students weekly during live sessions, while personally mentoring learners in the bottom quartile.</w:t>
      </w:r>
    </w:p>
    <w:p>
      <w:pPr>
        <w:keepNext/>
        <w:spacing w:before="400" w:after="120"/>
      </w:pPr>
      <w:r>
        <w:rPr>
          <w:rFonts w:ascii="Calibri" w:hAnsi="Calibri"/>
          <w:b/>
          <w:color w:val="0D9488"/>
          <w:sz w:val="30"/>
        </w:rPr>
        <w:t xml:space="preserve">10.0  </w:t>
      </w:r>
      <w:r>
        <w:rPr>
          <w:rFonts w:ascii="Calibri" w:hAnsi="Calibri"/>
          <w:b/>
          <w:color w:val="0F172A"/>
          <w:sz w:val="30"/>
        </w:rPr>
        <w:t>Progress Tracking &amp; Community Engagement</w:t>
      </w:r>
    </w:p>
    <w:p>
      <w:pPr>
        <w:spacing w:before="0" w:after="80" w:line="276" w:lineRule="auto"/>
      </w:pPr>
      <w:r>
        <w:rPr>
          <w:rFonts w:ascii="Calibri" w:hAnsi="Calibri"/>
          <w:color w:val="334155"/>
          <w:sz w:val="20"/>
        </w:rPr>
        <w:t>A successful course requires proactive learner tracking and an active community hub.</w:t>
      </w:r>
    </w:p>
    <w:p>
      <w:pPr>
        <w:keepNext/>
        <w:spacing w:before="280" w:after="80"/>
      </w:pPr>
      <w:r>
        <w:rPr>
          <w:rFonts w:ascii="Calibri" w:hAnsi="Calibri"/>
          <w:b/>
          <w:color w:val="0D9488"/>
          <w:sz w:val="25"/>
        </w:rPr>
        <w:t xml:space="preserve">10.1 </w:t>
      </w:r>
      <w:r>
        <w:rPr>
          <w:rFonts w:ascii="Calibri" w:hAnsi="Calibri"/>
          <w:b/>
          <w:color w:val="1E3A8A"/>
          <w:sz w:val="25"/>
        </w:rPr>
        <w:t>Monitoring Learner Health via StudentResource</w:t>
      </w:r>
    </w:p>
    <w:p>
      <w:pPr>
        <w:spacing w:before="0" w:after="80" w:line="276" w:lineRule="auto"/>
      </w:pPr>
      <w:r>
        <w:rPr>
          <w:rFonts w:ascii="Calibri" w:hAnsi="Calibri"/>
          <w:color w:val="334155"/>
          <w:sz w:val="20"/>
        </w:rPr>
        <w:t>The Student Management table provides instant visibility into individual student health metrics:</w:t>
      </w:r>
    </w:p>
    <w:p>
      <w:pPr>
        <w:pStyle w:val="ListBullet"/>
        <w:spacing w:before="0" w:after="50" w:line="276" w:lineRule="auto"/>
      </w:pPr>
      <w:r>
        <w:rPr>
          <w:rFonts w:ascii="Calibri" w:hAnsi="Calibri"/>
          <w:b/>
          <w:color w:val="0F172A"/>
          <w:sz w:val="20"/>
        </w:rPr>
        <w:t>Attendance Gauge:</w:t>
      </w:r>
      <w:r>
        <w:rPr>
          <w:rFonts w:ascii="Calibri" w:hAnsi="Calibri"/>
          <w:color w:val="334155"/>
          <w:sz w:val="20"/>
        </w:rPr>
        <w:t xml:space="preserve"> Cumulative session attendance. A drop below 80% turns the indicator orange; below 65% turns it red.</w:t>
      </w:r>
    </w:p>
    <w:p>
      <w:pPr>
        <w:pStyle w:val="ListBullet"/>
        <w:spacing w:before="0" w:after="50" w:line="276" w:lineRule="auto"/>
      </w:pPr>
      <w:r>
        <w:rPr>
          <w:rFonts w:ascii="Calibri" w:hAnsi="Calibri"/>
          <w:b/>
          <w:color w:val="0F172A"/>
          <w:sz w:val="20"/>
        </w:rPr>
        <w:t>Submission Rate:</w:t>
      </w:r>
      <w:r>
        <w:rPr>
          <w:rFonts w:ascii="Calibri" w:hAnsi="Calibri"/>
          <w:color w:val="334155"/>
          <w:sz w:val="20"/>
        </w:rPr>
        <w:t xml:space="preserve"> Number of submitted assignments vs total published assignments.</w:t>
      </w:r>
    </w:p>
    <w:p>
      <w:pPr>
        <w:pStyle w:val="ListBullet"/>
        <w:spacing w:before="0" w:after="50" w:line="276" w:lineRule="auto"/>
      </w:pPr>
      <w:r>
        <w:rPr>
          <w:rFonts w:ascii="Calibri" w:hAnsi="Calibri"/>
          <w:b/>
          <w:color w:val="0F172A"/>
          <w:sz w:val="20"/>
        </w:rPr>
        <w:t>Cumulative Grade:</w:t>
      </w:r>
      <w:r>
        <w:rPr>
          <w:rFonts w:ascii="Calibri" w:hAnsi="Calibri"/>
          <w:color w:val="334155"/>
          <w:sz w:val="20"/>
        </w:rPr>
        <w:t xml:space="preserve"> Average score across completed quizzes and graded homework.</w:t>
      </w:r>
    </w:p>
    <w:p>
      <w:pPr>
        <w:keepNext/>
        <w:spacing w:before="280" w:after="80"/>
      </w:pPr>
      <w:r>
        <w:rPr>
          <w:rFonts w:ascii="Calibri" w:hAnsi="Calibri"/>
          <w:b/>
          <w:color w:val="0D9488"/>
          <w:sz w:val="25"/>
        </w:rPr>
        <w:t xml:space="preserve">10.2 </w:t>
      </w:r>
      <w:r>
        <w:rPr>
          <w:rFonts w:ascii="Calibri" w:hAnsi="Calibri"/>
          <w:b/>
          <w:color w:val="1E3A8A"/>
          <w:sz w:val="25"/>
        </w:rPr>
        <w:t>Community Building with Hub Posts</w:t>
      </w:r>
    </w:p>
    <w:p>
      <w:pPr>
        <w:spacing w:before="0" w:after="80" w:line="276" w:lineRule="auto"/>
      </w:pPr>
      <w:r>
        <w:rPr>
          <w:rFonts w:ascii="Calibri" w:hAnsi="Calibri"/>
          <w:color w:val="334155"/>
          <w:sz w:val="20"/>
        </w:rPr>
        <w:t>Hub Posts provide a dedicated communication channel for each cohort. Instructors should publish at least two posts per week:</w:t>
        <w:br/>
        <w:t>• Monday Kickoff: Summary of the upcoming week's module, key milestones, and required readings.</w:t>
        <w:br/>
        <w:t>• Friday Lab Recap: Highlighting exemplary student work, common debugging pitfalls, and weekend challenge exercises.</w:t>
      </w:r>
    </w:p>
    <w:p>
      <w:pPr>
        <w:keepNext/>
        <w:spacing w:before="400" w:after="120"/>
      </w:pPr>
      <w:r>
        <w:rPr>
          <w:rFonts w:ascii="Calibri" w:hAnsi="Calibri"/>
          <w:b/>
          <w:color w:val="0D9488"/>
          <w:sz w:val="30"/>
        </w:rPr>
        <w:t xml:space="preserve">11.0  </w:t>
      </w:r>
      <w:r>
        <w:rPr>
          <w:rFonts w:ascii="Calibri" w:hAnsi="Calibri"/>
          <w:b/>
          <w:color w:val="0F172A"/>
          <w:sz w:val="30"/>
        </w:rPr>
        <w:t>Instructor Remuneration &amp; Timesheet Claims</w:t>
      </w:r>
    </w:p>
    <w:p>
      <w:pPr>
        <w:spacing w:before="0" w:after="80" w:line="276" w:lineRule="auto"/>
      </w:pPr>
      <w:r>
        <w:rPr>
          <w:rFonts w:ascii="Calibri" w:hAnsi="Calibri"/>
          <w:color w:val="334155"/>
          <w:sz w:val="20"/>
        </w:rPr>
        <w:t>Thinker HUB ensures transparent, timely compensation for all teaching faculty. Instructors submit timesheet claims via ClaimRequestResource.</w:t>
      </w:r>
    </w:p>
    <w:p>
      <w:pPr>
        <w:keepNext/>
        <w:spacing w:before="280" w:after="80"/>
      </w:pPr>
      <w:r>
        <w:rPr>
          <w:rFonts w:ascii="Calibri" w:hAnsi="Calibri"/>
          <w:b/>
          <w:color w:val="0D9488"/>
          <w:sz w:val="25"/>
        </w:rPr>
        <w:t xml:space="preserve">11.1 </w:t>
      </w:r>
      <w:r>
        <w:rPr>
          <w:rFonts w:ascii="Calibri" w:hAnsi="Calibri"/>
          <w:b/>
          <w:color w:val="1E3A8A"/>
          <w:sz w:val="25"/>
        </w:rPr>
        <w:t>Claim Categories &amp; Rate Guidelines</w:t>
      </w:r>
    </w:p>
    <w:p>
      <w:pPr>
        <w:pStyle w:val="ListBullet"/>
        <w:spacing w:before="0" w:after="50" w:line="276" w:lineRule="auto"/>
      </w:pPr>
      <w:r>
        <w:rPr>
          <w:rFonts w:ascii="Calibri" w:hAnsi="Calibri"/>
          <w:b/>
          <w:color w:val="0F172A"/>
          <w:sz w:val="20"/>
        </w:rPr>
        <w:t>Live Session Delivery:</w:t>
      </w:r>
      <w:r>
        <w:rPr>
          <w:rFonts w:ascii="Calibri" w:hAnsi="Calibri"/>
          <w:color w:val="334155"/>
          <w:sz w:val="20"/>
        </w:rPr>
        <w:t xml:space="preserve"> Billable per scheduled teaching hour. Must be backed by a completed session attendance register.</w:t>
      </w:r>
    </w:p>
    <w:p>
      <w:pPr>
        <w:pStyle w:val="ListBullet"/>
        <w:spacing w:before="0" w:after="50" w:line="276" w:lineRule="auto"/>
      </w:pPr>
      <w:r>
        <w:rPr>
          <w:rFonts w:ascii="Calibri" w:hAnsi="Calibri"/>
          <w:b/>
          <w:color w:val="0F172A"/>
          <w:sz w:val="20"/>
        </w:rPr>
        <w:t>Assignment Grading:</w:t>
      </w:r>
      <w:r>
        <w:rPr>
          <w:rFonts w:ascii="Calibri" w:hAnsi="Calibri"/>
          <w:color w:val="334155"/>
          <w:sz w:val="20"/>
        </w:rPr>
        <w:t xml:space="preserve"> Per-submission fee for detailed code reviews and qualitative feedback on student capstones.</w:t>
      </w:r>
    </w:p>
    <w:p>
      <w:pPr>
        <w:pStyle w:val="ListBullet"/>
        <w:spacing w:before="0" w:after="50" w:line="276" w:lineRule="auto"/>
      </w:pPr>
      <w:r>
        <w:rPr>
          <w:rFonts w:ascii="Calibri" w:hAnsi="Calibri"/>
          <w:b/>
          <w:color w:val="0F172A"/>
          <w:sz w:val="20"/>
        </w:rPr>
        <w:t>Curriculum Development:</w:t>
      </w:r>
      <w:r>
        <w:rPr>
          <w:rFonts w:ascii="Calibri" w:hAnsi="Calibri"/>
          <w:color w:val="334155"/>
          <w:sz w:val="20"/>
        </w:rPr>
        <w:t xml:space="preserve"> One-off compensation for authoring and publishing an approved new course curriculum.</w:t>
      </w:r>
    </w:p>
    <w:p>
      <w:pPr>
        <w:pStyle w:val="ListBullet"/>
        <w:spacing w:before="0" w:after="50" w:line="276" w:lineRule="auto"/>
      </w:pPr>
      <w:r>
        <w:rPr>
          <w:rFonts w:ascii="Calibri" w:hAnsi="Calibri"/>
          <w:b/>
          <w:color w:val="0F172A"/>
          <w:sz w:val="20"/>
        </w:rPr>
        <w:t>Office Hours &amp; Mentorship:</w:t>
      </w:r>
      <w:r>
        <w:rPr>
          <w:rFonts w:ascii="Calibri" w:hAnsi="Calibri"/>
          <w:color w:val="334155"/>
          <w:sz w:val="20"/>
        </w:rPr>
        <w:t xml:space="preserve"> Hourly stipend for pre-scheduled 1-on-1 student advisory calls.</w:t>
      </w:r>
    </w:p>
    <w:p>
      <w:pPr>
        <w:keepNext/>
        <w:spacing w:before="280" w:after="80"/>
      </w:pPr>
      <w:r>
        <w:rPr>
          <w:rFonts w:ascii="Calibri" w:hAnsi="Calibri"/>
          <w:b/>
          <w:color w:val="0D9488"/>
          <w:sz w:val="25"/>
        </w:rPr>
        <w:t xml:space="preserve">11.2 </w:t>
      </w:r>
      <w:r>
        <w:rPr>
          <w:rFonts w:ascii="Calibri" w:hAnsi="Calibri"/>
          <w:b/>
          <w:color w:val="1E3A8A"/>
          <w:sz w:val="25"/>
        </w:rPr>
        <w:t>Claim Submission &amp; Settlement Cycle</w:t>
      </w:r>
    </w:p>
    <w:p>
      <w:pPr>
        <w:spacing w:before="40" w:after="60" w:line="276" w:lineRule="auto"/>
        <w:ind w:left="288"/>
      </w:pPr>
      <w:r>
        <w:rPr>
          <w:rFonts w:ascii="Calibri" w:hAnsi="Calibri"/>
          <w:b/>
          <w:color w:val="0D9488"/>
          <w:sz w:val="20"/>
        </w:rPr>
        <w:t xml:space="preserve">1. </w:t>
      </w:r>
      <w:r>
        <w:rPr>
          <w:rFonts w:ascii="Calibri" w:hAnsi="Calibri"/>
          <w:b/>
          <w:color w:val="0F172A"/>
          <w:sz w:val="20"/>
        </w:rPr>
        <w:t xml:space="preserve">Monthly Timesheet Submission: </w:t>
      </w:r>
      <w:r>
        <w:rPr>
          <w:rFonts w:ascii="Calibri" w:hAnsi="Calibri"/>
          <w:color w:val="334155"/>
          <w:sz w:val="20"/>
        </w:rPr>
        <w:t>Instructors submit their claim form before the 25th of each calendar month, attaching verified session links.</w:t>
      </w:r>
    </w:p>
    <w:p>
      <w:pPr>
        <w:spacing w:before="40" w:after="60" w:line="276" w:lineRule="auto"/>
        <w:ind w:left="288"/>
      </w:pPr>
      <w:r>
        <w:rPr>
          <w:rFonts w:ascii="Calibri" w:hAnsi="Calibri"/>
          <w:b/>
          <w:color w:val="0D9488"/>
          <w:sz w:val="20"/>
        </w:rPr>
        <w:t xml:space="preserve">2. </w:t>
      </w:r>
      <w:r>
        <w:rPr>
          <w:rFonts w:ascii="Calibri" w:hAnsi="Calibri"/>
          <w:b/>
          <w:color w:val="0F172A"/>
          <w:sz w:val="20"/>
        </w:rPr>
        <w:t xml:space="preserve">Academic Audit &amp; Approval: </w:t>
      </w:r>
      <w:r>
        <w:rPr>
          <w:rFonts w:ascii="Calibri" w:hAnsi="Calibri"/>
          <w:color w:val="334155"/>
          <w:sz w:val="20"/>
        </w:rPr>
        <w:t>Admin reviews claim hours against system session logs and attendance registers.</w:t>
      </w:r>
    </w:p>
    <w:p>
      <w:pPr>
        <w:spacing w:before="40" w:after="60" w:line="276" w:lineRule="auto"/>
        <w:ind w:left="288"/>
      </w:pPr>
      <w:r>
        <w:rPr>
          <w:rFonts w:ascii="Calibri" w:hAnsi="Calibri"/>
          <w:b/>
          <w:color w:val="0D9488"/>
          <w:sz w:val="20"/>
        </w:rPr>
        <w:t xml:space="preserve">3. </w:t>
      </w:r>
      <w:r>
        <w:rPr>
          <w:rFonts w:ascii="Calibri" w:hAnsi="Calibri"/>
          <w:b/>
          <w:color w:val="0F172A"/>
          <w:sz w:val="20"/>
        </w:rPr>
        <w:t xml:space="preserve">Disbursement: </w:t>
      </w:r>
      <w:r>
        <w:rPr>
          <w:rFonts w:ascii="Calibri" w:hAnsi="Calibri"/>
          <w:color w:val="334155"/>
          <w:sz w:val="20"/>
        </w:rPr>
        <w:t>Approved disbursements are processed via Bank Wire or Mobile Money (Airtel/MTN) between the 1st and 5th of the following month.</w:t>
      </w:r>
    </w:p>
    <w:p>
      <w:pPr>
        <w:keepNext/>
        <w:spacing w:before="400" w:after="120"/>
      </w:pPr>
      <w:r>
        <w:rPr>
          <w:rFonts w:ascii="Calibri" w:hAnsi="Calibri"/>
          <w:b/>
          <w:color w:val="0D9488"/>
          <w:sz w:val="30"/>
        </w:rPr>
        <w:t xml:space="preserve">12.0  </w:t>
      </w:r>
      <w:r>
        <w:rPr>
          <w:rFonts w:ascii="Calibri" w:hAnsi="Calibri"/>
          <w:b/>
          <w:color w:val="0F172A"/>
          <w:sz w:val="30"/>
        </w:rPr>
        <w:t>Course Wrap-Up, Reports &amp; Certification</w:t>
      </w:r>
    </w:p>
    <w:p>
      <w:pPr>
        <w:spacing w:before="0" w:after="80" w:line="276" w:lineRule="auto"/>
      </w:pPr>
      <w:r>
        <w:rPr>
          <w:rFonts w:ascii="Calibri" w:hAnsi="Calibri"/>
          <w:color w:val="334155"/>
          <w:sz w:val="20"/>
        </w:rPr>
        <w:t>The conclusion of an intake represents the culmination of weeks of dedication. Instructors must execute the formal graduation workflow to certify qualified learners.</w:t>
      </w:r>
    </w:p>
    <w:p>
      <w:pPr>
        <w:keepNext/>
        <w:spacing w:before="280" w:after="80"/>
      </w:pPr>
      <w:r>
        <w:rPr>
          <w:rFonts w:ascii="Calibri" w:hAnsi="Calibri"/>
          <w:b/>
          <w:color w:val="0D9488"/>
          <w:sz w:val="25"/>
        </w:rPr>
        <w:t xml:space="preserve">12.1 </w:t>
      </w:r>
      <w:r>
        <w:rPr>
          <w:rFonts w:ascii="Calibri" w:hAnsi="Calibri"/>
          <w:b/>
          <w:color w:val="1E3A8A"/>
          <w:sz w:val="25"/>
        </w:rPr>
        <w:t>The Graduation Audit Checklist</w:t>
      </w:r>
    </w:p>
    <w:p>
      <w:pPr>
        <w:spacing w:before="40" w:after="60" w:line="276" w:lineRule="auto"/>
        <w:ind w:left="288"/>
      </w:pPr>
      <w:r>
        <w:rPr>
          <w:rFonts w:ascii="Calibri" w:hAnsi="Calibri"/>
          <w:b/>
          <w:color w:val="0D9488"/>
          <w:sz w:val="20"/>
        </w:rPr>
        <w:t xml:space="preserve">Step 1. </w:t>
      </w:r>
      <w:r>
        <w:rPr>
          <w:rFonts w:ascii="Calibri" w:hAnsi="Calibri"/>
          <w:b/>
          <w:color w:val="0F172A"/>
          <w:sz w:val="20"/>
        </w:rPr>
        <w:t xml:space="preserve">Session Finalization: </w:t>
      </w:r>
      <w:r>
        <w:rPr>
          <w:rFonts w:ascii="Calibri" w:hAnsi="Calibri"/>
          <w:color w:val="334155"/>
          <w:sz w:val="20"/>
        </w:rPr>
        <w:t>Confirm all scheduled sessions are marked 'Completed' with attendance fully recorded.</w:t>
      </w:r>
    </w:p>
    <w:p>
      <w:pPr>
        <w:spacing w:before="40" w:after="60" w:line="276" w:lineRule="auto"/>
        <w:ind w:left="288"/>
      </w:pPr>
      <w:r>
        <w:rPr>
          <w:rFonts w:ascii="Calibri" w:hAnsi="Calibri"/>
          <w:b/>
          <w:color w:val="0D9488"/>
          <w:sz w:val="20"/>
        </w:rPr>
        <w:t xml:space="preserve">Step 2. </w:t>
      </w:r>
      <w:r>
        <w:rPr>
          <w:rFonts w:ascii="Calibri" w:hAnsi="Calibri"/>
          <w:b/>
          <w:color w:val="0F172A"/>
          <w:sz w:val="20"/>
        </w:rPr>
        <w:t xml:space="preserve">Gradebook Closure: </w:t>
      </w:r>
      <w:r>
        <w:rPr>
          <w:rFonts w:ascii="Calibri" w:hAnsi="Calibri"/>
          <w:color w:val="334155"/>
          <w:sz w:val="20"/>
        </w:rPr>
        <w:t>Ensure 100% of assignment submissions and quiz attempts are evaluated and finalized.</w:t>
      </w:r>
    </w:p>
    <w:p>
      <w:pPr>
        <w:spacing w:before="40" w:after="60" w:line="276" w:lineRule="auto"/>
        <w:ind w:left="288"/>
      </w:pPr>
      <w:r>
        <w:rPr>
          <w:rFonts w:ascii="Calibri" w:hAnsi="Calibri"/>
          <w:b/>
          <w:color w:val="0D9488"/>
          <w:sz w:val="20"/>
        </w:rPr>
        <w:t xml:space="preserve">Step 3. </w:t>
      </w:r>
      <w:r>
        <w:rPr>
          <w:rFonts w:ascii="Calibri" w:hAnsi="Calibri"/>
          <w:b/>
          <w:color w:val="0F172A"/>
          <w:sz w:val="20"/>
        </w:rPr>
        <w:t xml:space="preserve">Eligibility Verification: </w:t>
      </w:r>
      <w:r>
        <w:rPr>
          <w:rFonts w:ascii="Calibri" w:hAnsi="Calibri"/>
          <w:color w:val="334155"/>
          <w:sz w:val="20"/>
        </w:rPr>
        <w:t>Verify each candidate satisfies the dual graduation rule: ≥ 80% attendance AND ≥ 60% cumulative academic average.</w:t>
      </w:r>
    </w:p>
    <w:p>
      <w:pPr>
        <w:keepNext/>
        <w:spacing w:before="280" w:after="80"/>
      </w:pPr>
      <w:r>
        <w:rPr>
          <w:rFonts w:ascii="Calibri" w:hAnsi="Calibri"/>
          <w:b/>
          <w:color w:val="0D9488"/>
          <w:sz w:val="25"/>
        </w:rPr>
        <w:t xml:space="preserve">12.2 </w:t>
      </w:r>
      <w:r>
        <w:rPr>
          <w:rFonts w:ascii="Calibri" w:hAnsi="Calibri"/>
          <w:b/>
          <w:color w:val="1E3A8A"/>
          <w:sz w:val="25"/>
        </w:rPr>
        <w:t>Issuing Verifiable Digital Certificates</w:t>
      </w:r>
    </w:p>
    <w:p>
      <w:pPr>
        <w:spacing w:before="0" w:after="80" w:line="276" w:lineRule="auto"/>
      </w:pPr>
      <w:r>
        <w:rPr>
          <w:rFonts w:ascii="Calibri" w:hAnsi="Calibri"/>
          <w:color w:val="334155"/>
          <w:sz w:val="20"/>
        </w:rPr>
        <w:t>Certificates generated on Thinker HUB feature cryptographic verification hashes and public QR codes. Graduates can share their verified credentials on LinkedIn and professional resumes. Students achieving ≥ 85% overall standing receive the coveted 'Graduated with Distinction' honor badge.</w:t>
      </w:r>
    </w:p>
    <w:p>
      <w:pPr>
        <w:keepNext/>
        <w:spacing w:before="280" w:after="80"/>
      </w:pPr>
      <w:r>
        <w:rPr>
          <w:rFonts w:ascii="Calibri" w:hAnsi="Calibri"/>
          <w:b/>
          <w:color w:val="0D9488"/>
          <w:sz w:val="25"/>
        </w:rPr>
        <w:t xml:space="preserve">12.3 </w:t>
      </w:r>
      <w:r>
        <w:rPr>
          <w:rFonts w:ascii="Calibri" w:hAnsi="Calibri"/>
          <w:b/>
          <w:color w:val="1E3A8A"/>
          <w:sz w:val="25"/>
        </w:rPr>
        <w:t>Generating Academic &amp; Cohort Reports</w:t>
      </w:r>
    </w:p>
    <w:p>
      <w:pPr>
        <w:spacing w:before="0" w:after="80" w:line="276" w:lineRule="auto"/>
      </w:pPr>
      <w:r>
        <w:rPr>
          <w:rFonts w:ascii="Calibri" w:hAnsi="Calibri"/>
          <w:color w:val="334155"/>
          <w:sz w:val="20"/>
        </w:rPr>
        <w:t>Through ReportResource, instructors generate comprehensive Cohort Completion Dossiers containing:</w:t>
        <w:br/>
        <w:t>• Cohort Grade Distribution histograms.</w:t>
        <w:br/>
        <w:t>• Session attendance logs for institutional sponsors.</w:t>
        <w:br/>
        <w:t>• Individual Student Academic Transcripts suitable for employer verification.</w:t>
      </w:r>
    </w:p>
    <w:p>
      <w:pPr>
        <w:keepNext/>
        <w:spacing w:before="400" w:after="120"/>
      </w:pPr>
      <w:r>
        <w:rPr>
          <w:rFonts w:ascii="Calibri" w:hAnsi="Calibri"/>
          <w:b/>
          <w:color w:val="0D9488"/>
          <w:sz w:val="30"/>
        </w:rPr>
        <w:t xml:space="preserve">A.0  </w:t>
      </w:r>
      <w:r>
        <w:rPr>
          <w:rFonts w:ascii="Calibri" w:hAnsi="Calibri"/>
          <w:b/>
          <w:color w:val="0F172A"/>
          <w:sz w:val="30"/>
        </w:rPr>
        <w:t>Appendix A: Standard Operating Checklists</w:t>
      </w:r>
    </w:p>
    <w:p>
      <w:pPr>
        <w:keepNext/>
        <w:spacing w:before="280" w:after="80"/>
      </w:pPr>
      <w:r>
        <w:rPr>
          <w:rFonts w:ascii="Calibri" w:hAnsi="Calibri"/>
          <w:b/>
          <w:color w:val="0D9488"/>
          <w:sz w:val="25"/>
        </w:rPr>
        <w:t xml:space="preserve">A.1 </w:t>
      </w:r>
      <w:r>
        <w:rPr>
          <w:rFonts w:ascii="Calibri" w:hAnsi="Calibri"/>
          <w:b/>
          <w:color w:val="1E3A8A"/>
          <w:sz w:val="25"/>
        </w:rPr>
        <w:t>Pre-Launch Course Readiness Checklist</w:t>
      </w:r>
    </w:p>
    <w:tbl>
      <w:tblPr>
        <w:tblW w:type="auto" w:w="0"/>
        <w:jc w:val="center"/>
        <w:tblLayout w:type="fixed"/>
        <w:tblLook w:firstColumn="1" w:firstRow="1" w:lastColumn="0" w:lastRow="0" w:noHBand="0" w:noVBand="1" w:val="04A0"/>
      </w:tblPr>
      <w:tblGrid>
        <w:gridCol w:w="2340"/>
        <w:gridCol w:w="2340"/>
        <w:gridCol w:w="2340"/>
        <w:gridCol w:w="2340"/>
      </w:tblGrid>
      <w:tr>
        <w:trPr>
          <w:tblHeader/>
          <w:cantSplit/>
        </w:trPr>
        <w:tc>
          <w:tcPr>
            <w:tcW w:type="dxa" w:w="720"/>
            <w:shd w:fill="0F172A"/>
            <w:tcMar>
              <w:top w:w="120" w:type="dxa"/>
              <w:bottom w:w="120" w:type="dxa"/>
              <w:left w:w="120" w:type="dxa"/>
              <w:right w:w="120" w:type="dxa"/>
            </w:tcMar>
            <w:tcBorders>
              <w:top w:val="single" w:sz="6" w:space="0" w:color="0F172A"/>
              <w:bottom w:val="single" w:sz="18" w:space="0" w:color="0D9488"/>
              <w:left w:val="none" w:sz="0" w:space="0" w:color="FFFFFF"/>
              <w:right w:val="none" w:sz="0" w:space="0" w:color="FFFFFF"/>
            </w:tcBorders>
          </w:tcPr>
          <w:p>
            <w:pPr>
              <w:spacing w:before="0" w:after="0"/>
              <w:jc w:val="left"/>
            </w:pPr>
            <w:r>
              <w:rPr>
                <w:rFonts w:ascii="Calibri" w:hAnsi="Calibri"/>
                <w:b/>
                <w:color w:val="FFFFFF"/>
                <w:sz w:val="19"/>
              </w:rPr>
              <w:t>#</w:t>
            </w:r>
          </w:p>
        </w:tc>
        <w:tc>
          <w:tcPr>
            <w:tcW w:type="dxa" w:w="2880"/>
            <w:shd w:fill="0F172A"/>
            <w:tcMar>
              <w:top w:w="120" w:type="dxa"/>
              <w:bottom w:w="120" w:type="dxa"/>
              <w:left w:w="120" w:type="dxa"/>
              <w:right w:w="120" w:type="dxa"/>
            </w:tcMar>
            <w:tcBorders>
              <w:top w:val="single" w:sz="6" w:space="0" w:color="0F172A"/>
              <w:bottom w:val="single" w:sz="18" w:space="0" w:color="0D9488"/>
              <w:left w:val="none" w:sz="0" w:space="0" w:color="FFFFFF"/>
              <w:right w:val="none" w:sz="0" w:space="0" w:color="FFFFFF"/>
            </w:tcBorders>
          </w:tcPr>
          <w:p>
            <w:pPr>
              <w:spacing w:before="0" w:after="0"/>
              <w:jc w:val="left"/>
            </w:pPr>
            <w:r>
              <w:rPr>
                <w:rFonts w:ascii="Calibri" w:hAnsi="Calibri"/>
                <w:b/>
                <w:color w:val="FFFFFF"/>
                <w:sz w:val="19"/>
              </w:rPr>
              <w:t>Verification Item</w:t>
            </w:r>
          </w:p>
        </w:tc>
        <w:tc>
          <w:tcPr>
            <w:tcW w:type="dxa" w:w="4608"/>
            <w:shd w:fill="0F172A"/>
            <w:tcMar>
              <w:top w:w="120" w:type="dxa"/>
              <w:bottom w:w="120" w:type="dxa"/>
              <w:left w:w="120" w:type="dxa"/>
              <w:right w:w="120" w:type="dxa"/>
            </w:tcMar>
            <w:tcBorders>
              <w:top w:val="single" w:sz="6" w:space="0" w:color="0F172A"/>
              <w:bottom w:val="single" w:sz="18" w:space="0" w:color="0D9488"/>
              <w:left w:val="none" w:sz="0" w:space="0" w:color="FFFFFF"/>
              <w:right w:val="none" w:sz="0" w:space="0" w:color="FFFFFF"/>
            </w:tcBorders>
          </w:tcPr>
          <w:p>
            <w:pPr>
              <w:spacing w:before="0" w:after="0"/>
              <w:jc w:val="left"/>
            </w:pPr>
            <w:r>
              <w:rPr>
                <w:rFonts w:ascii="Calibri" w:hAnsi="Calibri"/>
                <w:b/>
                <w:color w:val="FFFFFF"/>
                <w:sz w:val="19"/>
              </w:rPr>
              <w:t>Standard / Expected State</w:t>
            </w:r>
          </w:p>
        </w:tc>
        <w:tc>
          <w:tcPr>
            <w:tcW w:type="dxa" w:w="1152"/>
            <w:shd w:fill="0F172A"/>
            <w:tcMar>
              <w:top w:w="120" w:type="dxa"/>
              <w:bottom w:w="120" w:type="dxa"/>
              <w:left w:w="120" w:type="dxa"/>
              <w:right w:w="120" w:type="dxa"/>
            </w:tcMar>
            <w:tcBorders>
              <w:top w:val="single" w:sz="6" w:space="0" w:color="0F172A"/>
              <w:bottom w:val="single" w:sz="18" w:space="0" w:color="0D9488"/>
              <w:left w:val="none" w:sz="0" w:space="0" w:color="FFFFFF"/>
              <w:right w:val="none" w:sz="0" w:space="0" w:color="FFFFFF"/>
            </w:tcBorders>
          </w:tcPr>
          <w:p>
            <w:pPr>
              <w:spacing w:before="0" w:after="0"/>
              <w:jc w:val="left"/>
            </w:pPr>
            <w:r>
              <w:rPr>
                <w:rFonts w:ascii="Calibri" w:hAnsi="Calibri"/>
                <w:b/>
                <w:color w:val="FFFFFF"/>
                <w:sz w:val="19"/>
              </w:rPr>
              <w:t>Verified</w:t>
            </w:r>
          </w:p>
        </w:tc>
      </w:tr>
      <w:tr>
        <w:trPr>
          <w:cantSplit/>
        </w:trPr>
        <w:tc>
          <w:tcPr>
            <w:tcW w:type="dxa" w:w="720"/>
            <w:shd w:fill="FFFFFF"/>
            <w:tcMar>
              <w:top w:w="90" w:type="dxa"/>
              <w:bottom w:w="90" w:type="dxa"/>
              <w:left w:w="120" w:type="dxa"/>
              <w:right w:w="120" w:type="dxa"/>
            </w:tcMar>
            <w:tcBorders>
              <w:top w:val="single" w:sz="4" w:space="0" w:color="E2E8F0"/>
              <w:bottom w:val="single" w:sz="4" w:space="0" w:color="E2E8F0"/>
              <w:left w:val="none" w:sz="0" w:space="0" w:color="FFFFFF"/>
              <w:right w:val="none" w:sz="0" w:space="0" w:color="FFFFFF"/>
            </w:tcBorders>
          </w:tcPr>
          <w:p>
            <w:pPr>
              <w:spacing w:before="0" w:after="0"/>
              <w:jc w:val="left"/>
            </w:pPr>
            <w:r>
              <w:rPr>
                <w:rFonts w:ascii="Calibri" w:hAnsi="Calibri"/>
                <w:color w:val="1E293B"/>
                <w:sz w:val="18"/>
              </w:rPr>
              <w:t>1</w:t>
            </w:r>
          </w:p>
        </w:tc>
        <w:tc>
          <w:tcPr>
            <w:tcW w:type="dxa" w:w="2880"/>
            <w:shd w:fill="FFFFFF"/>
            <w:tcMar>
              <w:top w:w="90" w:type="dxa"/>
              <w:bottom w:w="90" w:type="dxa"/>
              <w:left w:w="120" w:type="dxa"/>
              <w:right w:w="120" w:type="dxa"/>
            </w:tcMar>
            <w:tcBorders>
              <w:top w:val="single" w:sz="4" w:space="0" w:color="E2E8F0"/>
              <w:bottom w:val="single" w:sz="4" w:space="0" w:color="E2E8F0"/>
              <w:left w:val="none" w:sz="0" w:space="0" w:color="FFFFFF"/>
              <w:right w:val="none" w:sz="0" w:space="0" w:color="FFFFFF"/>
            </w:tcBorders>
          </w:tcPr>
          <w:p>
            <w:pPr>
              <w:spacing w:before="0" w:after="0"/>
              <w:jc w:val="left"/>
            </w:pPr>
            <w:r>
              <w:rPr>
                <w:rFonts w:ascii="Calibri" w:hAnsi="Calibri"/>
                <w:color w:val="1E293B"/>
                <w:sz w:val="18"/>
              </w:rPr>
              <w:t>Course Title &amp; Code</w:t>
            </w:r>
          </w:p>
        </w:tc>
        <w:tc>
          <w:tcPr>
            <w:tcW w:type="dxa" w:w="4608"/>
            <w:shd w:fill="FFFFFF"/>
            <w:tcMar>
              <w:top w:w="90" w:type="dxa"/>
              <w:bottom w:w="90" w:type="dxa"/>
              <w:left w:w="120" w:type="dxa"/>
              <w:right w:w="120" w:type="dxa"/>
            </w:tcMar>
            <w:tcBorders>
              <w:top w:val="single" w:sz="4" w:space="0" w:color="E2E8F0"/>
              <w:bottom w:val="single" w:sz="4" w:space="0" w:color="E2E8F0"/>
              <w:left w:val="none" w:sz="0" w:space="0" w:color="FFFFFF"/>
              <w:right w:val="none" w:sz="0" w:space="0" w:color="FFFFFF"/>
            </w:tcBorders>
          </w:tcPr>
          <w:p>
            <w:pPr>
              <w:spacing w:before="0" w:after="0"/>
              <w:jc w:val="left"/>
            </w:pPr>
            <w:r>
              <w:rPr>
                <w:rFonts w:ascii="Calibri" w:hAnsi="Calibri"/>
                <w:color w:val="1E293B"/>
                <w:sz w:val="18"/>
              </w:rPr>
              <w:t>Outcome-driven title and unique uppercase alphanumeric code.</w:t>
            </w:r>
          </w:p>
        </w:tc>
        <w:tc>
          <w:tcPr>
            <w:tcW w:type="dxa" w:w="1152"/>
            <w:shd w:fill="FFFFFF"/>
            <w:tcMar>
              <w:top w:w="90" w:type="dxa"/>
              <w:bottom w:w="90" w:type="dxa"/>
              <w:left w:w="120" w:type="dxa"/>
              <w:right w:w="120" w:type="dxa"/>
            </w:tcMar>
            <w:tcBorders>
              <w:top w:val="single" w:sz="4" w:space="0" w:color="E2E8F0"/>
              <w:bottom w:val="single" w:sz="4" w:space="0" w:color="E2E8F0"/>
              <w:left w:val="none" w:sz="0" w:space="0" w:color="FFFFFF"/>
              <w:right w:val="none" w:sz="0" w:space="0" w:color="FFFFFF"/>
            </w:tcBorders>
          </w:tcPr>
          <w:p>
            <w:pPr>
              <w:spacing w:before="0" w:after="0"/>
              <w:jc w:val="left"/>
            </w:pPr>
            <w:r>
              <w:rPr>
                <w:rFonts w:ascii="Calibri" w:hAnsi="Calibri"/>
                <w:color w:val="1E293B"/>
                <w:sz w:val="18"/>
              </w:rPr>
              <w:t>[   ]</w:t>
            </w:r>
          </w:p>
        </w:tc>
      </w:tr>
      <w:tr>
        <w:trPr>
          <w:cantSplit/>
        </w:trPr>
        <w:tc>
          <w:tcPr>
            <w:tcW w:type="dxa" w:w="720"/>
            <w:shd w:fill="F8FAFC"/>
            <w:tcMar>
              <w:top w:w="90" w:type="dxa"/>
              <w:bottom w:w="90" w:type="dxa"/>
              <w:left w:w="120" w:type="dxa"/>
              <w:right w:w="120" w:type="dxa"/>
            </w:tcMar>
            <w:tcBorders>
              <w:top w:val="single" w:sz="4" w:space="0" w:color="E2E8F0"/>
              <w:bottom w:val="single" w:sz="4" w:space="0" w:color="E2E8F0"/>
              <w:left w:val="none" w:sz="0" w:space="0" w:color="FFFFFF"/>
              <w:right w:val="none" w:sz="0" w:space="0" w:color="FFFFFF"/>
            </w:tcBorders>
          </w:tcPr>
          <w:p>
            <w:pPr>
              <w:spacing w:before="0" w:after="0"/>
              <w:jc w:val="left"/>
            </w:pPr>
            <w:r>
              <w:rPr>
                <w:rFonts w:ascii="Calibri" w:hAnsi="Calibri"/>
                <w:color w:val="1E293B"/>
                <w:sz w:val="18"/>
              </w:rPr>
              <w:t>2</w:t>
            </w:r>
          </w:p>
        </w:tc>
        <w:tc>
          <w:tcPr>
            <w:tcW w:type="dxa" w:w="2880"/>
            <w:shd w:fill="F8FAFC"/>
            <w:tcMar>
              <w:top w:w="90" w:type="dxa"/>
              <w:bottom w:w="90" w:type="dxa"/>
              <w:left w:w="120" w:type="dxa"/>
              <w:right w:w="120" w:type="dxa"/>
            </w:tcMar>
            <w:tcBorders>
              <w:top w:val="single" w:sz="4" w:space="0" w:color="E2E8F0"/>
              <w:bottom w:val="single" w:sz="4" w:space="0" w:color="E2E8F0"/>
              <w:left w:val="none" w:sz="0" w:space="0" w:color="FFFFFF"/>
              <w:right w:val="none" w:sz="0" w:space="0" w:color="FFFFFF"/>
            </w:tcBorders>
          </w:tcPr>
          <w:p>
            <w:pPr>
              <w:spacing w:before="0" w:after="0"/>
              <w:jc w:val="left"/>
            </w:pPr>
            <w:r>
              <w:rPr>
                <w:rFonts w:ascii="Calibri" w:hAnsi="Calibri"/>
                <w:color w:val="1E293B"/>
                <w:sz w:val="18"/>
              </w:rPr>
              <w:t>Description &amp; Overview</w:t>
            </w:r>
          </w:p>
        </w:tc>
        <w:tc>
          <w:tcPr>
            <w:tcW w:type="dxa" w:w="4608"/>
            <w:shd w:fill="F8FAFC"/>
            <w:tcMar>
              <w:top w:w="90" w:type="dxa"/>
              <w:bottom w:w="90" w:type="dxa"/>
              <w:left w:w="120" w:type="dxa"/>
              <w:right w:w="120" w:type="dxa"/>
            </w:tcMar>
            <w:tcBorders>
              <w:top w:val="single" w:sz="4" w:space="0" w:color="E2E8F0"/>
              <w:bottom w:val="single" w:sz="4" w:space="0" w:color="E2E8F0"/>
              <w:left w:val="none" w:sz="0" w:space="0" w:color="FFFFFF"/>
              <w:right w:val="none" w:sz="0" w:space="0" w:color="FFFFFF"/>
            </w:tcBorders>
          </w:tcPr>
          <w:p>
            <w:pPr>
              <w:spacing w:before="0" w:after="0"/>
              <w:jc w:val="left"/>
            </w:pPr>
            <w:r>
              <w:rPr>
                <w:rFonts w:ascii="Calibri" w:hAnsi="Calibri"/>
                <w:color w:val="1E293B"/>
                <w:sz w:val="18"/>
              </w:rPr>
              <w:t>Engaging 1-3 sentence summary + detailed syllabus narrative.</w:t>
            </w:r>
          </w:p>
        </w:tc>
        <w:tc>
          <w:tcPr>
            <w:tcW w:type="dxa" w:w="1152"/>
            <w:shd w:fill="F8FAFC"/>
            <w:tcMar>
              <w:top w:w="90" w:type="dxa"/>
              <w:bottom w:w="90" w:type="dxa"/>
              <w:left w:w="120" w:type="dxa"/>
              <w:right w:w="120" w:type="dxa"/>
            </w:tcMar>
            <w:tcBorders>
              <w:top w:val="single" w:sz="4" w:space="0" w:color="E2E8F0"/>
              <w:bottom w:val="single" w:sz="4" w:space="0" w:color="E2E8F0"/>
              <w:left w:val="none" w:sz="0" w:space="0" w:color="FFFFFF"/>
              <w:right w:val="none" w:sz="0" w:space="0" w:color="FFFFFF"/>
            </w:tcBorders>
          </w:tcPr>
          <w:p>
            <w:pPr>
              <w:spacing w:before="0" w:after="0"/>
              <w:jc w:val="left"/>
            </w:pPr>
            <w:r>
              <w:rPr>
                <w:rFonts w:ascii="Calibri" w:hAnsi="Calibri"/>
                <w:color w:val="1E293B"/>
                <w:sz w:val="18"/>
              </w:rPr>
              <w:t>[   ]</w:t>
            </w:r>
          </w:p>
        </w:tc>
      </w:tr>
      <w:tr>
        <w:trPr>
          <w:cantSplit/>
        </w:trPr>
        <w:tc>
          <w:tcPr>
            <w:tcW w:type="dxa" w:w="720"/>
            <w:shd w:fill="FFFFFF"/>
            <w:tcMar>
              <w:top w:w="90" w:type="dxa"/>
              <w:bottom w:w="90" w:type="dxa"/>
              <w:left w:w="120" w:type="dxa"/>
              <w:right w:w="120" w:type="dxa"/>
            </w:tcMar>
            <w:tcBorders>
              <w:top w:val="single" w:sz="4" w:space="0" w:color="E2E8F0"/>
              <w:bottom w:val="single" w:sz="4" w:space="0" w:color="E2E8F0"/>
              <w:left w:val="none" w:sz="0" w:space="0" w:color="FFFFFF"/>
              <w:right w:val="none" w:sz="0" w:space="0" w:color="FFFFFF"/>
            </w:tcBorders>
          </w:tcPr>
          <w:p>
            <w:pPr>
              <w:spacing w:before="0" w:after="0"/>
              <w:jc w:val="left"/>
            </w:pPr>
            <w:r>
              <w:rPr>
                <w:rFonts w:ascii="Calibri" w:hAnsi="Calibri"/>
                <w:color w:val="1E293B"/>
                <w:sz w:val="18"/>
              </w:rPr>
              <w:t>3</w:t>
            </w:r>
          </w:p>
        </w:tc>
        <w:tc>
          <w:tcPr>
            <w:tcW w:type="dxa" w:w="2880"/>
            <w:shd w:fill="FFFFFF"/>
            <w:tcMar>
              <w:top w:w="90" w:type="dxa"/>
              <w:bottom w:w="90" w:type="dxa"/>
              <w:left w:w="120" w:type="dxa"/>
              <w:right w:w="120" w:type="dxa"/>
            </w:tcMar>
            <w:tcBorders>
              <w:top w:val="single" w:sz="4" w:space="0" w:color="E2E8F0"/>
              <w:bottom w:val="single" w:sz="4" w:space="0" w:color="E2E8F0"/>
              <w:left w:val="none" w:sz="0" w:space="0" w:color="FFFFFF"/>
              <w:right w:val="none" w:sz="0" w:space="0" w:color="FFFFFF"/>
            </w:tcBorders>
          </w:tcPr>
          <w:p>
            <w:pPr>
              <w:spacing w:before="0" w:after="0"/>
              <w:jc w:val="left"/>
            </w:pPr>
            <w:r>
              <w:rPr>
                <w:rFonts w:ascii="Calibri" w:hAnsi="Calibri"/>
                <w:color w:val="1E293B"/>
                <w:sz w:val="18"/>
              </w:rPr>
              <w:t>Multi-Tier Pricing</w:t>
            </w:r>
          </w:p>
        </w:tc>
        <w:tc>
          <w:tcPr>
            <w:tcW w:type="dxa" w:w="4608"/>
            <w:shd w:fill="FFFFFF"/>
            <w:tcMar>
              <w:top w:w="90" w:type="dxa"/>
              <w:bottom w:w="90" w:type="dxa"/>
              <w:left w:w="120" w:type="dxa"/>
              <w:right w:w="120" w:type="dxa"/>
            </w:tcMar>
            <w:tcBorders>
              <w:top w:val="single" w:sz="4" w:space="0" w:color="E2E8F0"/>
              <w:bottom w:val="single" w:sz="4" w:space="0" w:color="E2E8F0"/>
              <w:left w:val="none" w:sz="0" w:space="0" w:color="FFFFFF"/>
              <w:right w:val="none" w:sz="0" w:space="0" w:color="FFFFFF"/>
            </w:tcBorders>
          </w:tcPr>
          <w:p>
            <w:pPr>
              <w:spacing w:before="0" w:after="0"/>
              <w:jc w:val="left"/>
            </w:pPr>
            <w:r>
              <w:rPr>
                <w:rFonts w:ascii="Calibri" w:hAnsi="Calibri"/>
                <w:color w:val="1E293B"/>
                <w:sz w:val="18"/>
              </w:rPr>
              <w:t>Fee entries defined for relevant category and level combinations.</w:t>
            </w:r>
          </w:p>
        </w:tc>
        <w:tc>
          <w:tcPr>
            <w:tcW w:type="dxa" w:w="1152"/>
            <w:shd w:fill="FFFFFF"/>
            <w:tcMar>
              <w:top w:w="90" w:type="dxa"/>
              <w:bottom w:w="90" w:type="dxa"/>
              <w:left w:w="120" w:type="dxa"/>
              <w:right w:w="120" w:type="dxa"/>
            </w:tcMar>
            <w:tcBorders>
              <w:top w:val="single" w:sz="4" w:space="0" w:color="E2E8F0"/>
              <w:bottom w:val="single" w:sz="4" w:space="0" w:color="E2E8F0"/>
              <w:left w:val="none" w:sz="0" w:space="0" w:color="FFFFFF"/>
              <w:right w:val="none" w:sz="0" w:space="0" w:color="FFFFFF"/>
            </w:tcBorders>
          </w:tcPr>
          <w:p>
            <w:pPr>
              <w:spacing w:before="0" w:after="0"/>
              <w:jc w:val="left"/>
            </w:pPr>
            <w:r>
              <w:rPr>
                <w:rFonts w:ascii="Calibri" w:hAnsi="Calibri"/>
                <w:color w:val="1E293B"/>
                <w:sz w:val="18"/>
              </w:rPr>
              <w:t>[   ]</w:t>
            </w:r>
          </w:p>
        </w:tc>
      </w:tr>
      <w:tr>
        <w:trPr>
          <w:cantSplit/>
        </w:trPr>
        <w:tc>
          <w:tcPr>
            <w:tcW w:type="dxa" w:w="720"/>
            <w:shd w:fill="F8FAFC"/>
            <w:tcMar>
              <w:top w:w="90" w:type="dxa"/>
              <w:bottom w:w="90" w:type="dxa"/>
              <w:left w:w="120" w:type="dxa"/>
              <w:right w:w="120" w:type="dxa"/>
            </w:tcMar>
            <w:tcBorders>
              <w:top w:val="single" w:sz="4" w:space="0" w:color="E2E8F0"/>
              <w:bottom w:val="single" w:sz="4" w:space="0" w:color="E2E8F0"/>
              <w:left w:val="none" w:sz="0" w:space="0" w:color="FFFFFF"/>
              <w:right w:val="none" w:sz="0" w:space="0" w:color="FFFFFF"/>
            </w:tcBorders>
          </w:tcPr>
          <w:p>
            <w:pPr>
              <w:spacing w:before="0" w:after="0"/>
              <w:jc w:val="left"/>
            </w:pPr>
            <w:r>
              <w:rPr>
                <w:rFonts w:ascii="Calibri" w:hAnsi="Calibri"/>
                <w:color w:val="1E293B"/>
                <w:sz w:val="18"/>
              </w:rPr>
              <w:t>4</w:t>
            </w:r>
          </w:p>
        </w:tc>
        <w:tc>
          <w:tcPr>
            <w:tcW w:type="dxa" w:w="2880"/>
            <w:shd w:fill="F8FAFC"/>
            <w:tcMar>
              <w:top w:w="90" w:type="dxa"/>
              <w:bottom w:w="90" w:type="dxa"/>
              <w:left w:w="120" w:type="dxa"/>
              <w:right w:w="120" w:type="dxa"/>
            </w:tcMar>
            <w:tcBorders>
              <w:top w:val="single" w:sz="4" w:space="0" w:color="E2E8F0"/>
              <w:bottom w:val="single" w:sz="4" w:space="0" w:color="E2E8F0"/>
              <w:left w:val="none" w:sz="0" w:space="0" w:color="FFFFFF"/>
              <w:right w:val="none" w:sz="0" w:space="0" w:color="FFFFFF"/>
            </w:tcBorders>
          </w:tcPr>
          <w:p>
            <w:pPr>
              <w:spacing w:before="0" w:after="0"/>
              <w:jc w:val="left"/>
            </w:pPr>
            <w:r>
              <w:rPr>
                <w:rFonts w:ascii="Calibri" w:hAnsi="Calibri"/>
                <w:color w:val="1E293B"/>
                <w:sz w:val="18"/>
              </w:rPr>
              <w:t>Prerequisites</w:t>
            </w:r>
          </w:p>
        </w:tc>
        <w:tc>
          <w:tcPr>
            <w:tcW w:type="dxa" w:w="4608"/>
            <w:shd w:fill="F8FAFC"/>
            <w:tcMar>
              <w:top w:w="90" w:type="dxa"/>
              <w:bottom w:w="90" w:type="dxa"/>
              <w:left w:w="120" w:type="dxa"/>
              <w:right w:w="120" w:type="dxa"/>
            </w:tcMar>
            <w:tcBorders>
              <w:top w:val="single" w:sz="4" w:space="0" w:color="E2E8F0"/>
              <w:bottom w:val="single" w:sz="4" w:space="0" w:color="E2E8F0"/>
              <w:left w:val="none" w:sz="0" w:space="0" w:color="FFFFFF"/>
              <w:right w:val="none" w:sz="0" w:space="0" w:color="FFFFFF"/>
            </w:tcBorders>
          </w:tcPr>
          <w:p>
            <w:pPr>
              <w:spacing w:before="0" w:after="0"/>
              <w:jc w:val="left"/>
            </w:pPr>
            <w:r>
              <w:rPr>
                <w:rFonts w:ascii="Calibri" w:hAnsi="Calibri"/>
                <w:color w:val="1E293B"/>
                <w:sz w:val="18"/>
              </w:rPr>
              <w:t>Concrete hardware, software, and prior skill prerequisites listed.</w:t>
            </w:r>
          </w:p>
        </w:tc>
        <w:tc>
          <w:tcPr>
            <w:tcW w:type="dxa" w:w="1152"/>
            <w:shd w:fill="F8FAFC"/>
            <w:tcMar>
              <w:top w:w="90" w:type="dxa"/>
              <w:bottom w:w="90" w:type="dxa"/>
              <w:left w:w="120" w:type="dxa"/>
              <w:right w:w="120" w:type="dxa"/>
            </w:tcMar>
            <w:tcBorders>
              <w:top w:val="single" w:sz="4" w:space="0" w:color="E2E8F0"/>
              <w:bottom w:val="single" w:sz="4" w:space="0" w:color="E2E8F0"/>
              <w:left w:val="none" w:sz="0" w:space="0" w:color="FFFFFF"/>
              <w:right w:val="none" w:sz="0" w:space="0" w:color="FFFFFF"/>
            </w:tcBorders>
          </w:tcPr>
          <w:p>
            <w:pPr>
              <w:spacing w:before="0" w:after="0"/>
              <w:jc w:val="left"/>
            </w:pPr>
            <w:r>
              <w:rPr>
                <w:rFonts w:ascii="Calibri" w:hAnsi="Calibri"/>
                <w:color w:val="1E293B"/>
                <w:sz w:val="18"/>
              </w:rPr>
              <w:t>[   ]</w:t>
            </w:r>
          </w:p>
        </w:tc>
      </w:tr>
      <w:tr>
        <w:trPr>
          <w:cantSplit/>
        </w:trPr>
        <w:tc>
          <w:tcPr>
            <w:tcW w:type="dxa" w:w="720"/>
            <w:shd w:fill="FFFFFF"/>
            <w:tcMar>
              <w:top w:w="90" w:type="dxa"/>
              <w:bottom w:w="90" w:type="dxa"/>
              <w:left w:w="120" w:type="dxa"/>
              <w:right w:w="120" w:type="dxa"/>
            </w:tcMar>
            <w:tcBorders>
              <w:top w:val="single" w:sz="4" w:space="0" w:color="E2E8F0"/>
              <w:bottom w:val="single" w:sz="4" w:space="0" w:color="E2E8F0"/>
              <w:left w:val="none" w:sz="0" w:space="0" w:color="FFFFFF"/>
              <w:right w:val="none" w:sz="0" w:space="0" w:color="FFFFFF"/>
            </w:tcBorders>
          </w:tcPr>
          <w:p>
            <w:pPr>
              <w:spacing w:before="0" w:after="0"/>
              <w:jc w:val="left"/>
            </w:pPr>
            <w:r>
              <w:rPr>
                <w:rFonts w:ascii="Calibri" w:hAnsi="Calibri"/>
                <w:color w:val="1E293B"/>
                <w:sz w:val="18"/>
              </w:rPr>
              <w:t>5</w:t>
            </w:r>
          </w:p>
        </w:tc>
        <w:tc>
          <w:tcPr>
            <w:tcW w:type="dxa" w:w="2880"/>
            <w:shd w:fill="FFFFFF"/>
            <w:tcMar>
              <w:top w:w="90" w:type="dxa"/>
              <w:bottom w:w="90" w:type="dxa"/>
              <w:left w:w="120" w:type="dxa"/>
              <w:right w:w="120" w:type="dxa"/>
            </w:tcMar>
            <w:tcBorders>
              <w:top w:val="single" w:sz="4" w:space="0" w:color="E2E8F0"/>
              <w:bottom w:val="single" w:sz="4" w:space="0" w:color="E2E8F0"/>
              <w:left w:val="none" w:sz="0" w:space="0" w:color="FFFFFF"/>
              <w:right w:val="none" w:sz="0" w:space="0" w:color="FFFFFF"/>
            </w:tcBorders>
          </w:tcPr>
          <w:p>
            <w:pPr>
              <w:spacing w:before="0" w:after="0"/>
              <w:jc w:val="left"/>
            </w:pPr>
            <w:r>
              <w:rPr>
                <w:rFonts w:ascii="Calibri" w:hAnsi="Calibri"/>
                <w:color w:val="1E293B"/>
                <w:sz w:val="18"/>
              </w:rPr>
              <w:t>3-Tier Progression</w:t>
            </w:r>
          </w:p>
        </w:tc>
        <w:tc>
          <w:tcPr>
            <w:tcW w:type="dxa" w:w="4608"/>
            <w:shd w:fill="FFFFFF"/>
            <w:tcMar>
              <w:top w:w="90" w:type="dxa"/>
              <w:bottom w:w="90" w:type="dxa"/>
              <w:left w:w="120" w:type="dxa"/>
              <w:right w:w="120" w:type="dxa"/>
            </w:tcMar>
            <w:tcBorders>
              <w:top w:val="single" w:sz="4" w:space="0" w:color="E2E8F0"/>
              <w:bottom w:val="single" w:sz="4" w:space="0" w:color="E2E8F0"/>
              <w:left w:val="none" w:sz="0" w:space="0" w:color="FFFFFF"/>
              <w:right w:val="none" w:sz="0" w:space="0" w:color="FFFFFF"/>
            </w:tcBorders>
          </w:tcPr>
          <w:p>
            <w:pPr>
              <w:spacing w:before="0" w:after="0"/>
              <w:jc w:val="left"/>
            </w:pPr>
            <w:r>
              <w:rPr>
                <w:rFonts w:ascii="Calibri" w:hAnsi="Calibri"/>
                <w:color w:val="1E293B"/>
                <w:sz w:val="18"/>
              </w:rPr>
              <w:t>Clear progression mapped across Beginner, Intermediate, and Advanced.</w:t>
            </w:r>
          </w:p>
        </w:tc>
        <w:tc>
          <w:tcPr>
            <w:tcW w:type="dxa" w:w="1152"/>
            <w:shd w:fill="FFFFFF"/>
            <w:tcMar>
              <w:top w:w="90" w:type="dxa"/>
              <w:bottom w:w="90" w:type="dxa"/>
              <w:left w:w="120" w:type="dxa"/>
              <w:right w:w="120" w:type="dxa"/>
            </w:tcMar>
            <w:tcBorders>
              <w:top w:val="single" w:sz="4" w:space="0" w:color="E2E8F0"/>
              <w:bottom w:val="single" w:sz="4" w:space="0" w:color="E2E8F0"/>
              <w:left w:val="none" w:sz="0" w:space="0" w:color="FFFFFF"/>
              <w:right w:val="none" w:sz="0" w:space="0" w:color="FFFFFF"/>
            </w:tcBorders>
          </w:tcPr>
          <w:p>
            <w:pPr>
              <w:spacing w:before="0" w:after="0"/>
              <w:jc w:val="left"/>
            </w:pPr>
            <w:r>
              <w:rPr>
                <w:rFonts w:ascii="Calibri" w:hAnsi="Calibri"/>
                <w:color w:val="1E293B"/>
                <w:sz w:val="18"/>
              </w:rPr>
              <w:t>[   ]</w:t>
            </w:r>
          </w:p>
        </w:tc>
      </w:tr>
      <w:tr>
        <w:trPr>
          <w:cantSplit/>
        </w:trPr>
        <w:tc>
          <w:tcPr>
            <w:tcW w:type="dxa" w:w="720"/>
            <w:shd w:fill="F8FAFC"/>
            <w:tcMar>
              <w:top w:w="90" w:type="dxa"/>
              <w:bottom w:w="90" w:type="dxa"/>
              <w:left w:w="120" w:type="dxa"/>
              <w:right w:w="120" w:type="dxa"/>
            </w:tcMar>
            <w:tcBorders>
              <w:top w:val="single" w:sz="4" w:space="0" w:color="E2E8F0"/>
              <w:bottom w:val="single" w:sz="4" w:space="0" w:color="E2E8F0"/>
              <w:left w:val="none" w:sz="0" w:space="0" w:color="FFFFFF"/>
              <w:right w:val="none" w:sz="0" w:space="0" w:color="FFFFFF"/>
            </w:tcBorders>
          </w:tcPr>
          <w:p>
            <w:pPr>
              <w:spacing w:before="0" w:after="0"/>
              <w:jc w:val="left"/>
            </w:pPr>
            <w:r>
              <w:rPr>
                <w:rFonts w:ascii="Calibri" w:hAnsi="Calibri"/>
                <w:color w:val="1E293B"/>
                <w:sz w:val="18"/>
              </w:rPr>
              <w:t>6</w:t>
            </w:r>
          </w:p>
        </w:tc>
        <w:tc>
          <w:tcPr>
            <w:tcW w:type="dxa" w:w="2880"/>
            <w:shd w:fill="F8FAFC"/>
            <w:tcMar>
              <w:top w:w="90" w:type="dxa"/>
              <w:bottom w:w="90" w:type="dxa"/>
              <w:left w:w="120" w:type="dxa"/>
              <w:right w:w="120" w:type="dxa"/>
            </w:tcMar>
            <w:tcBorders>
              <w:top w:val="single" w:sz="4" w:space="0" w:color="E2E8F0"/>
              <w:bottom w:val="single" w:sz="4" w:space="0" w:color="E2E8F0"/>
              <w:left w:val="none" w:sz="0" w:space="0" w:color="FFFFFF"/>
              <w:right w:val="none" w:sz="0" w:space="0" w:color="FFFFFF"/>
            </w:tcBorders>
          </w:tcPr>
          <w:p>
            <w:pPr>
              <w:spacing w:before="0" w:after="0"/>
              <w:jc w:val="left"/>
            </w:pPr>
            <w:r>
              <w:rPr>
                <w:rFonts w:ascii="Calibri" w:hAnsi="Calibri"/>
                <w:color w:val="1E293B"/>
                <w:sz w:val="18"/>
              </w:rPr>
              <w:t>Key Learning Outcome</w:t>
            </w:r>
          </w:p>
        </w:tc>
        <w:tc>
          <w:tcPr>
            <w:tcW w:type="dxa" w:w="4608"/>
            <w:shd w:fill="F8FAFC"/>
            <w:tcMar>
              <w:top w:w="90" w:type="dxa"/>
              <w:bottom w:w="90" w:type="dxa"/>
              <w:left w:w="120" w:type="dxa"/>
              <w:right w:w="120" w:type="dxa"/>
            </w:tcMar>
            <w:tcBorders>
              <w:top w:val="single" w:sz="4" w:space="0" w:color="E2E8F0"/>
              <w:bottom w:val="single" w:sz="4" w:space="0" w:color="E2E8F0"/>
              <w:left w:val="none" w:sz="0" w:space="0" w:color="FFFFFF"/>
              <w:right w:val="none" w:sz="0" w:space="0" w:color="FFFFFF"/>
            </w:tcBorders>
          </w:tcPr>
          <w:p>
            <w:pPr>
              <w:spacing w:before="0" w:after="0"/>
              <w:jc w:val="left"/>
            </w:pPr>
            <w:r>
              <w:rPr>
                <w:rFonts w:ascii="Calibri" w:hAnsi="Calibri"/>
                <w:color w:val="1E293B"/>
                <w:sz w:val="18"/>
              </w:rPr>
              <w:t>Measurable capability statement using active Bloom's verbs.</w:t>
            </w:r>
          </w:p>
        </w:tc>
        <w:tc>
          <w:tcPr>
            <w:tcW w:type="dxa" w:w="1152"/>
            <w:shd w:fill="F8FAFC"/>
            <w:tcMar>
              <w:top w:w="90" w:type="dxa"/>
              <w:bottom w:w="90" w:type="dxa"/>
              <w:left w:w="120" w:type="dxa"/>
              <w:right w:w="120" w:type="dxa"/>
            </w:tcMar>
            <w:tcBorders>
              <w:top w:val="single" w:sz="4" w:space="0" w:color="E2E8F0"/>
              <w:bottom w:val="single" w:sz="4" w:space="0" w:color="E2E8F0"/>
              <w:left w:val="none" w:sz="0" w:space="0" w:color="FFFFFF"/>
              <w:right w:val="none" w:sz="0" w:space="0" w:color="FFFFFF"/>
            </w:tcBorders>
          </w:tcPr>
          <w:p>
            <w:pPr>
              <w:spacing w:before="0" w:after="0"/>
              <w:jc w:val="left"/>
            </w:pPr>
            <w:r>
              <w:rPr>
                <w:rFonts w:ascii="Calibri" w:hAnsi="Calibri"/>
                <w:color w:val="1E293B"/>
                <w:sz w:val="18"/>
              </w:rPr>
              <w:t>[   ]</w:t>
            </w:r>
          </w:p>
        </w:tc>
      </w:tr>
      <w:tr>
        <w:trPr>
          <w:cantSplit/>
        </w:trPr>
        <w:tc>
          <w:tcPr>
            <w:tcW w:type="dxa" w:w="720"/>
            <w:shd w:fill="FFFFFF"/>
            <w:tcMar>
              <w:top w:w="90" w:type="dxa"/>
              <w:bottom w:w="90" w:type="dxa"/>
              <w:left w:w="120" w:type="dxa"/>
              <w:right w:w="120" w:type="dxa"/>
            </w:tcMar>
            <w:tcBorders>
              <w:top w:val="single" w:sz="4" w:space="0" w:color="E2E8F0"/>
              <w:bottom w:val="single" w:sz="4" w:space="0" w:color="E2E8F0"/>
              <w:left w:val="none" w:sz="0" w:space="0" w:color="FFFFFF"/>
              <w:right w:val="none" w:sz="0" w:space="0" w:color="FFFFFF"/>
            </w:tcBorders>
          </w:tcPr>
          <w:p>
            <w:pPr>
              <w:spacing w:before="0" w:after="0"/>
              <w:jc w:val="left"/>
            </w:pPr>
            <w:r>
              <w:rPr>
                <w:rFonts w:ascii="Calibri" w:hAnsi="Calibri"/>
                <w:color w:val="1E293B"/>
                <w:sz w:val="18"/>
              </w:rPr>
              <w:t>7</w:t>
            </w:r>
          </w:p>
        </w:tc>
        <w:tc>
          <w:tcPr>
            <w:tcW w:type="dxa" w:w="2880"/>
            <w:shd w:fill="FFFFFF"/>
            <w:tcMar>
              <w:top w:w="90" w:type="dxa"/>
              <w:bottom w:w="90" w:type="dxa"/>
              <w:left w:w="120" w:type="dxa"/>
              <w:right w:w="120" w:type="dxa"/>
            </w:tcMar>
            <w:tcBorders>
              <w:top w:val="single" w:sz="4" w:space="0" w:color="E2E8F0"/>
              <w:bottom w:val="single" w:sz="4" w:space="0" w:color="E2E8F0"/>
              <w:left w:val="none" w:sz="0" w:space="0" w:color="FFFFFF"/>
              <w:right w:val="none" w:sz="0" w:space="0" w:color="FFFFFF"/>
            </w:tcBorders>
          </w:tcPr>
          <w:p>
            <w:pPr>
              <w:spacing w:before="0" w:after="0"/>
              <w:jc w:val="left"/>
            </w:pPr>
            <w:r>
              <w:rPr>
                <w:rFonts w:ascii="Calibri" w:hAnsi="Calibri"/>
                <w:color w:val="1E293B"/>
                <w:sz w:val="18"/>
              </w:rPr>
              <w:t>Learning Materials</w:t>
            </w:r>
          </w:p>
        </w:tc>
        <w:tc>
          <w:tcPr>
            <w:tcW w:type="dxa" w:w="4608"/>
            <w:shd w:fill="FFFFFF"/>
            <w:tcMar>
              <w:top w:w="90" w:type="dxa"/>
              <w:bottom w:w="90" w:type="dxa"/>
              <w:left w:w="120" w:type="dxa"/>
              <w:right w:w="120" w:type="dxa"/>
            </w:tcMar>
            <w:tcBorders>
              <w:top w:val="single" w:sz="4" w:space="0" w:color="E2E8F0"/>
              <w:bottom w:val="single" w:sz="4" w:space="0" w:color="E2E8F0"/>
              <w:left w:val="none" w:sz="0" w:space="0" w:color="FFFFFF"/>
              <w:right w:val="none" w:sz="0" w:space="0" w:color="FFFFFF"/>
            </w:tcBorders>
          </w:tcPr>
          <w:p>
            <w:pPr>
              <w:spacing w:before="0" w:after="0"/>
              <w:jc w:val="left"/>
            </w:pPr>
            <w:r>
              <w:rPr>
                <w:rFonts w:ascii="Calibri" w:hAnsi="Calibri"/>
                <w:color w:val="1E293B"/>
                <w:sz w:val="18"/>
              </w:rPr>
              <w:t>At least first 2 modules of lecture notes and slides uploaded.</w:t>
            </w:r>
          </w:p>
        </w:tc>
        <w:tc>
          <w:tcPr>
            <w:tcW w:type="dxa" w:w="1152"/>
            <w:shd w:fill="FFFFFF"/>
            <w:tcMar>
              <w:top w:w="90" w:type="dxa"/>
              <w:bottom w:w="90" w:type="dxa"/>
              <w:left w:w="120" w:type="dxa"/>
              <w:right w:w="120" w:type="dxa"/>
            </w:tcMar>
            <w:tcBorders>
              <w:top w:val="single" w:sz="4" w:space="0" w:color="E2E8F0"/>
              <w:bottom w:val="single" w:sz="4" w:space="0" w:color="E2E8F0"/>
              <w:left w:val="none" w:sz="0" w:space="0" w:color="FFFFFF"/>
              <w:right w:val="none" w:sz="0" w:space="0" w:color="FFFFFF"/>
            </w:tcBorders>
          </w:tcPr>
          <w:p>
            <w:pPr>
              <w:spacing w:before="0" w:after="0"/>
              <w:jc w:val="left"/>
            </w:pPr>
            <w:r>
              <w:rPr>
                <w:rFonts w:ascii="Calibri" w:hAnsi="Calibri"/>
                <w:color w:val="1E293B"/>
                <w:sz w:val="18"/>
              </w:rPr>
              <w:t>[   ]</w:t>
            </w:r>
          </w:p>
        </w:tc>
      </w:tr>
      <w:tr>
        <w:trPr>
          <w:cantSplit/>
        </w:trPr>
        <w:tc>
          <w:tcPr>
            <w:tcW w:type="dxa" w:w="720"/>
            <w:shd w:fill="F8FAFC"/>
            <w:tcMar>
              <w:top w:w="90" w:type="dxa"/>
              <w:bottom w:w="90" w:type="dxa"/>
              <w:left w:w="120" w:type="dxa"/>
              <w:right w:w="120" w:type="dxa"/>
            </w:tcMar>
            <w:tcBorders>
              <w:top w:val="single" w:sz="4" w:space="0" w:color="E2E8F0"/>
              <w:bottom w:val="single" w:sz="4" w:space="0" w:color="E2E8F0"/>
              <w:left w:val="none" w:sz="0" w:space="0" w:color="FFFFFF"/>
              <w:right w:val="none" w:sz="0" w:space="0" w:color="FFFFFF"/>
            </w:tcBorders>
          </w:tcPr>
          <w:p>
            <w:pPr>
              <w:spacing w:before="0" w:after="0"/>
              <w:jc w:val="left"/>
            </w:pPr>
            <w:r>
              <w:rPr>
                <w:rFonts w:ascii="Calibri" w:hAnsi="Calibri"/>
                <w:color w:val="1E293B"/>
                <w:sz w:val="18"/>
              </w:rPr>
              <w:t>8</w:t>
            </w:r>
          </w:p>
        </w:tc>
        <w:tc>
          <w:tcPr>
            <w:tcW w:type="dxa" w:w="2880"/>
            <w:shd w:fill="F8FAFC"/>
            <w:tcMar>
              <w:top w:w="90" w:type="dxa"/>
              <w:bottom w:w="90" w:type="dxa"/>
              <w:left w:w="120" w:type="dxa"/>
              <w:right w:w="120" w:type="dxa"/>
            </w:tcMar>
            <w:tcBorders>
              <w:top w:val="single" w:sz="4" w:space="0" w:color="E2E8F0"/>
              <w:bottom w:val="single" w:sz="4" w:space="0" w:color="E2E8F0"/>
              <w:left w:val="none" w:sz="0" w:space="0" w:color="FFFFFF"/>
              <w:right w:val="none" w:sz="0" w:space="0" w:color="FFFFFF"/>
            </w:tcBorders>
          </w:tcPr>
          <w:p>
            <w:pPr>
              <w:spacing w:before="0" w:after="0"/>
              <w:jc w:val="left"/>
            </w:pPr>
            <w:r>
              <w:rPr>
                <w:rFonts w:ascii="Calibri" w:hAnsi="Calibri"/>
                <w:color w:val="1E293B"/>
                <w:sz w:val="18"/>
              </w:rPr>
              <w:t>Quizzes Prepared</w:t>
            </w:r>
          </w:p>
        </w:tc>
        <w:tc>
          <w:tcPr>
            <w:tcW w:type="dxa" w:w="4608"/>
            <w:shd w:fill="F8FAFC"/>
            <w:tcMar>
              <w:top w:w="90" w:type="dxa"/>
              <w:bottom w:w="90" w:type="dxa"/>
              <w:left w:w="120" w:type="dxa"/>
              <w:right w:w="120" w:type="dxa"/>
            </w:tcMar>
            <w:tcBorders>
              <w:top w:val="single" w:sz="4" w:space="0" w:color="E2E8F0"/>
              <w:bottom w:val="single" w:sz="4" w:space="0" w:color="E2E8F0"/>
              <w:left w:val="none" w:sz="0" w:space="0" w:color="FFFFFF"/>
              <w:right w:val="none" w:sz="0" w:space="0" w:color="FFFFFF"/>
            </w:tcBorders>
          </w:tcPr>
          <w:p>
            <w:pPr>
              <w:spacing w:before="0" w:after="0"/>
              <w:jc w:val="left"/>
            </w:pPr>
            <w:r>
              <w:rPr>
                <w:rFonts w:ascii="Calibri" w:hAnsi="Calibri"/>
                <w:color w:val="1E293B"/>
                <w:sz w:val="18"/>
              </w:rPr>
              <w:t>Minimum 1 formative quiz authored with correct answer keys.</w:t>
            </w:r>
          </w:p>
        </w:tc>
        <w:tc>
          <w:tcPr>
            <w:tcW w:type="dxa" w:w="1152"/>
            <w:shd w:fill="F8FAFC"/>
            <w:tcMar>
              <w:top w:w="90" w:type="dxa"/>
              <w:bottom w:w="90" w:type="dxa"/>
              <w:left w:w="120" w:type="dxa"/>
              <w:right w:w="120" w:type="dxa"/>
            </w:tcMar>
            <w:tcBorders>
              <w:top w:val="single" w:sz="4" w:space="0" w:color="E2E8F0"/>
              <w:bottom w:val="single" w:sz="4" w:space="0" w:color="E2E8F0"/>
              <w:left w:val="none" w:sz="0" w:space="0" w:color="FFFFFF"/>
              <w:right w:val="none" w:sz="0" w:space="0" w:color="FFFFFF"/>
            </w:tcBorders>
          </w:tcPr>
          <w:p>
            <w:pPr>
              <w:spacing w:before="0" w:after="0"/>
              <w:jc w:val="left"/>
            </w:pPr>
            <w:r>
              <w:rPr>
                <w:rFonts w:ascii="Calibri" w:hAnsi="Calibri"/>
                <w:color w:val="1E293B"/>
                <w:sz w:val="18"/>
              </w:rPr>
              <w:t>[   ]</w:t>
            </w:r>
          </w:p>
        </w:tc>
      </w:tr>
      <w:tr>
        <w:trPr>
          <w:cantSplit/>
        </w:trPr>
        <w:tc>
          <w:tcPr>
            <w:tcW w:type="dxa" w:w="720"/>
            <w:shd w:fill="FFFFFF"/>
            <w:tcMar>
              <w:top w:w="90" w:type="dxa"/>
              <w:bottom w:w="90" w:type="dxa"/>
              <w:left w:w="120" w:type="dxa"/>
              <w:right w:w="120" w:type="dxa"/>
            </w:tcMar>
            <w:tcBorders>
              <w:top w:val="single" w:sz="4" w:space="0" w:color="E2E8F0"/>
              <w:bottom w:val="single" w:sz="4" w:space="0" w:color="E2E8F0"/>
              <w:left w:val="none" w:sz="0" w:space="0" w:color="FFFFFF"/>
              <w:right w:val="none" w:sz="0" w:space="0" w:color="FFFFFF"/>
            </w:tcBorders>
          </w:tcPr>
          <w:p>
            <w:pPr>
              <w:spacing w:before="0" w:after="0"/>
              <w:jc w:val="left"/>
            </w:pPr>
            <w:r>
              <w:rPr>
                <w:rFonts w:ascii="Calibri" w:hAnsi="Calibri"/>
                <w:color w:val="1E293B"/>
                <w:sz w:val="18"/>
              </w:rPr>
              <w:t>9</w:t>
            </w:r>
          </w:p>
        </w:tc>
        <w:tc>
          <w:tcPr>
            <w:tcW w:type="dxa" w:w="2880"/>
            <w:shd w:fill="FFFFFF"/>
            <w:tcMar>
              <w:top w:w="90" w:type="dxa"/>
              <w:bottom w:w="90" w:type="dxa"/>
              <w:left w:w="120" w:type="dxa"/>
              <w:right w:w="120" w:type="dxa"/>
            </w:tcMar>
            <w:tcBorders>
              <w:top w:val="single" w:sz="4" w:space="0" w:color="E2E8F0"/>
              <w:bottom w:val="single" w:sz="4" w:space="0" w:color="E2E8F0"/>
              <w:left w:val="none" w:sz="0" w:space="0" w:color="FFFFFF"/>
              <w:right w:val="none" w:sz="0" w:space="0" w:color="FFFFFF"/>
            </w:tcBorders>
          </w:tcPr>
          <w:p>
            <w:pPr>
              <w:spacing w:before="0" w:after="0"/>
              <w:jc w:val="left"/>
            </w:pPr>
            <w:r>
              <w:rPr>
                <w:rFonts w:ascii="Calibri" w:hAnsi="Calibri"/>
                <w:color w:val="1E293B"/>
                <w:sz w:val="18"/>
              </w:rPr>
              <w:t>Initial Sessions Scheduled</w:t>
            </w:r>
          </w:p>
        </w:tc>
        <w:tc>
          <w:tcPr>
            <w:tcW w:type="dxa" w:w="4608"/>
            <w:shd w:fill="FFFFFF"/>
            <w:tcMar>
              <w:top w:w="90" w:type="dxa"/>
              <w:bottom w:w="90" w:type="dxa"/>
              <w:left w:w="120" w:type="dxa"/>
              <w:right w:w="120" w:type="dxa"/>
            </w:tcMar>
            <w:tcBorders>
              <w:top w:val="single" w:sz="4" w:space="0" w:color="E2E8F0"/>
              <w:bottom w:val="single" w:sz="4" w:space="0" w:color="E2E8F0"/>
              <w:left w:val="none" w:sz="0" w:space="0" w:color="FFFFFF"/>
              <w:right w:val="none" w:sz="0" w:space="0" w:color="FFFFFF"/>
            </w:tcBorders>
          </w:tcPr>
          <w:p>
            <w:pPr>
              <w:spacing w:before="0" w:after="0"/>
              <w:jc w:val="left"/>
            </w:pPr>
            <w:r>
              <w:rPr>
                <w:rFonts w:ascii="Calibri" w:hAnsi="Calibri"/>
                <w:color w:val="1E293B"/>
                <w:sz w:val="18"/>
              </w:rPr>
              <w:t>Timetable entries populated with Zoom/Meet URLs and agendas.</w:t>
            </w:r>
          </w:p>
        </w:tc>
        <w:tc>
          <w:tcPr>
            <w:tcW w:type="dxa" w:w="1152"/>
            <w:shd w:fill="FFFFFF"/>
            <w:tcMar>
              <w:top w:w="90" w:type="dxa"/>
              <w:bottom w:w="90" w:type="dxa"/>
              <w:left w:w="120" w:type="dxa"/>
              <w:right w:w="120" w:type="dxa"/>
            </w:tcMar>
            <w:tcBorders>
              <w:top w:val="single" w:sz="4" w:space="0" w:color="E2E8F0"/>
              <w:bottom w:val="single" w:sz="4" w:space="0" w:color="E2E8F0"/>
              <w:left w:val="none" w:sz="0" w:space="0" w:color="FFFFFF"/>
              <w:right w:val="none" w:sz="0" w:space="0" w:color="FFFFFF"/>
            </w:tcBorders>
          </w:tcPr>
          <w:p>
            <w:pPr>
              <w:spacing w:before="0" w:after="0"/>
              <w:jc w:val="left"/>
            </w:pPr>
            <w:r>
              <w:rPr>
                <w:rFonts w:ascii="Calibri" w:hAnsi="Calibri"/>
                <w:color w:val="1E293B"/>
                <w:sz w:val="18"/>
              </w:rPr>
              <w:t>[   ]</w:t>
            </w:r>
          </w:p>
        </w:tc>
      </w:tr>
      <w:tr>
        <w:trPr>
          <w:cantSplit/>
        </w:trPr>
        <w:tc>
          <w:tcPr>
            <w:tcW w:type="dxa" w:w="720"/>
            <w:shd w:fill="F8FAFC"/>
            <w:tcMar>
              <w:top w:w="90" w:type="dxa"/>
              <w:bottom w:w="90" w:type="dxa"/>
              <w:left w:w="120" w:type="dxa"/>
              <w:right w:w="120" w:type="dxa"/>
            </w:tcMar>
            <w:tcBorders>
              <w:top w:val="single" w:sz="4" w:space="0" w:color="E2E8F0"/>
              <w:bottom w:val="single" w:sz="4" w:space="0" w:color="E2E8F0"/>
              <w:left w:val="none" w:sz="0" w:space="0" w:color="FFFFFF"/>
              <w:right w:val="none" w:sz="0" w:space="0" w:color="FFFFFF"/>
            </w:tcBorders>
          </w:tcPr>
          <w:p>
            <w:pPr>
              <w:spacing w:before="0" w:after="0"/>
              <w:jc w:val="left"/>
            </w:pPr>
            <w:r>
              <w:rPr>
                <w:rFonts w:ascii="Calibri" w:hAnsi="Calibri"/>
                <w:color w:val="1E293B"/>
                <w:sz w:val="18"/>
              </w:rPr>
              <w:t>10</w:t>
            </w:r>
          </w:p>
        </w:tc>
        <w:tc>
          <w:tcPr>
            <w:tcW w:type="dxa" w:w="2880"/>
            <w:shd w:fill="F8FAFC"/>
            <w:tcMar>
              <w:top w:w="90" w:type="dxa"/>
              <w:bottom w:w="90" w:type="dxa"/>
              <w:left w:w="120" w:type="dxa"/>
              <w:right w:w="120" w:type="dxa"/>
            </w:tcMar>
            <w:tcBorders>
              <w:top w:val="single" w:sz="4" w:space="0" w:color="E2E8F0"/>
              <w:bottom w:val="single" w:sz="4" w:space="0" w:color="E2E8F0"/>
              <w:left w:val="none" w:sz="0" w:space="0" w:color="FFFFFF"/>
              <w:right w:val="none" w:sz="0" w:space="0" w:color="FFFFFF"/>
            </w:tcBorders>
          </w:tcPr>
          <w:p>
            <w:pPr>
              <w:spacing w:before="0" w:after="0"/>
              <w:jc w:val="left"/>
            </w:pPr>
            <w:r>
              <w:rPr>
                <w:rFonts w:ascii="Calibri" w:hAnsi="Calibri"/>
                <w:color w:val="1E293B"/>
                <w:sz w:val="18"/>
              </w:rPr>
              <w:t>Active Status</w:t>
            </w:r>
          </w:p>
        </w:tc>
        <w:tc>
          <w:tcPr>
            <w:tcW w:type="dxa" w:w="4608"/>
            <w:shd w:fill="F8FAFC"/>
            <w:tcMar>
              <w:top w:w="90" w:type="dxa"/>
              <w:bottom w:w="90" w:type="dxa"/>
              <w:left w:w="120" w:type="dxa"/>
              <w:right w:w="120" w:type="dxa"/>
            </w:tcMar>
            <w:tcBorders>
              <w:top w:val="single" w:sz="4" w:space="0" w:color="E2E8F0"/>
              <w:bottom w:val="single" w:sz="4" w:space="0" w:color="E2E8F0"/>
              <w:left w:val="none" w:sz="0" w:space="0" w:color="FFFFFF"/>
              <w:right w:val="none" w:sz="0" w:space="0" w:color="FFFFFF"/>
            </w:tcBorders>
          </w:tcPr>
          <w:p>
            <w:pPr>
              <w:spacing w:before="0" w:after="0"/>
              <w:jc w:val="left"/>
            </w:pPr>
            <w:r>
              <w:rPr>
                <w:rFonts w:ascii="Calibri" w:hAnsi="Calibri"/>
                <w:color w:val="1E293B"/>
                <w:sz w:val="18"/>
              </w:rPr>
              <w:t>Toggled to ON only after all above verification items pass.</w:t>
            </w:r>
          </w:p>
        </w:tc>
        <w:tc>
          <w:tcPr>
            <w:tcW w:type="dxa" w:w="1152"/>
            <w:shd w:fill="F8FAFC"/>
            <w:tcMar>
              <w:top w:w="90" w:type="dxa"/>
              <w:bottom w:w="90" w:type="dxa"/>
              <w:left w:w="120" w:type="dxa"/>
              <w:right w:w="120" w:type="dxa"/>
            </w:tcMar>
            <w:tcBorders>
              <w:top w:val="single" w:sz="4" w:space="0" w:color="E2E8F0"/>
              <w:bottom w:val="single" w:sz="4" w:space="0" w:color="E2E8F0"/>
              <w:left w:val="none" w:sz="0" w:space="0" w:color="FFFFFF"/>
              <w:right w:val="none" w:sz="0" w:space="0" w:color="FFFFFF"/>
            </w:tcBorders>
          </w:tcPr>
          <w:p>
            <w:pPr>
              <w:spacing w:before="0" w:after="0"/>
              <w:jc w:val="left"/>
            </w:pPr>
            <w:r>
              <w:rPr>
                <w:rFonts w:ascii="Calibri" w:hAnsi="Calibri"/>
                <w:color w:val="1E293B"/>
                <w:sz w:val="18"/>
              </w:rPr>
              <w:t>[   ]</w:t>
            </w:r>
          </w:p>
        </w:tc>
      </w:tr>
    </w:tbl>
    <w:p>
      <w:pPr>
        <w:spacing w:before="0" w:after="120"/>
      </w:pPr>
    </w:p>
    <w:p>
      <w:pPr>
        <w:keepNext/>
        <w:spacing w:before="280" w:after="80"/>
      </w:pPr>
      <w:r>
        <w:rPr>
          <w:rFonts w:ascii="Calibri" w:hAnsi="Calibri"/>
          <w:b/>
          <w:color w:val="0D9488"/>
          <w:sz w:val="25"/>
        </w:rPr>
        <w:t xml:space="preserve">A.2 </w:t>
      </w:r>
      <w:r>
        <w:rPr>
          <w:rFonts w:ascii="Calibri" w:hAnsi="Calibri"/>
          <w:b/>
          <w:color w:val="1E3A8A"/>
          <w:sz w:val="25"/>
        </w:rPr>
        <w:t>Weekly Teaching Rhythm</w:t>
      </w:r>
    </w:p>
    <w:p>
      <w:pPr>
        <w:pStyle w:val="ListBullet"/>
        <w:spacing w:before="0" w:after="50" w:line="276" w:lineRule="auto"/>
      </w:pPr>
      <w:r>
        <w:rPr>
          <w:rFonts w:ascii="Calibri" w:hAnsi="Calibri"/>
          <w:b/>
          <w:color w:val="0F172A"/>
          <w:sz w:val="20"/>
        </w:rPr>
        <w:t>Monday Morning:</w:t>
      </w:r>
      <w:r>
        <w:rPr>
          <w:rFonts w:ascii="Calibri" w:hAnsi="Calibri"/>
          <w:color w:val="334155"/>
          <w:sz w:val="20"/>
        </w:rPr>
        <w:t xml:space="preserve"> Post weekly overview in Hub Posts; verify upcoming session timetable.</w:t>
      </w:r>
    </w:p>
    <w:p>
      <w:pPr>
        <w:pStyle w:val="ListBullet"/>
        <w:spacing w:before="0" w:after="50" w:line="276" w:lineRule="auto"/>
      </w:pPr>
      <w:r>
        <w:rPr>
          <w:rFonts w:ascii="Calibri" w:hAnsi="Calibri"/>
          <w:b/>
          <w:color w:val="0F172A"/>
          <w:sz w:val="20"/>
        </w:rPr>
        <w:t>Session Days:</w:t>
      </w:r>
      <w:r>
        <w:rPr>
          <w:rFonts w:ascii="Calibri" w:hAnsi="Calibri"/>
          <w:color w:val="334155"/>
          <w:sz w:val="20"/>
        </w:rPr>
        <w:t xml:space="preserve"> Launch room 15 min early; deliver interactive lecture; record attendance register.</w:t>
      </w:r>
    </w:p>
    <w:p>
      <w:pPr>
        <w:pStyle w:val="ListBullet"/>
        <w:spacing w:before="0" w:after="50" w:line="276" w:lineRule="auto"/>
      </w:pPr>
      <w:r>
        <w:rPr>
          <w:rFonts w:ascii="Calibri" w:hAnsi="Calibri"/>
          <w:b/>
          <w:color w:val="0F172A"/>
          <w:sz w:val="20"/>
        </w:rPr>
        <w:t>Post-Session:</w:t>
      </w:r>
      <w:r>
        <w:rPr>
          <w:rFonts w:ascii="Calibri" w:hAnsi="Calibri"/>
          <w:color w:val="334155"/>
          <w:sz w:val="20"/>
        </w:rPr>
        <w:t xml:space="preserve"> Upload class recording and slides to Learning Materials within 24 hours.</w:t>
      </w:r>
    </w:p>
    <w:p>
      <w:pPr>
        <w:pStyle w:val="ListBullet"/>
        <w:spacing w:before="0" w:after="50" w:line="276" w:lineRule="auto"/>
      </w:pPr>
      <w:r>
        <w:rPr>
          <w:rFonts w:ascii="Calibri" w:hAnsi="Calibri"/>
          <w:b/>
          <w:color w:val="0F172A"/>
          <w:sz w:val="20"/>
        </w:rPr>
        <w:t>Thursday / Friday:</w:t>
      </w:r>
      <w:r>
        <w:rPr>
          <w:rFonts w:ascii="Calibri" w:hAnsi="Calibri"/>
          <w:color w:val="334155"/>
          <w:sz w:val="20"/>
        </w:rPr>
        <w:t xml:space="preserve"> Grade submitted assignments with constructive comments; update leaderboard.</w:t>
      </w:r>
    </w:p>
    <w:p>
      <w:pPr>
        <w:pStyle w:val="ListBullet"/>
        <w:spacing w:before="0" w:after="50" w:line="276" w:lineRule="auto"/>
      </w:pPr>
      <w:r>
        <w:rPr>
          <w:rFonts w:ascii="Calibri" w:hAnsi="Calibri"/>
          <w:b/>
          <w:color w:val="0F172A"/>
          <w:sz w:val="20"/>
        </w:rPr>
        <w:t>Weekend Review:</w:t>
      </w:r>
      <w:r>
        <w:rPr>
          <w:rFonts w:ascii="Calibri" w:hAnsi="Calibri"/>
          <w:color w:val="334155"/>
          <w:sz w:val="20"/>
        </w:rPr>
        <w:t xml:space="preserve"> Check attendance metrics for at-risk learners; send personal encouragement emails.</w:t>
      </w:r>
    </w:p>
    <w:p>
      <w:pPr>
        <w:keepNext/>
        <w:spacing w:before="400" w:after="120"/>
      </w:pPr>
      <w:r>
        <w:rPr>
          <w:rFonts w:ascii="Calibri" w:hAnsi="Calibri"/>
          <w:b/>
          <w:color w:val="0D9488"/>
          <w:sz w:val="30"/>
        </w:rPr>
        <w:t xml:space="preserve">B.0  </w:t>
      </w:r>
      <w:r>
        <w:rPr>
          <w:rFonts w:ascii="Calibri" w:hAnsi="Calibri"/>
          <w:b/>
          <w:color w:val="0F172A"/>
          <w:sz w:val="30"/>
        </w:rPr>
        <w:t>Appendix B: JSON Bulk Import Specifications</w:t>
      </w:r>
    </w:p>
    <w:p>
      <w:pPr>
        <w:spacing w:before="0" w:after="80" w:line="276" w:lineRule="auto"/>
      </w:pPr>
      <w:r>
        <w:rPr>
          <w:rFonts w:ascii="Calibri" w:hAnsi="Calibri"/>
          <w:color w:val="334155"/>
          <w:sz w:val="20"/>
        </w:rPr>
        <w:t>For bulk administration, instructors and administrators can import data using standard JSON payloads.</w:t>
      </w:r>
    </w:p>
    <w:p>
      <w:pPr>
        <w:keepNext/>
        <w:spacing w:before="280" w:after="80"/>
      </w:pPr>
      <w:r>
        <w:rPr>
          <w:rFonts w:ascii="Calibri" w:hAnsi="Calibri"/>
          <w:b/>
          <w:color w:val="0D9488"/>
          <w:sz w:val="25"/>
        </w:rPr>
        <w:t xml:space="preserve">B.1 </w:t>
      </w:r>
      <w:r>
        <w:rPr>
          <w:rFonts w:ascii="Calibri" w:hAnsi="Calibri"/>
          <w:b/>
          <w:color w:val="1E3A8A"/>
          <w:sz w:val="25"/>
        </w:rPr>
        <w:t>Course Bulk Import Specification (courses.sample.json)</w:t>
      </w:r>
    </w:p>
    <w:p>
      <w:pPr>
        <w:spacing w:before="0" w:after="80" w:line="276" w:lineRule="auto"/>
      </w:pPr>
      <w:r>
        <w:rPr>
          <w:rFonts w:ascii="Calibri" w:hAnsi="Calibri"/>
          <w:color w:val="334155"/>
          <w:sz w:val="20"/>
        </w:rPr>
        <w:t>Import path: Admin Panel -&gt; Courses -&gt; Bulk Import JSON. Schema example:</w:t>
      </w:r>
    </w:p>
    <w:tbl>
      <w:tblPr>
        <w:tblW w:type="auto" w:w="0"/>
        <w:jc w:val="center"/>
        <w:tblLayout w:type="fixed"/>
        <w:tblLook w:firstColumn="1" w:firstRow="1" w:lastColumn="0" w:lastRow="0" w:noHBand="0" w:noVBand="1" w:val="04A0"/>
      </w:tblPr>
      <w:tblGrid>
        <w:gridCol w:w="9360"/>
      </w:tblGrid>
      <w:tr>
        <w:tc>
          <w:tcPr>
            <w:tcW w:type="dxa" w:w="9360"/>
            <w:shd w:fill="F1F5F9"/>
            <w:tcMar>
              <w:top w:w="130" w:type="dxa"/>
              <w:bottom w:w="130" w:type="dxa"/>
              <w:left w:w="180" w:type="dxa"/>
              <w:right w:w="140" w:type="dxa"/>
            </w:tcMar>
            <w:tcBorders>
              <w:top w:val="none"/>
              <w:bottom w:val="none"/>
              <w:left w:val="single" w:sz="24" w:space="0" w:color="64748B"/>
              <w:right w:val="none"/>
            </w:tcBorders>
          </w:tcPr>
          <w:p>
            <w:pPr>
              <w:spacing w:before="0" w:after="40" w:line="276" w:lineRule="auto"/>
            </w:pPr>
            <w:r>
              <w:rPr>
                <w:rFonts w:ascii="Calibri" w:hAnsi="Calibri"/>
                <w:b/>
                <w:color w:val="64748B"/>
                <w:sz w:val="21"/>
              </w:rPr>
              <w:t>[BEST PRACTICE:] COURSES JSON PAYLOAD TEMPLATE</w:t>
              <w:br/>
            </w:r>
            <w:r>
              <w:rPr>
                <w:rFonts w:ascii="Calibri" w:hAnsi="Calibri"/>
                <w:color w:val="334155"/>
                <w:sz w:val="19"/>
              </w:rPr>
              <w:t>[</w:t>
              <w:br/>
              <w:t xml:space="preserve">  {</w:t>
              <w:br/>
              <w:t xml:space="preserve">    "title": "Full-Stack Web Development Mastery",</w:t>
              <w:br/>
              <w:t xml:space="preserve">    "code": "WEB-101",</w:t>
              <w:br/>
              <w:t xml:space="preserve">    "description": "Master modern HTML5, CSS3, modern JavaScript, and Laravel from scratch.",</w:t>
              <w:br/>
              <w:t xml:space="preserve">    "overview": "Comprehensive practical program taking students from zero coding experience to full-stack engineers.",</w:t>
              <w:br/>
              <w:t xml:space="preserve">    "timeline": "8 Weeks (approx. 6-8 hours per week)",</w:t>
              <w:br/>
              <w:t xml:space="preserve">    "fees": [</w:t>
              <w:br/>
              <w:t xml:space="preserve">      {"category": "Group", "level": "Beginner", "amount": "K250", "duration": "6 Weeks"},</w:t>
              <w:br/>
              <w:t xml:space="preserve">      {"category": "One-On-One", "level": "Beginner", "amount": "K450", "duration": "6 Weeks"}</w:t>
              <w:br/>
              <w:t xml:space="preserve">    ],</w:t>
              <w:br/>
              <w:t xml:space="preserve">    "requirements": ["Access to a laptop with 8GB RAM", "Stable internet connection", "Basic computer literacy"],</w:t>
              <w:br/>
              <w:t xml:space="preserve">    "level_progression": [</w:t>
              <w:br/>
              <w:t xml:space="preserve">      {"level": "Beginner", "details": "Understand syntax, setup environment, build responsive static layouts."},</w:t>
              <w:br/>
              <w:t xml:space="preserve">      {"level": "Intermediate", "details": "Integrate REST APIs, manage state, work with relational databases."},</w:t>
              <w:br/>
              <w:t xml:space="preserve">      {"level": "Advanced", "details": "Deploy cloud applications, optimize performance, implement authentication."}</w:t>
              <w:br/>
              <w:t xml:space="preserve">    ],</w:t>
              <w:br/>
              <w:t xml:space="preserve">    "key_outcome": "Build and deploy 3 production web applications to a cloud VPS.",</w:t>
              <w:br/>
              <w:t xml:space="preserve">    "is_active": true</w:t>
              <w:br/>
              <w:t xml:space="preserve">  }</w:t>
              <w:br/>
              <w:t>]</w:t>
            </w:r>
          </w:p>
        </w:tc>
      </w:tr>
    </w:tbl>
    <w:p>
      <w:pPr>
        <w:spacing w:before="0" w:after="80"/>
      </w:pPr>
    </w:p>
    <w:p>
      <w:pPr>
        <w:keepNext/>
        <w:spacing w:before="280" w:after="80"/>
      </w:pPr>
      <w:r>
        <w:rPr>
          <w:rFonts w:ascii="Calibri" w:hAnsi="Calibri"/>
          <w:b/>
          <w:color w:val="0D9488"/>
          <w:sz w:val="25"/>
        </w:rPr>
        <w:t xml:space="preserve">B.2 </w:t>
      </w:r>
      <w:r>
        <w:rPr>
          <w:rFonts w:ascii="Calibri" w:hAnsi="Calibri"/>
          <w:b/>
          <w:color w:val="1E3A8A"/>
          <w:sz w:val="25"/>
        </w:rPr>
        <w:t>Quiz Bulk Import Specification (quizzes.sample.json)</w:t>
      </w:r>
    </w:p>
    <w:p>
      <w:pPr>
        <w:spacing w:before="0" w:after="80" w:line="276" w:lineRule="auto"/>
      </w:pPr>
      <w:r>
        <w:rPr>
          <w:rFonts w:ascii="Calibri" w:hAnsi="Calibri"/>
          <w:color w:val="334155"/>
          <w:sz w:val="20"/>
        </w:rPr>
        <w:t>Import path: Admin / Instructor Panel -&gt; Quizzes -&gt; Import Quizzes (JSON). Schema example:</w:t>
      </w:r>
    </w:p>
    <w:tbl>
      <w:tblPr>
        <w:tblW w:type="auto" w:w="0"/>
        <w:jc w:val="center"/>
        <w:tblLayout w:type="fixed"/>
        <w:tblLook w:firstColumn="1" w:firstRow="1" w:lastColumn="0" w:lastRow="0" w:noHBand="0" w:noVBand="1" w:val="04A0"/>
      </w:tblPr>
      <w:tblGrid>
        <w:gridCol w:w="9360"/>
      </w:tblGrid>
      <w:tr>
        <w:tc>
          <w:tcPr>
            <w:tcW w:type="dxa" w:w="9360"/>
            <w:shd w:fill="F1F5F9"/>
            <w:tcMar>
              <w:top w:w="130" w:type="dxa"/>
              <w:bottom w:w="130" w:type="dxa"/>
              <w:left w:w="180" w:type="dxa"/>
              <w:right w:w="140" w:type="dxa"/>
            </w:tcMar>
            <w:tcBorders>
              <w:top w:val="none"/>
              <w:bottom w:val="none"/>
              <w:left w:val="single" w:sz="24" w:space="0" w:color="64748B"/>
              <w:right w:val="none"/>
            </w:tcBorders>
          </w:tcPr>
          <w:p>
            <w:pPr>
              <w:spacing w:before="0" w:after="40" w:line="276" w:lineRule="auto"/>
            </w:pPr>
            <w:r>
              <w:rPr>
                <w:rFonts w:ascii="Calibri" w:hAnsi="Calibri"/>
                <w:b/>
                <w:color w:val="64748B"/>
                <w:sz w:val="21"/>
              </w:rPr>
              <w:t>[BEST PRACTICE:] QUIZZES JSON PAYLOAD TEMPLATE</w:t>
              <w:br/>
            </w:r>
            <w:r>
              <w:rPr>
                <w:rFonts w:ascii="Calibri" w:hAnsi="Calibri"/>
                <w:color w:val="334155"/>
                <w:sz w:val="19"/>
              </w:rPr>
              <w:t>[</w:t>
              <w:br/>
              <w:t xml:space="preserve">  {</w:t>
              <w:br/>
              <w:t xml:space="preserve">    "course_code": "WEB-101",</w:t>
              <w:br/>
              <w:t xml:space="preserve">    "title": "Module 1 Assessment: HTML5 &amp; CSS Foundations",</w:t>
              <w:br/>
              <w:t xml:space="preserve">    "description": "Test understanding of semantic elements, accessibility, and CSS box models.",</w:t>
              <w:br/>
              <w:t xml:space="preserve">    "time_limit_minutes": 30,</w:t>
              <w:br/>
              <w:t xml:space="preserve">    "shuffle_questions": true,</w:t>
              <w:br/>
              <w:t xml:space="preserve">    "show_results": true,</w:t>
              <w:br/>
              <w:t xml:space="preserve">    "pass_percentage": 60,</w:t>
              <w:br/>
              <w:t xml:space="preserve">    "is_active": true,</w:t>
              <w:br/>
              <w:t xml:space="preserve">    "questions": [</w:t>
              <w:br/>
              <w:t xml:space="preserve">      {</w:t>
              <w:br/>
              <w:t xml:space="preserve">        "type": "multiple_choice",</w:t>
              <w:br/>
              <w:t xml:space="preserve">        "question": "Which HTML5 element represents self-contained, independent article content?",</w:t>
              <w:br/>
              <w:t xml:space="preserve">        "explanation": "&lt;article&gt; is specifically intended for standalone blog posts or news items.",</w:t>
              <w:br/>
              <w:t xml:space="preserve">        "points": 1,</w:t>
              <w:br/>
              <w:t xml:space="preserve">        "options": [</w:t>
              <w:br/>
              <w:t xml:space="preserve">          {"option_text": "&lt;article&gt;", "is_correct": true},</w:t>
              <w:br/>
              <w:t xml:space="preserve">          {"option_text": "&lt;section&gt;", "is_correct": false},</w:t>
              <w:br/>
              <w:t xml:space="preserve">          {"option_text": "&lt;div&gt;", "is_correct": false}</w:t>
              <w:br/>
              <w:t xml:space="preserve">        ]</w:t>
              <w:br/>
              <w:t xml:space="preserve">      }</w:t>
              <w:br/>
              <w:t xml:space="preserve">    ]</w:t>
              <w:br/>
              <w:t xml:space="preserve">  }</w:t>
              <w:br/>
              <w:t>]</w:t>
            </w:r>
          </w:p>
        </w:tc>
      </w:tr>
    </w:tbl>
    <w:p>
      <w:pPr>
        <w:spacing w:before="0" w:after="80"/>
      </w:pPr>
    </w:p>
    <w:p>
      <w:pPr>
        <w:keepNext/>
        <w:spacing w:before="280" w:after="80"/>
      </w:pPr>
      <w:r>
        <w:rPr>
          <w:rFonts w:ascii="Calibri" w:hAnsi="Calibri"/>
          <w:b/>
          <w:color w:val="0D9488"/>
          <w:sz w:val="25"/>
        </w:rPr>
        <w:t xml:space="preserve">B.3 </w:t>
      </w:r>
      <w:r>
        <w:rPr>
          <w:rFonts w:ascii="Calibri" w:hAnsi="Calibri"/>
          <w:b/>
          <w:color w:val="1E3A8A"/>
          <w:sz w:val="25"/>
        </w:rPr>
        <w:t>Session Bulk Import Specification (sessions.sample.json)</w:t>
      </w:r>
    </w:p>
    <w:p>
      <w:pPr>
        <w:spacing w:before="0" w:after="80" w:line="276" w:lineRule="auto"/>
      </w:pPr>
      <w:r>
        <w:rPr>
          <w:rFonts w:ascii="Calibri" w:hAnsi="Calibri"/>
          <w:color w:val="334155"/>
          <w:sz w:val="20"/>
        </w:rPr>
        <w:t>Import path: Admin / Instructor Panel -&gt; Course Sessions -&gt; Import Sessions (JSON). Schema example:</w:t>
      </w:r>
    </w:p>
    <w:tbl>
      <w:tblPr>
        <w:tblW w:type="auto" w:w="0"/>
        <w:jc w:val="center"/>
        <w:tblLayout w:type="fixed"/>
        <w:tblLook w:firstColumn="1" w:firstRow="1" w:lastColumn="0" w:lastRow="0" w:noHBand="0" w:noVBand="1" w:val="04A0"/>
      </w:tblPr>
      <w:tblGrid>
        <w:gridCol w:w="9360"/>
      </w:tblGrid>
      <w:tr>
        <w:tc>
          <w:tcPr>
            <w:tcW w:type="dxa" w:w="9360"/>
            <w:shd w:fill="F1F5F9"/>
            <w:tcMar>
              <w:top w:w="130" w:type="dxa"/>
              <w:bottom w:w="130" w:type="dxa"/>
              <w:left w:w="180" w:type="dxa"/>
              <w:right w:w="140" w:type="dxa"/>
            </w:tcMar>
            <w:tcBorders>
              <w:top w:val="none"/>
              <w:bottom w:val="none"/>
              <w:left w:val="single" w:sz="24" w:space="0" w:color="64748B"/>
              <w:right w:val="none"/>
            </w:tcBorders>
          </w:tcPr>
          <w:p>
            <w:pPr>
              <w:spacing w:before="0" w:after="40" w:line="276" w:lineRule="auto"/>
            </w:pPr>
            <w:r>
              <w:rPr>
                <w:rFonts w:ascii="Calibri" w:hAnsi="Calibri"/>
                <w:b/>
                <w:color w:val="64748B"/>
                <w:sz w:val="21"/>
              </w:rPr>
              <w:t>[BEST PRACTICE:] SESSIONS JSON PAYLOAD TEMPLATE</w:t>
              <w:br/>
            </w:r>
            <w:r>
              <w:rPr>
                <w:rFonts w:ascii="Calibri" w:hAnsi="Calibri"/>
                <w:color w:val="334155"/>
                <w:sz w:val="19"/>
              </w:rPr>
              <w:t>[</w:t>
              <w:br/>
              <w:t xml:space="preserve">  {</w:t>
              <w:br/>
              <w:t xml:space="preserve">    "course_code": "WEB-101",</w:t>
              <w:br/>
              <w:t xml:space="preserve">    "title": "Session 1: Orientation &amp; Development Environment Setup",</w:t>
              <w:br/>
              <w:t xml:space="preserve">    "session_date": "2026-09-02",</w:t>
              <w:br/>
              <w:t xml:space="preserve">    "start_time": "09:00",</w:t>
              <w:br/>
              <w:t xml:space="preserve">    "end_time": "10:30",</w:t>
              <w:br/>
              <w:t xml:space="preserve">    "type": "group",</w:t>
              <w:br/>
              <w:t xml:space="preserve">    "notes": "Zoom Room: https://zoom.us/j/thinkerhub-web101 | Please install VS Code &amp; Git prior to class.",</w:t>
              <w:br/>
              <w:t xml:space="preserve">    "status": "scheduled"</w:t>
              <w:br/>
              <w:t xml:space="preserve">  }</w:t>
              <w:br/>
              <w:t>]</w:t>
            </w:r>
          </w:p>
        </w:tc>
      </w:tr>
    </w:tbl>
    <w:p>
      <w:pPr>
        <w:spacing w:before="0" w:after="80"/>
      </w:pPr>
    </w:p>
    <w:p>
      <w:pPr>
        <w:keepNext/>
        <w:spacing w:before="400" w:after="120"/>
      </w:pPr>
      <w:r>
        <w:rPr>
          <w:rFonts w:ascii="Calibri" w:hAnsi="Calibri"/>
          <w:b/>
          <w:color w:val="0D9488"/>
          <w:sz w:val="30"/>
        </w:rPr>
        <w:t xml:space="preserve">C.0  </w:t>
      </w:r>
      <w:r>
        <w:rPr>
          <w:rFonts w:ascii="Calibri" w:hAnsi="Calibri"/>
          <w:b/>
          <w:color w:val="0F172A"/>
          <w:sz w:val="30"/>
        </w:rPr>
        <w:t>Faculty Sign-off &amp; Document Control</w:t>
      </w:r>
    </w:p>
    <w:tbl>
      <w:tblPr>
        <w:tblW w:type="auto" w:w="0"/>
        <w:jc w:val="center"/>
        <w:tblLayout w:type="fixed"/>
        <w:tblLook w:firstColumn="1" w:firstRow="1" w:lastColumn="0" w:lastRow="0" w:noHBand="0" w:noVBand="1" w:val="04A0"/>
      </w:tblPr>
      <w:tblGrid>
        <w:gridCol w:w="2340"/>
        <w:gridCol w:w="2340"/>
        <w:gridCol w:w="2340"/>
        <w:gridCol w:w="2340"/>
      </w:tblGrid>
      <w:tr>
        <w:trPr>
          <w:tblHeader/>
          <w:cantSplit/>
        </w:trPr>
        <w:tc>
          <w:tcPr>
            <w:tcW w:type="dxa" w:w="2304"/>
            <w:shd w:fill="0F172A"/>
            <w:tcMar>
              <w:top w:w="120" w:type="dxa"/>
              <w:bottom w:w="120" w:type="dxa"/>
              <w:left w:w="120" w:type="dxa"/>
              <w:right w:w="120" w:type="dxa"/>
            </w:tcMar>
            <w:tcBorders>
              <w:top w:val="single" w:sz="6" w:space="0" w:color="0F172A"/>
              <w:bottom w:val="single" w:sz="18" w:space="0" w:color="0D9488"/>
              <w:left w:val="none" w:sz="0" w:space="0" w:color="FFFFFF"/>
              <w:right w:val="none" w:sz="0" w:space="0" w:color="FFFFFF"/>
            </w:tcBorders>
          </w:tcPr>
          <w:p>
            <w:pPr>
              <w:spacing w:before="0" w:after="0"/>
              <w:jc w:val="left"/>
            </w:pPr>
            <w:r>
              <w:rPr>
                <w:rFonts w:ascii="Calibri" w:hAnsi="Calibri"/>
                <w:b/>
                <w:color w:val="FFFFFF"/>
                <w:sz w:val="19"/>
              </w:rPr>
              <w:t>Role</w:t>
            </w:r>
          </w:p>
        </w:tc>
        <w:tc>
          <w:tcPr>
            <w:tcW w:type="dxa" w:w="2880"/>
            <w:shd w:fill="0F172A"/>
            <w:tcMar>
              <w:top w:w="120" w:type="dxa"/>
              <w:bottom w:w="120" w:type="dxa"/>
              <w:left w:w="120" w:type="dxa"/>
              <w:right w:w="120" w:type="dxa"/>
            </w:tcMar>
            <w:tcBorders>
              <w:top w:val="single" w:sz="6" w:space="0" w:color="0F172A"/>
              <w:bottom w:val="single" w:sz="18" w:space="0" w:color="0D9488"/>
              <w:left w:val="none" w:sz="0" w:space="0" w:color="FFFFFF"/>
              <w:right w:val="none" w:sz="0" w:space="0" w:color="FFFFFF"/>
            </w:tcBorders>
          </w:tcPr>
          <w:p>
            <w:pPr>
              <w:spacing w:before="0" w:after="0"/>
              <w:jc w:val="left"/>
            </w:pPr>
            <w:r>
              <w:rPr>
                <w:rFonts w:ascii="Calibri" w:hAnsi="Calibri"/>
                <w:b/>
                <w:color w:val="FFFFFF"/>
                <w:sz w:val="19"/>
              </w:rPr>
              <w:t>Name / Signature</w:t>
            </w:r>
          </w:p>
        </w:tc>
        <w:tc>
          <w:tcPr>
            <w:tcW w:type="dxa" w:w="2592"/>
            <w:shd w:fill="0F172A"/>
            <w:tcMar>
              <w:top w:w="120" w:type="dxa"/>
              <w:bottom w:w="120" w:type="dxa"/>
              <w:left w:w="120" w:type="dxa"/>
              <w:right w:w="120" w:type="dxa"/>
            </w:tcMar>
            <w:tcBorders>
              <w:top w:val="single" w:sz="6" w:space="0" w:color="0F172A"/>
              <w:bottom w:val="single" w:sz="18" w:space="0" w:color="0D9488"/>
              <w:left w:val="none" w:sz="0" w:space="0" w:color="FFFFFF"/>
              <w:right w:val="none" w:sz="0" w:space="0" w:color="FFFFFF"/>
            </w:tcBorders>
          </w:tcPr>
          <w:p>
            <w:pPr>
              <w:spacing w:before="0" w:after="0"/>
              <w:jc w:val="left"/>
            </w:pPr>
            <w:r>
              <w:rPr>
                <w:rFonts w:ascii="Calibri" w:hAnsi="Calibri"/>
                <w:b/>
                <w:color w:val="FFFFFF"/>
                <w:sz w:val="19"/>
              </w:rPr>
              <w:t>Designation</w:t>
            </w:r>
          </w:p>
        </w:tc>
        <w:tc>
          <w:tcPr>
            <w:tcW w:type="dxa" w:w="1584"/>
            <w:shd w:fill="0F172A"/>
            <w:tcMar>
              <w:top w:w="120" w:type="dxa"/>
              <w:bottom w:w="120" w:type="dxa"/>
              <w:left w:w="120" w:type="dxa"/>
              <w:right w:w="120" w:type="dxa"/>
            </w:tcMar>
            <w:tcBorders>
              <w:top w:val="single" w:sz="6" w:space="0" w:color="0F172A"/>
              <w:bottom w:val="single" w:sz="18" w:space="0" w:color="0D9488"/>
              <w:left w:val="none" w:sz="0" w:space="0" w:color="FFFFFF"/>
              <w:right w:val="none" w:sz="0" w:space="0" w:color="FFFFFF"/>
            </w:tcBorders>
          </w:tcPr>
          <w:p>
            <w:pPr>
              <w:spacing w:before="0" w:after="0"/>
              <w:jc w:val="left"/>
            </w:pPr>
            <w:r>
              <w:rPr>
                <w:rFonts w:ascii="Calibri" w:hAnsi="Calibri"/>
                <w:b/>
                <w:color w:val="FFFFFF"/>
                <w:sz w:val="19"/>
              </w:rPr>
              <w:t>Date Approved</w:t>
            </w:r>
          </w:p>
        </w:tc>
      </w:tr>
      <w:tr>
        <w:trPr>
          <w:cantSplit/>
        </w:trPr>
        <w:tc>
          <w:tcPr>
            <w:tcW w:type="dxa" w:w="2304"/>
            <w:shd w:fill="FFFFFF"/>
            <w:tcMar>
              <w:top w:w="90" w:type="dxa"/>
              <w:bottom w:w="90" w:type="dxa"/>
              <w:left w:w="120" w:type="dxa"/>
              <w:right w:w="120" w:type="dxa"/>
            </w:tcMar>
            <w:tcBorders>
              <w:top w:val="single" w:sz="4" w:space="0" w:color="E2E8F0"/>
              <w:bottom w:val="single" w:sz="4" w:space="0" w:color="E2E8F0"/>
              <w:left w:val="none" w:sz="0" w:space="0" w:color="FFFFFF"/>
              <w:right w:val="none" w:sz="0" w:space="0" w:color="FFFFFF"/>
            </w:tcBorders>
          </w:tcPr>
          <w:p>
            <w:pPr>
              <w:spacing w:before="0" w:after="0"/>
              <w:jc w:val="left"/>
            </w:pPr>
            <w:r>
              <w:rPr>
                <w:rFonts w:ascii="Calibri" w:hAnsi="Calibri"/>
                <w:color w:val="1E293B"/>
                <w:sz w:val="18"/>
              </w:rPr>
              <w:t>Academic Director</w:t>
            </w:r>
          </w:p>
        </w:tc>
        <w:tc>
          <w:tcPr>
            <w:tcW w:type="dxa" w:w="2880"/>
            <w:shd w:fill="FFFFFF"/>
            <w:tcMar>
              <w:top w:w="90" w:type="dxa"/>
              <w:bottom w:w="90" w:type="dxa"/>
              <w:left w:w="120" w:type="dxa"/>
              <w:right w:w="120" w:type="dxa"/>
            </w:tcMar>
            <w:tcBorders>
              <w:top w:val="single" w:sz="4" w:space="0" w:color="E2E8F0"/>
              <w:bottom w:val="single" w:sz="4" w:space="0" w:color="E2E8F0"/>
              <w:left w:val="none" w:sz="0" w:space="0" w:color="FFFFFF"/>
              <w:right w:val="none" w:sz="0" w:space="0" w:color="FFFFFF"/>
            </w:tcBorders>
          </w:tcPr>
          <w:p>
            <w:pPr>
              <w:spacing w:before="0" w:after="0"/>
              <w:jc w:val="left"/>
            </w:pPr>
            <w:r>
              <w:rPr>
                <w:rFonts w:ascii="Calibri" w:hAnsi="Calibri"/>
                <w:color w:val="1E293B"/>
                <w:sz w:val="18"/>
              </w:rPr>
              <w:t>Prof. K. Mutale, Ph.D.</w:t>
            </w:r>
          </w:p>
        </w:tc>
        <w:tc>
          <w:tcPr>
            <w:tcW w:type="dxa" w:w="2592"/>
            <w:shd w:fill="FFFFFF"/>
            <w:tcMar>
              <w:top w:w="90" w:type="dxa"/>
              <w:bottom w:w="90" w:type="dxa"/>
              <w:left w:w="120" w:type="dxa"/>
              <w:right w:w="120" w:type="dxa"/>
            </w:tcMar>
            <w:tcBorders>
              <w:top w:val="single" w:sz="4" w:space="0" w:color="E2E8F0"/>
              <w:bottom w:val="single" w:sz="4" w:space="0" w:color="E2E8F0"/>
              <w:left w:val="none" w:sz="0" w:space="0" w:color="FFFFFF"/>
              <w:right w:val="none" w:sz="0" w:space="0" w:color="FFFFFF"/>
            </w:tcBorders>
          </w:tcPr>
          <w:p>
            <w:pPr>
              <w:spacing w:before="0" w:after="0"/>
              <w:jc w:val="left"/>
            </w:pPr>
            <w:r>
              <w:rPr>
                <w:rFonts w:ascii="Calibri" w:hAnsi="Calibri"/>
                <w:color w:val="1E293B"/>
                <w:sz w:val="18"/>
              </w:rPr>
              <w:t>Dean of Academic Affairs</w:t>
            </w:r>
          </w:p>
        </w:tc>
        <w:tc>
          <w:tcPr>
            <w:tcW w:type="dxa" w:w="1584"/>
            <w:shd w:fill="FFFFFF"/>
            <w:tcMar>
              <w:top w:w="90" w:type="dxa"/>
              <w:bottom w:w="90" w:type="dxa"/>
              <w:left w:w="120" w:type="dxa"/>
              <w:right w:w="120" w:type="dxa"/>
            </w:tcMar>
            <w:tcBorders>
              <w:top w:val="single" w:sz="4" w:space="0" w:color="E2E8F0"/>
              <w:bottom w:val="single" w:sz="4" w:space="0" w:color="E2E8F0"/>
              <w:left w:val="none" w:sz="0" w:space="0" w:color="FFFFFF"/>
              <w:right w:val="none" w:sz="0" w:space="0" w:color="FFFFFF"/>
            </w:tcBorders>
          </w:tcPr>
          <w:p>
            <w:pPr>
              <w:spacing w:before="0" w:after="0"/>
              <w:jc w:val="left"/>
            </w:pPr>
            <w:r>
              <w:rPr>
                <w:rFonts w:ascii="Calibri" w:hAnsi="Calibri"/>
                <w:color w:val="1E293B"/>
                <w:sz w:val="18"/>
              </w:rPr>
              <w:t>October 2026</w:t>
            </w:r>
          </w:p>
        </w:tc>
      </w:tr>
      <w:tr>
        <w:trPr>
          <w:cantSplit/>
        </w:trPr>
        <w:tc>
          <w:tcPr>
            <w:tcW w:type="dxa" w:w="2304"/>
            <w:shd w:fill="F8FAFC"/>
            <w:tcMar>
              <w:top w:w="90" w:type="dxa"/>
              <w:bottom w:w="90" w:type="dxa"/>
              <w:left w:w="120" w:type="dxa"/>
              <w:right w:w="120" w:type="dxa"/>
            </w:tcMar>
            <w:tcBorders>
              <w:top w:val="single" w:sz="4" w:space="0" w:color="E2E8F0"/>
              <w:bottom w:val="single" w:sz="4" w:space="0" w:color="E2E8F0"/>
              <w:left w:val="none" w:sz="0" w:space="0" w:color="FFFFFF"/>
              <w:right w:val="none" w:sz="0" w:space="0" w:color="FFFFFF"/>
            </w:tcBorders>
          </w:tcPr>
          <w:p>
            <w:pPr>
              <w:spacing w:before="0" w:after="0"/>
              <w:jc w:val="left"/>
            </w:pPr>
            <w:r>
              <w:rPr>
                <w:rFonts w:ascii="Calibri" w:hAnsi="Calibri"/>
                <w:color w:val="1E293B"/>
                <w:sz w:val="18"/>
              </w:rPr>
              <w:t>Lead Technical Architect</w:t>
            </w:r>
          </w:p>
        </w:tc>
        <w:tc>
          <w:tcPr>
            <w:tcW w:type="dxa" w:w="2880"/>
            <w:shd w:fill="F8FAFC"/>
            <w:tcMar>
              <w:top w:w="90" w:type="dxa"/>
              <w:bottom w:w="90" w:type="dxa"/>
              <w:left w:w="120" w:type="dxa"/>
              <w:right w:w="120" w:type="dxa"/>
            </w:tcMar>
            <w:tcBorders>
              <w:top w:val="single" w:sz="4" w:space="0" w:color="E2E8F0"/>
              <w:bottom w:val="single" w:sz="4" w:space="0" w:color="E2E8F0"/>
              <w:left w:val="none" w:sz="0" w:space="0" w:color="FFFFFF"/>
              <w:right w:val="none" w:sz="0" w:space="0" w:color="FFFFFF"/>
            </w:tcBorders>
          </w:tcPr>
          <w:p>
            <w:pPr>
              <w:spacing w:before="0" w:after="0"/>
              <w:jc w:val="left"/>
            </w:pPr>
            <w:r>
              <w:rPr>
                <w:rFonts w:ascii="Calibri" w:hAnsi="Calibri"/>
                <w:color w:val="1E293B"/>
                <w:sz w:val="18"/>
              </w:rPr>
              <w:t>C. Mwamba, M.Sc.</w:t>
            </w:r>
          </w:p>
        </w:tc>
        <w:tc>
          <w:tcPr>
            <w:tcW w:type="dxa" w:w="2592"/>
            <w:shd w:fill="F8FAFC"/>
            <w:tcMar>
              <w:top w:w="90" w:type="dxa"/>
              <w:bottom w:w="90" w:type="dxa"/>
              <w:left w:w="120" w:type="dxa"/>
              <w:right w:w="120" w:type="dxa"/>
            </w:tcMar>
            <w:tcBorders>
              <w:top w:val="single" w:sz="4" w:space="0" w:color="E2E8F0"/>
              <w:bottom w:val="single" w:sz="4" w:space="0" w:color="E2E8F0"/>
              <w:left w:val="none" w:sz="0" w:space="0" w:color="FFFFFF"/>
              <w:right w:val="none" w:sz="0" w:space="0" w:color="FFFFFF"/>
            </w:tcBorders>
          </w:tcPr>
          <w:p>
            <w:pPr>
              <w:spacing w:before="0" w:after="0"/>
              <w:jc w:val="left"/>
            </w:pPr>
            <w:r>
              <w:rPr>
                <w:rFonts w:ascii="Calibri" w:hAnsi="Calibri"/>
                <w:color w:val="1E293B"/>
                <w:sz w:val="18"/>
              </w:rPr>
              <w:t>Head of Curriculum Quality</w:t>
            </w:r>
          </w:p>
        </w:tc>
        <w:tc>
          <w:tcPr>
            <w:tcW w:type="dxa" w:w="1584"/>
            <w:shd w:fill="F8FAFC"/>
            <w:tcMar>
              <w:top w:w="90" w:type="dxa"/>
              <w:bottom w:w="90" w:type="dxa"/>
              <w:left w:w="120" w:type="dxa"/>
              <w:right w:w="120" w:type="dxa"/>
            </w:tcMar>
            <w:tcBorders>
              <w:top w:val="single" w:sz="4" w:space="0" w:color="E2E8F0"/>
              <w:bottom w:val="single" w:sz="4" w:space="0" w:color="E2E8F0"/>
              <w:left w:val="none" w:sz="0" w:space="0" w:color="FFFFFF"/>
              <w:right w:val="none" w:sz="0" w:space="0" w:color="FFFFFF"/>
            </w:tcBorders>
          </w:tcPr>
          <w:p>
            <w:pPr>
              <w:spacing w:before="0" w:after="0"/>
              <w:jc w:val="left"/>
            </w:pPr>
            <w:r>
              <w:rPr>
                <w:rFonts w:ascii="Calibri" w:hAnsi="Calibri"/>
                <w:color w:val="1E293B"/>
                <w:sz w:val="18"/>
              </w:rPr>
              <w:t>October 2026</w:t>
            </w:r>
          </w:p>
        </w:tc>
      </w:tr>
      <w:tr>
        <w:trPr>
          <w:cantSplit/>
        </w:trPr>
        <w:tc>
          <w:tcPr>
            <w:tcW w:type="dxa" w:w="2304"/>
            <w:shd w:fill="FFFFFF"/>
            <w:tcMar>
              <w:top w:w="90" w:type="dxa"/>
              <w:bottom w:w="90" w:type="dxa"/>
              <w:left w:w="120" w:type="dxa"/>
              <w:right w:w="120" w:type="dxa"/>
            </w:tcMar>
            <w:tcBorders>
              <w:top w:val="single" w:sz="4" w:space="0" w:color="E2E8F0"/>
              <w:bottom w:val="single" w:sz="4" w:space="0" w:color="E2E8F0"/>
              <w:left w:val="none" w:sz="0" w:space="0" w:color="FFFFFF"/>
              <w:right w:val="none" w:sz="0" w:space="0" w:color="FFFFFF"/>
            </w:tcBorders>
          </w:tcPr>
          <w:p>
            <w:pPr>
              <w:spacing w:before="0" w:after="0"/>
              <w:jc w:val="left"/>
            </w:pPr>
            <w:r>
              <w:rPr>
                <w:rFonts w:ascii="Calibri" w:hAnsi="Calibri"/>
                <w:color w:val="1E293B"/>
                <w:sz w:val="18"/>
              </w:rPr>
              <w:t>Faculty Representative</w:t>
            </w:r>
          </w:p>
        </w:tc>
        <w:tc>
          <w:tcPr>
            <w:tcW w:type="dxa" w:w="2880"/>
            <w:shd w:fill="FFFFFF"/>
            <w:tcMar>
              <w:top w:w="90" w:type="dxa"/>
              <w:bottom w:w="90" w:type="dxa"/>
              <w:left w:w="120" w:type="dxa"/>
              <w:right w:w="120" w:type="dxa"/>
            </w:tcMar>
            <w:tcBorders>
              <w:top w:val="single" w:sz="4" w:space="0" w:color="E2E8F0"/>
              <w:bottom w:val="single" w:sz="4" w:space="0" w:color="E2E8F0"/>
              <w:left w:val="none" w:sz="0" w:space="0" w:color="FFFFFF"/>
              <w:right w:val="none" w:sz="0" w:space="0" w:color="FFFFFF"/>
            </w:tcBorders>
          </w:tcPr>
          <w:p>
            <w:pPr>
              <w:spacing w:before="0" w:after="0"/>
              <w:jc w:val="left"/>
            </w:pPr>
            <w:r>
              <w:rPr>
                <w:rFonts w:ascii="Calibri" w:hAnsi="Calibri"/>
                <w:color w:val="1E293B"/>
                <w:sz w:val="18"/>
              </w:rPr>
              <w:t>Faculty Council Chair</w:t>
            </w:r>
          </w:p>
        </w:tc>
        <w:tc>
          <w:tcPr>
            <w:tcW w:type="dxa" w:w="2592"/>
            <w:shd w:fill="FFFFFF"/>
            <w:tcMar>
              <w:top w:w="90" w:type="dxa"/>
              <w:bottom w:w="90" w:type="dxa"/>
              <w:left w:w="120" w:type="dxa"/>
              <w:right w:w="120" w:type="dxa"/>
            </w:tcMar>
            <w:tcBorders>
              <w:top w:val="single" w:sz="4" w:space="0" w:color="E2E8F0"/>
              <w:bottom w:val="single" w:sz="4" w:space="0" w:color="E2E8F0"/>
              <w:left w:val="none" w:sz="0" w:space="0" w:color="FFFFFF"/>
              <w:right w:val="none" w:sz="0" w:space="0" w:color="FFFFFF"/>
            </w:tcBorders>
          </w:tcPr>
          <w:p>
            <w:pPr>
              <w:spacing w:before="0" w:after="0"/>
              <w:jc w:val="left"/>
            </w:pPr>
            <w:r>
              <w:rPr>
                <w:rFonts w:ascii="Calibri" w:hAnsi="Calibri"/>
                <w:color w:val="1E293B"/>
                <w:sz w:val="18"/>
              </w:rPr>
              <w:t>Instructor Quality Board</w:t>
            </w:r>
          </w:p>
        </w:tc>
        <w:tc>
          <w:tcPr>
            <w:tcW w:type="dxa" w:w="1584"/>
            <w:shd w:fill="FFFFFF"/>
            <w:tcMar>
              <w:top w:w="90" w:type="dxa"/>
              <w:bottom w:w="90" w:type="dxa"/>
              <w:left w:w="120" w:type="dxa"/>
              <w:right w:w="120" w:type="dxa"/>
            </w:tcMar>
            <w:tcBorders>
              <w:top w:val="single" w:sz="4" w:space="0" w:color="E2E8F0"/>
              <w:bottom w:val="single" w:sz="4" w:space="0" w:color="E2E8F0"/>
              <w:left w:val="none" w:sz="0" w:space="0" w:color="FFFFFF"/>
              <w:right w:val="none" w:sz="0" w:space="0" w:color="FFFFFF"/>
            </w:tcBorders>
          </w:tcPr>
          <w:p>
            <w:pPr>
              <w:spacing w:before="0" w:after="0"/>
              <w:jc w:val="left"/>
            </w:pPr>
            <w:r>
              <w:rPr>
                <w:rFonts w:ascii="Calibri" w:hAnsi="Calibri"/>
                <w:color w:val="1E293B"/>
                <w:sz w:val="18"/>
              </w:rPr>
              <w:t>October 2026</w:t>
            </w:r>
          </w:p>
        </w:tc>
      </w:tr>
    </w:tbl>
    <w:p>
      <w:pPr>
        <w:spacing w:before="0" w:after="120"/>
      </w:pPr>
    </w:p>
    <w:p>
      <w:pPr>
        <w:spacing w:before="0" w:after="80" w:line="276" w:lineRule="auto"/>
      </w:pPr>
      <w:r>
        <w:rPr>
          <w:rFonts w:ascii="Calibri" w:hAnsi="Calibri"/>
          <w:color w:val="334155"/>
          <w:sz w:val="20"/>
        </w:rPr>
        <w:t>For faculty inquiries, curriculum submissions, or technical escalations, contact: academics@thinkerhub.ac.zm | faculty-support@thinkerhub.ac.zm</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color w:val="94A3B8"/>
        <w:sz w:val="17"/>
      </w:rPr>
      <w:t>Confidential &amp; Proprietary — Thinker HUB Platform  |  Official Faculty Documentation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94A3B8"/>
        <w:sz w:val="17"/>
      </w:rPr>
      <w:t>THINKER HUB  •  INSTRUCTOR GUIDE &amp; OPERATIONAL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