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PunchOut Central</w:t>
        <w:br/>
        <w:t>Product &amp; Website Playbook</w:t>
      </w:r>
    </w:p>
    <w:p>
      <w:pPr>
        <w:spacing w:after="180"/>
      </w:pPr>
      <w:r>
        <w:rPr>
          <w:color w:val="5C6A6F"/>
          <w:sz w:val="20"/>
        </w:rPr>
        <w:t>Short internal guide | October 2026</w:t>
      </w:r>
    </w:p>
    <w:tbl>
      <w:tblPr>
        <w:tblW w:type="auto" w:w="0"/>
        <w:jc w:val="center"/>
        <w:tblLayout w:type="fixed"/>
        <w:tblLook w:firstColumn="1" w:firstRow="1" w:lastColumn="0" w:lastRow="0" w:noHBand="0" w:noVBand="1" w:val="04A0"/>
      </w:tblPr>
      <w:tblGrid>
        <w:gridCol w:w="10008"/>
      </w:tblGrid>
      <w:tr>
        <w:tc>
          <w:tcPr>
            <w:tcW w:type="dxa" w:w="10224"/>
            <w:shd w:fill="E9F8F5"/>
            <w:tcMar>
              <w:top w:w="170" w:type="dxa"/>
              <w:start w:w="180" w:type="dxa"/>
              <w:bottom w:w="170" w:type="dxa"/>
              <w:end w:w="180" w:type="dxa"/>
            </w:tcMar>
          </w:tcPr>
          <w:p>
            <w:pPr>
              <w:spacing w:after="0"/>
            </w:pPr>
            <w:r>
              <w:rPr>
                <w:b/>
                <w:color w:val="008476"/>
                <w:sz w:val="18"/>
              </w:rPr>
              <w:t>Core positioning</w:t>
            </w:r>
          </w:p>
          <w:p>
            <w:pPr>
              <w:spacing w:after="0"/>
            </w:pPr>
            <w:r>
              <w:rPr>
                <w:b/>
                <w:color w:val="102227"/>
                <w:sz w:val="22"/>
              </w:rPr>
              <w:t>PunchOut Central connects enterprise procurement systems to the ecommerce operation suppliers already use, so they can add buyers, automate transactions from PunchOut to invoice, and manage everything from one central platform.</w:t>
            </w:r>
          </w:p>
        </w:tc>
      </w:tr>
    </w:tbl>
    <w:p>
      <w:pPr>
        <w:pStyle w:val="Heading1"/>
        <w:pBdr>
          <w:bottom w:val="single" w:sz="10" w:space="6" w:color="D9E2E3"/>
        </w:pBdr>
      </w:pPr>
      <w:r>
        <w:t>1. What is PunchOut?</w:t>
      </w:r>
    </w:p>
    <w:p>
      <w:r>
        <w:rPr>
          <w:b/>
        </w:rPr>
        <w:t xml:space="preserve">PunchOut is a B2B purchasing method that lets a buyer open a supplier's ecommerce catalog from inside their procurement system. </w:t>
      </w:r>
      <w:r>
        <w:t>The buyer shops on the supplier store, returns the cart for approval, and the approved purchase order flows back to the supplier.</w:t>
      </w:r>
    </w:p>
    <w:p>
      <w:pPr>
        <w:jc w:val="center"/>
      </w:pPr>
      <w:r>
        <w:rPr>
          <w:b/>
          <w:color w:val="008476"/>
          <w:sz w:val="19"/>
        </w:rPr>
        <w:t>Procurement System  →  Supplier Store  →  Cart Return  →  Approval  →  PO  →  Order  →  Invoice</w:t>
      </w:r>
    </w:p>
    <w:p>
      <w:pPr>
        <w:pStyle w:val="Heading1"/>
        <w:pBdr>
          <w:bottom w:val="single" w:sz="10" w:space="6" w:color="D9E2E3"/>
        </w:pBdr>
      </w:pPr>
      <w:r>
        <w:t>2. What is PunchOut Central?</w:t>
      </w:r>
    </w:p>
    <w:p>
      <w:pPr>
        <w:ind w:left="259" w:hanging="173"/>
      </w:pPr>
      <w:r>
        <w:rPr>
          <w:color w:val="13B8A6"/>
        </w:rPr>
        <w:t xml:space="preserve">• </w:t>
      </w:r>
      <w:r>
        <w:t>Turns an existing Shopify or Shopify Plus store into a PunchOut-enabled store.</w:t>
      </w:r>
    </w:p>
    <w:p>
      <w:pPr>
        <w:ind w:left="259" w:hanging="173"/>
      </w:pPr>
      <w:r>
        <w:rPr>
          <w:color w:val="13B8A6"/>
        </w:rPr>
        <w:t xml:space="preserve">• </w:t>
      </w:r>
      <w:r>
        <w:t>Uses the supplier's existing ecommerce operation. No separate PunchOut storefront is required.</w:t>
      </w:r>
    </w:p>
    <w:p>
      <w:pPr>
        <w:ind w:left="259" w:hanging="173"/>
      </w:pPr>
      <w:r>
        <w:rPr>
          <w:color w:val="13B8A6"/>
        </w:rPr>
        <w:t xml:space="preserve">• </w:t>
      </w:r>
      <w:r>
        <w:t>Connects suppliers with enterprise procurement platforms using cXML and OCI.</w:t>
      </w:r>
    </w:p>
    <w:p>
      <w:pPr>
        <w:ind w:left="259" w:hanging="173"/>
      </w:pPr>
      <w:r>
        <w:rPr>
          <w:color w:val="13B8A6"/>
        </w:rPr>
        <w:t xml:space="preserve">• </w:t>
      </w:r>
      <w:r>
        <w:t>Lets one store serve multiple buyers and lets multiple stores and buyers be managed centrally.</w:t>
      </w:r>
    </w:p>
    <w:p>
      <w:pPr>
        <w:ind w:left="259" w:hanging="173"/>
      </w:pPr>
      <w:r>
        <w:rPr>
          <w:color w:val="13B8A6"/>
        </w:rPr>
        <w:t xml:space="preserve">• </w:t>
      </w:r>
      <w:r>
        <w:t>Tracks the full transaction journey and shows where a transaction fails and why.</w:t>
      </w:r>
    </w:p>
    <w:p>
      <w:pPr>
        <w:pStyle w:val="Heading1"/>
        <w:pBdr>
          <w:bottom w:val="single" w:sz="10" w:space="6" w:color="D9E2E3"/>
        </w:pBdr>
      </w:pPr>
      <w:r>
        <w:t>3. Simple Setup</w:t>
      </w:r>
    </w:p>
    <w:tbl>
      <w:tblPr>
        <w:tblW w:type="auto" w:w="0"/>
        <w:jc w:val="center"/>
        <w:tblLayout w:type="fixed"/>
        <w:tblLook w:firstColumn="1" w:firstRow="1" w:lastColumn="0" w:lastRow="0" w:noHBand="0" w:noVBand="1" w:val="04A0"/>
      </w:tblPr>
      <w:tblGrid>
        <w:gridCol w:w="3168"/>
        <w:gridCol w:w="3528"/>
        <w:gridCol w:w="3312"/>
      </w:tblGrid>
      <w:tr>
        <w:tc>
          <w:tcPr>
            <w:tcW w:type="dxa" w:w="3408"/>
            <w:shd w:fill="E9F8F5"/>
            <w:tcMar>
              <w:top w:w="140" w:type="dxa"/>
              <w:start w:w="140" w:type="dxa"/>
              <w:bottom w:w="140" w:type="dxa"/>
              <w:end w:w="140" w:type="dxa"/>
            </w:tcMar>
            <w:vAlign w:val="center"/>
          </w:tcPr>
          <w:p>
            <w:pPr>
              <w:jc w:val="left"/>
            </w:pPr>
            <w:r>
              <w:rPr>
                <w:b/>
                <w:color w:val="008476"/>
                <w:sz w:val="19"/>
              </w:rPr>
              <w:t>1  Connect Store</w:t>
            </w:r>
          </w:p>
          <w:p>
            <w:pPr>
              <w:spacing w:after="0"/>
            </w:pPr>
            <w:r>
              <w:rPr>
                <w:sz w:val="17"/>
              </w:rPr>
              <w:t>Connect the existing ecommerce store to PunchOut Central.</w:t>
            </w:r>
          </w:p>
        </w:tc>
        <w:tc>
          <w:tcPr>
            <w:tcW w:type="dxa" w:w="3408"/>
            <w:shd w:fill="E9F8F5"/>
            <w:tcMar>
              <w:top w:w="140" w:type="dxa"/>
              <w:start w:w="140" w:type="dxa"/>
              <w:bottom w:w="140" w:type="dxa"/>
              <w:end w:w="140" w:type="dxa"/>
            </w:tcMar>
            <w:vAlign w:val="center"/>
          </w:tcPr>
          <w:p>
            <w:pPr>
              <w:jc w:val="left"/>
            </w:pPr>
            <w:r>
              <w:rPr>
                <w:b/>
                <w:color w:val="008476"/>
                <w:sz w:val="19"/>
              </w:rPr>
              <w:t>2  Add Buyer</w:t>
            </w:r>
          </w:p>
          <w:p>
            <w:pPr>
              <w:spacing w:after="0"/>
            </w:pPr>
            <w:r>
              <w:rPr>
                <w:sz w:val="17"/>
              </w:rPr>
              <w:t>Choose the store and assign the relevant collections/catalog access to the buyer.</w:t>
            </w:r>
          </w:p>
        </w:tc>
        <w:tc>
          <w:tcPr>
            <w:tcW w:type="dxa" w:w="3408"/>
            <w:shd w:fill="E9F8F5"/>
            <w:tcMar>
              <w:top w:w="140" w:type="dxa"/>
              <w:start w:w="140" w:type="dxa"/>
              <w:bottom w:w="140" w:type="dxa"/>
              <w:end w:w="140" w:type="dxa"/>
            </w:tcMar>
            <w:vAlign w:val="center"/>
          </w:tcPr>
          <w:p>
            <w:pPr>
              <w:jc w:val="left"/>
            </w:pPr>
            <w:r>
              <w:rPr>
                <w:b/>
                <w:color w:val="008476"/>
                <w:sz w:val="19"/>
              </w:rPr>
              <w:t>3  Test &amp; Go Live</w:t>
            </w:r>
          </w:p>
          <w:p>
            <w:pPr>
              <w:spacing w:after="0"/>
            </w:pPr>
            <w:r>
              <w:rPr>
                <w:sz w:val="17"/>
              </w:rPr>
              <w:t>Run a PunchOut test, validate the flow, then launch the connection.</w:t>
            </w:r>
          </w:p>
        </w:tc>
      </w:tr>
    </w:tbl>
    <w:p>
      <w:pPr>
        <w:pStyle w:val="Heading1"/>
        <w:pBdr>
          <w:bottom w:val="single" w:sz="10" w:space="6" w:color="D9E2E3"/>
        </w:pBdr>
      </w:pPr>
      <w:r>
        <w:t>4. Transaction Lifecycle</w:t>
      </w:r>
    </w:p>
    <w:p>
      <w:r>
        <w:rPr>
          <w:b/>
        </w:rPr>
        <w:t>Every PunchOut transaction is tracked through six clear stages:</w:t>
      </w:r>
    </w:p>
    <w:tbl>
      <w:tblPr>
        <w:tblW w:type="auto" w:w="0"/>
        <w:jc w:val="center"/>
        <w:tblLayout w:type="fixed"/>
        <w:tblLook w:firstColumn="1" w:firstRow="1" w:lastColumn="0" w:lastRow="0" w:noHBand="0" w:noVBand="1" w:val="04A0"/>
      </w:tblPr>
      <w:tblGrid>
        <w:gridCol w:w="1627"/>
        <w:gridCol w:w="1627"/>
        <w:gridCol w:w="1627"/>
        <w:gridCol w:w="1627"/>
        <w:gridCol w:w="1627"/>
        <w:gridCol w:w="1627"/>
      </w:tblGrid>
      <w:tr>
        <w:tc>
          <w:tcPr>
            <w:tcW w:type="dxa" w:w="1704"/>
            <w:shd w:fill="13B8A6"/>
            <w:tcMar>
              <w:top w:w="90" w:type="dxa"/>
              <w:start w:w="60" w:type="dxa"/>
              <w:bottom w:w="90" w:type="dxa"/>
              <w:end w:w="60" w:type="dxa"/>
            </w:tcMar>
          </w:tcPr>
          <w:p>
            <w:pPr>
              <w:jc w:val="center"/>
            </w:pPr>
            <w:r>
              <w:rPr>
                <w:b/>
                <w:color w:val="FFFFFF"/>
                <w:sz w:val="17"/>
              </w:rPr>
              <w:t>1</w:t>
            </w:r>
          </w:p>
        </w:tc>
        <w:tc>
          <w:tcPr>
            <w:tcW w:type="dxa" w:w="1704"/>
            <w:shd w:fill="13B8A6"/>
            <w:tcMar>
              <w:top w:w="90" w:type="dxa"/>
              <w:start w:w="60" w:type="dxa"/>
              <w:bottom w:w="90" w:type="dxa"/>
              <w:end w:w="60" w:type="dxa"/>
            </w:tcMar>
          </w:tcPr>
          <w:p>
            <w:pPr>
              <w:jc w:val="center"/>
            </w:pPr>
            <w:r>
              <w:rPr>
                <w:b/>
                <w:color w:val="FFFFFF"/>
                <w:sz w:val="17"/>
              </w:rPr>
              <w:t>2</w:t>
            </w:r>
          </w:p>
        </w:tc>
        <w:tc>
          <w:tcPr>
            <w:tcW w:type="dxa" w:w="1704"/>
            <w:shd w:fill="13B8A6"/>
            <w:tcMar>
              <w:top w:w="90" w:type="dxa"/>
              <w:start w:w="60" w:type="dxa"/>
              <w:bottom w:w="90" w:type="dxa"/>
              <w:end w:w="60" w:type="dxa"/>
            </w:tcMar>
          </w:tcPr>
          <w:p>
            <w:pPr>
              <w:jc w:val="center"/>
            </w:pPr>
            <w:r>
              <w:rPr>
                <w:b/>
                <w:color w:val="FFFFFF"/>
                <w:sz w:val="17"/>
              </w:rPr>
              <w:t>3</w:t>
            </w:r>
          </w:p>
        </w:tc>
        <w:tc>
          <w:tcPr>
            <w:tcW w:type="dxa" w:w="1704"/>
            <w:shd w:fill="13B8A6"/>
            <w:tcMar>
              <w:top w:w="90" w:type="dxa"/>
              <w:start w:w="60" w:type="dxa"/>
              <w:bottom w:w="90" w:type="dxa"/>
              <w:end w:w="60" w:type="dxa"/>
            </w:tcMar>
          </w:tcPr>
          <w:p>
            <w:pPr>
              <w:jc w:val="center"/>
            </w:pPr>
            <w:r>
              <w:rPr>
                <w:b/>
                <w:color w:val="FFFFFF"/>
                <w:sz w:val="17"/>
              </w:rPr>
              <w:t>4</w:t>
            </w:r>
          </w:p>
        </w:tc>
        <w:tc>
          <w:tcPr>
            <w:tcW w:type="dxa" w:w="1704"/>
            <w:shd w:fill="13B8A6"/>
            <w:tcMar>
              <w:top w:w="90" w:type="dxa"/>
              <w:start w:w="60" w:type="dxa"/>
              <w:bottom w:w="90" w:type="dxa"/>
              <w:end w:w="60" w:type="dxa"/>
            </w:tcMar>
          </w:tcPr>
          <w:p>
            <w:pPr>
              <w:jc w:val="center"/>
            </w:pPr>
            <w:r>
              <w:rPr>
                <w:b/>
                <w:color w:val="FFFFFF"/>
                <w:sz w:val="17"/>
              </w:rPr>
              <w:t>5</w:t>
            </w:r>
          </w:p>
        </w:tc>
        <w:tc>
          <w:tcPr>
            <w:tcW w:type="dxa" w:w="1704"/>
            <w:shd w:fill="13B8A6"/>
            <w:tcMar>
              <w:top w:w="90" w:type="dxa"/>
              <w:start w:w="60" w:type="dxa"/>
              <w:bottom w:w="90" w:type="dxa"/>
              <w:end w:w="60" w:type="dxa"/>
            </w:tcMar>
          </w:tcPr>
          <w:p>
            <w:pPr>
              <w:jc w:val="center"/>
            </w:pPr>
            <w:r>
              <w:rPr>
                <w:b/>
                <w:color w:val="FFFFFF"/>
                <w:sz w:val="17"/>
              </w:rPr>
              <w:t>6</w:t>
            </w:r>
          </w:p>
        </w:tc>
      </w:tr>
      <w:tr>
        <w:tc>
          <w:tcPr>
            <w:tcW w:type="dxa" w:w="1704"/>
            <w:tcMar>
              <w:top w:w="90" w:type="dxa"/>
              <w:start w:w="50" w:type="dxa"/>
              <w:bottom w:w="90" w:type="dxa"/>
              <w:end w:w="50" w:type="dxa"/>
            </w:tcMar>
          </w:tcPr>
          <w:p>
            <w:pPr>
              <w:jc w:val="center"/>
            </w:pPr>
            <w:r>
              <w:rPr>
                <w:b/>
                <w:color w:val="2C373C"/>
                <w:sz w:val="15"/>
              </w:rPr>
              <w:t>PunchOut Started</w:t>
            </w:r>
          </w:p>
        </w:tc>
        <w:tc>
          <w:tcPr>
            <w:tcW w:type="dxa" w:w="1704"/>
            <w:tcMar>
              <w:top w:w="90" w:type="dxa"/>
              <w:start w:w="50" w:type="dxa"/>
              <w:bottom w:w="90" w:type="dxa"/>
              <w:end w:w="50" w:type="dxa"/>
            </w:tcMar>
          </w:tcPr>
          <w:p>
            <w:pPr>
              <w:jc w:val="center"/>
            </w:pPr>
            <w:r>
              <w:rPr>
                <w:b/>
                <w:color w:val="2C373C"/>
                <w:sz w:val="15"/>
              </w:rPr>
              <w:t>Cart Returned</w:t>
            </w:r>
          </w:p>
        </w:tc>
        <w:tc>
          <w:tcPr>
            <w:tcW w:type="dxa" w:w="1704"/>
            <w:tcMar>
              <w:top w:w="90" w:type="dxa"/>
              <w:start w:w="50" w:type="dxa"/>
              <w:bottom w:w="90" w:type="dxa"/>
              <w:end w:w="50" w:type="dxa"/>
            </w:tcMar>
          </w:tcPr>
          <w:p>
            <w:pPr>
              <w:jc w:val="center"/>
            </w:pPr>
            <w:r>
              <w:rPr>
                <w:b/>
                <w:color w:val="2C373C"/>
                <w:sz w:val="15"/>
              </w:rPr>
              <w:t>Buyer Approved</w:t>
            </w:r>
          </w:p>
        </w:tc>
        <w:tc>
          <w:tcPr>
            <w:tcW w:type="dxa" w:w="1704"/>
            <w:tcMar>
              <w:top w:w="90" w:type="dxa"/>
              <w:start w:w="50" w:type="dxa"/>
              <w:bottom w:w="90" w:type="dxa"/>
              <w:end w:w="50" w:type="dxa"/>
            </w:tcMar>
          </w:tcPr>
          <w:p>
            <w:pPr>
              <w:jc w:val="center"/>
            </w:pPr>
            <w:r>
              <w:rPr>
                <w:b/>
                <w:color w:val="2C373C"/>
                <w:sz w:val="15"/>
              </w:rPr>
              <w:t>PO Received</w:t>
            </w:r>
          </w:p>
        </w:tc>
        <w:tc>
          <w:tcPr>
            <w:tcW w:type="dxa" w:w="1704"/>
            <w:tcMar>
              <w:top w:w="90" w:type="dxa"/>
              <w:start w:w="50" w:type="dxa"/>
              <w:bottom w:w="90" w:type="dxa"/>
              <w:end w:w="50" w:type="dxa"/>
            </w:tcMar>
          </w:tcPr>
          <w:p>
            <w:pPr>
              <w:jc w:val="center"/>
            </w:pPr>
            <w:r>
              <w:rPr>
                <w:b/>
                <w:color w:val="2C373C"/>
                <w:sz w:val="15"/>
              </w:rPr>
              <w:t>Store Order Created</w:t>
            </w:r>
          </w:p>
        </w:tc>
        <w:tc>
          <w:tcPr>
            <w:tcW w:type="dxa" w:w="1704"/>
            <w:tcMar>
              <w:top w:w="90" w:type="dxa"/>
              <w:start w:w="50" w:type="dxa"/>
              <w:bottom w:w="90" w:type="dxa"/>
              <w:end w:w="50" w:type="dxa"/>
            </w:tcMar>
          </w:tcPr>
          <w:p>
            <w:pPr>
              <w:jc w:val="center"/>
            </w:pPr>
            <w:r>
              <w:rPr>
                <w:b/>
                <w:color w:val="2C373C"/>
                <w:sz w:val="15"/>
              </w:rPr>
              <w:t>Invoice Generated</w:t>
            </w:r>
          </w:p>
        </w:tc>
      </w:tr>
    </w:tbl>
    <w:p>
      <w:pPr>
        <w:pStyle w:val="Heading1"/>
        <w:pBdr>
          <w:bottom w:val="single" w:sz="10" w:space="6" w:color="D9E2E3"/>
        </w:pBdr>
      </w:pPr>
      <w:r>
        <w:t>5. Why PunchOut Central is Different</w:t>
      </w:r>
    </w:p>
    <w:p>
      <w:pPr>
        <w:spacing w:after="46"/>
      </w:pPr>
      <w:r>
        <w:rPr>
          <w:b/>
          <w:color w:val="102227"/>
        </w:rPr>
        <w:t xml:space="preserve">Use the store you already have: </w:t>
      </w:r>
      <w:r>
        <w:t>Keep the existing ecommerce experience instead of building a separate PunchOut catalog or storefront.</w:t>
      </w:r>
    </w:p>
    <w:p>
      <w:pPr>
        <w:spacing w:after="46"/>
      </w:pPr>
      <w:r>
        <w:rPr>
          <w:b/>
          <w:color w:val="102227"/>
        </w:rPr>
        <w:t xml:space="preserve">One store, multiple buyers: </w:t>
      </w:r>
      <w:r>
        <w:t>Add multiple enterprise buyer connections to the same ecommerce store.</w:t>
      </w:r>
    </w:p>
    <w:p>
      <w:pPr>
        <w:spacing w:after="46"/>
      </w:pPr>
      <w:r>
        <w:rPr>
          <w:b/>
          <w:color w:val="102227"/>
        </w:rPr>
        <w:t xml:space="preserve">Multiple stores, one platform: </w:t>
      </w:r>
      <w:r>
        <w:t>Manage several stores and buyer connections from one central dashboard.</w:t>
      </w:r>
    </w:p>
    <w:p>
      <w:pPr>
        <w:spacing w:after="46"/>
      </w:pPr>
      <w:r>
        <w:rPr>
          <w:b/>
          <w:color w:val="102227"/>
        </w:rPr>
        <w:t xml:space="preserve">Buyer-specific access: </w:t>
      </w:r>
      <w:r>
        <w:t>Assign the correct store and collections/catalog access to each buyer.</w:t>
      </w:r>
    </w:p>
    <w:p>
      <w:pPr>
        <w:spacing w:after="46"/>
      </w:pPr>
      <w:r>
        <w:rPr>
          <w:b/>
          <w:color w:val="102227"/>
        </w:rPr>
        <w:t xml:space="preserve">Full transaction visibility: </w:t>
      </w:r>
      <w:r>
        <w:t>See sessions, carts, approvals, POs, store orders, invoices, line items, timestamps and activity.</w:t>
      </w:r>
    </w:p>
    <w:p>
      <w:pPr>
        <w:spacing w:after="46"/>
      </w:pPr>
      <w:r>
        <w:rPr>
          <w:b/>
          <w:color w:val="102227"/>
        </w:rPr>
        <w:t xml:space="preserve">Know what broke: </w:t>
      </w:r>
      <w:r>
        <w:t>See where a transaction stopped and why, so the supplier can act quickly.</w:t>
      </w:r>
    </w:p>
    <w:p>
      <w:pPr>
        <w:spacing w:after="46"/>
      </w:pPr>
      <w:r>
        <w:rPr>
          <w:b/>
          <w:color w:val="102227"/>
        </w:rPr>
        <w:t xml:space="preserve">Performance reporting: </w:t>
      </w:r>
      <w:r>
        <w:t>Track PunchOut activity, funnel performance and business trends with filters and visual reporting.</w:t>
      </w:r>
    </w:p>
    <w:p>
      <w:pPr>
        <w:spacing w:after="46"/>
      </w:pPr>
      <w:r>
        <w:rPr>
          <w:b/>
          <w:color w:val="102227"/>
        </w:rPr>
        <w:t xml:space="preserve">Support inside the product: </w:t>
      </w:r>
      <w:r>
        <w:t>Create support tickets, use help/chat and FAQs, or contact support by phone.</w:t>
      </w:r>
    </w:p>
    <w:p>
      <w:pPr>
        <w:pStyle w:val="Heading1"/>
        <w:pBdr>
          <w:bottom w:val="single" w:sz="10" w:space="6" w:color="D9E2E3"/>
        </w:pBdr>
      </w:pPr>
      <w:r>
        <w:t>6. Supported Ecosystem</w:t>
      </w:r>
    </w:p>
    <w:tbl>
      <w:tblPr>
        <w:tblW w:type="auto" w:w="0"/>
        <w:jc w:val="center"/>
        <w:tblLayout w:type="fixed"/>
        <w:tblLook w:firstColumn="1" w:firstRow="1" w:lastColumn="0" w:lastRow="0" w:noHBand="0" w:noVBand="1" w:val="04A0"/>
      </w:tblPr>
      <w:tblGrid>
        <w:gridCol w:w="2880"/>
        <w:gridCol w:w="7128"/>
      </w:tblGrid>
      <w:tr>
        <w:tc>
          <w:tcPr>
            <w:tcW w:type="dxa" w:w="5112"/>
            <w:tcMar>
              <w:top w:w="85" w:type="dxa"/>
              <w:start w:w="110" w:type="dxa"/>
              <w:bottom w:w="85" w:type="dxa"/>
              <w:end w:w="110" w:type="dxa"/>
            </w:tcMar>
            <w:shd w:fill="F3F6F6"/>
          </w:tcPr>
          <w:p>
            <w:r>
              <w:rPr>
                <w:b/>
                <w:sz w:val="17"/>
              </w:rPr>
              <w:t>Commerce now</w:t>
            </w:r>
          </w:p>
        </w:tc>
        <w:tc>
          <w:tcPr>
            <w:tcW w:type="dxa" w:w="5112"/>
            <w:tcMar>
              <w:top w:w="85" w:type="dxa"/>
              <w:start w:w="110" w:type="dxa"/>
              <w:bottom w:w="85" w:type="dxa"/>
              <w:end w:w="110" w:type="dxa"/>
            </w:tcMar>
          </w:tcPr>
          <w:p>
            <w:r>
              <w:rPr>
                <w:b w:val="0"/>
                <w:sz w:val="17"/>
              </w:rPr>
              <w:t>Shopify, Shopify Plus</w:t>
            </w:r>
          </w:p>
        </w:tc>
      </w:tr>
      <w:tr>
        <w:tc>
          <w:tcPr>
            <w:tcW w:type="dxa" w:w="5112"/>
            <w:tcMar>
              <w:top w:w="85" w:type="dxa"/>
              <w:start w:w="110" w:type="dxa"/>
              <w:bottom w:w="85" w:type="dxa"/>
              <w:end w:w="110" w:type="dxa"/>
            </w:tcMar>
            <w:shd w:fill="F3F6F6"/>
          </w:tcPr>
          <w:p>
            <w:r>
              <w:rPr>
                <w:b/>
                <w:sz w:val="17"/>
              </w:rPr>
              <w:t>Upcoming</w:t>
            </w:r>
          </w:p>
        </w:tc>
        <w:tc>
          <w:tcPr>
            <w:tcW w:type="dxa" w:w="5112"/>
            <w:tcMar>
              <w:top w:w="85" w:type="dxa"/>
              <w:start w:w="110" w:type="dxa"/>
              <w:bottom w:w="85" w:type="dxa"/>
              <w:end w:w="110" w:type="dxa"/>
            </w:tcMar>
          </w:tcPr>
          <w:p>
            <w:r>
              <w:rPr>
                <w:b w:val="0"/>
                <w:sz w:val="17"/>
              </w:rPr>
              <w:t>BigCommerce and Magento, planned in approximately 3-4 months</w:t>
            </w:r>
          </w:p>
        </w:tc>
      </w:tr>
      <w:tr>
        <w:tc>
          <w:tcPr>
            <w:tcW w:type="dxa" w:w="5112"/>
            <w:tcMar>
              <w:top w:w="85" w:type="dxa"/>
              <w:start w:w="110" w:type="dxa"/>
              <w:bottom w:w="85" w:type="dxa"/>
              <w:end w:w="110" w:type="dxa"/>
            </w:tcMar>
            <w:shd w:fill="F3F6F6"/>
          </w:tcPr>
          <w:p>
            <w:r>
              <w:rPr>
                <w:b/>
                <w:sz w:val="17"/>
              </w:rPr>
              <w:t>Protocols</w:t>
            </w:r>
          </w:p>
        </w:tc>
        <w:tc>
          <w:tcPr>
            <w:tcW w:type="dxa" w:w="5112"/>
            <w:tcMar>
              <w:top w:w="85" w:type="dxa"/>
              <w:start w:w="110" w:type="dxa"/>
              <w:bottom w:w="85" w:type="dxa"/>
              <w:end w:w="110" w:type="dxa"/>
            </w:tcMar>
          </w:tcPr>
          <w:p>
            <w:r>
              <w:rPr>
                <w:b w:val="0"/>
                <w:sz w:val="17"/>
              </w:rPr>
              <w:t>cXML and OCI</w:t>
            </w:r>
          </w:p>
        </w:tc>
      </w:tr>
      <w:tr>
        <w:tc>
          <w:tcPr>
            <w:tcW w:type="dxa" w:w="5112"/>
            <w:tcMar>
              <w:top w:w="85" w:type="dxa"/>
              <w:start w:w="110" w:type="dxa"/>
              <w:bottom w:w="85" w:type="dxa"/>
              <w:end w:w="110" w:type="dxa"/>
            </w:tcMar>
            <w:shd w:fill="F3F6F6"/>
          </w:tcPr>
          <w:p>
            <w:r>
              <w:rPr>
                <w:b/>
                <w:sz w:val="17"/>
              </w:rPr>
              <w:t>Procurement systems</w:t>
            </w:r>
          </w:p>
        </w:tc>
        <w:tc>
          <w:tcPr>
            <w:tcW w:type="dxa" w:w="5112"/>
            <w:tcMar>
              <w:top w:w="85" w:type="dxa"/>
              <w:start w:w="110" w:type="dxa"/>
              <w:bottom w:w="85" w:type="dxa"/>
              <w:end w:w="110" w:type="dxa"/>
            </w:tcMar>
          </w:tcPr>
          <w:p>
            <w:r>
              <w:rPr>
                <w:b w:val="0"/>
                <w:sz w:val="17"/>
              </w:rPr>
              <w:t>Coupa, SAP Ariba, JAGGAER, Oracle Procurement, Workday, Ivalua, GEP and other compatible cXML/OCI environments</w:t>
            </w:r>
          </w:p>
        </w:tc>
      </w:tr>
    </w:tbl>
    <w:p>
      <w:pPr>
        <w:pStyle w:val="Heading1"/>
        <w:pBdr>
          <w:bottom w:val="single" w:sz="10" w:space="6" w:color="D9E2E3"/>
        </w:pBdr>
      </w:pPr>
      <w:r>
        <w:t>7. Who We Target</w:t>
      </w:r>
    </w:p>
    <w:p>
      <w:r>
        <w:rPr>
          <w:b/>
        </w:rPr>
        <w:t xml:space="preserve">Primary market: </w:t>
      </w:r>
      <w:r>
        <w:t>United States B2B suppliers selling to enterprise, institutional or procurement-led customers.</w:t>
      </w:r>
    </w:p>
    <w:p>
      <w:r>
        <w:rPr>
          <w:b/>
        </w:rPr>
        <w:t xml:space="preserve">Strongest buying trigger: </w:t>
      </w:r>
      <w:r>
        <w:t>A large customer asks the supplier, “Do you support PunchOut?”</w:t>
      </w:r>
    </w:p>
    <w:p>
      <w:r>
        <w:rPr>
          <w:b/>
        </w:rPr>
        <w:t xml:space="preserve">High-fit industries: </w:t>
      </w:r>
      <w:r>
        <w:t>Industrial/MRO, laboratory and scientific, healthcare supplies, electrical distribution, safety/PPE, facilities, office/furniture, IT/electronics, construction supplies, promotional products, print, uniforms and workwear.</w:t>
      </w:r>
    </w:p>
    <w:p>
      <w:r>
        <w:rPr>
          <w:b/>
        </w:rPr>
        <w:t xml:space="preserve">Typical stakeholders: </w:t>
      </w:r>
      <w:r>
        <w:t>Owner/CEO/President, Ecommerce or Digital Commerce leader, Sales leader, Operations leader, IT Director/CTO.</w:t>
      </w:r>
    </w:p>
    <w:p>
      <w:pPr>
        <w:pStyle w:val="Heading1"/>
        <w:pBdr>
          <w:bottom w:val="single" w:sz="10" w:space="6" w:color="D9E2E3"/>
        </w:pBdr>
      </w:pPr>
      <w:r>
        <w:t>8. Pricing Model</w:t>
      </w:r>
    </w:p>
    <w:tbl>
      <w:tblPr>
        <w:tblW w:type="auto" w:w="0"/>
        <w:jc w:val="center"/>
        <w:tblLayout w:type="fixed"/>
        <w:tblLook w:firstColumn="1" w:firstRow="1" w:lastColumn="0" w:lastRow="0" w:noHBand="0" w:noVBand="1" w:val="04A0"/>
      </w:tblPr>
      <w:tblGrid>
        <w:gridCol w:w="3024"/>
        <w:gridCol w:w="2880"/>
        <w:gridCol w:w="4104"/>
      </w:tblGrid>
      <w:tr>
        <w:tc>
          <w:tcPr>
            <w:tcW w:type="dxa" w:w="3408"/>
            <w:shd w:fill="102227"/>
            <w:tcMar>
              <w:top w:w="90" w:type="dxa"/>
              <w:start w:w="90" w:type="dxa"/>
              <w:bottom w:w="90" w:type="dxa"/>
              <w:end w:w="90" w:type="dxa"/>
            </w:tcMar>
          </w:tcPr>
          <w:p>
            <w:r>
              <w:rPr>
                <w:b/>
                <w:color w:val="FFFFFF"/>
                <w:sz w:val="17"/>
              </w:rPr>
              <w:t>Plan</w:t>
            </w:r>
          </w:p>
        </w:tc>
        <w:tc>
          <w:tcPr>
            <w:tcW w:type="dxa" w:w="3408"/>
            <w:shd w:fill="102227"/>
            <w:tcMar>
              <w:top w:w="90" w:type="dxa"/>
              <w:start w:w="90" w:type="dxa"/>
              <w:bottom w:w="90" w:type="dxa"/>
              <w:end w:w="90" w:type="dxa"/>
            </w:tcMar>
          </w:tcPr>
          <w:p>
            <w:r>
              <w:rPr>
                <w:b/>
                <w:color w:val="FFFFFF"/>
                <w:sz w:val="17"/>
              </w:rPr>
              <w:t>Monthly Price</w:t>
            </w:r>
          </w:p>
        </w:tc>
        <w:tc>
          <w:tcPr>
            <w:tcW w:type="dxa" w:w="3408"/>
            <w:shd w:fill="102227"/>
            <w:tcMar>
              <w:top w:w="90" w:type="dxa"/>
              <w:start w:w="90" w:type="dxa"/>
              <w:bottom w:w="90" w:type="dxa"/>
              <w:end w:w="90" w:type="dxa"/>
            </w:tcMar>
          </w:tcPr>
          <w:p>
            <w:r>
              <w:rPr>
                <w:b/>
                <w:color w:val="FFFFFF"/>
                <w:sz w:val="17"/>
              </w:rPr>
              <w:t>Included Connections</w:t>
            </w:r>
          </w:p>
        </w:tc>
      </w:tr>
      <w:tr>
        <w:tc>
          <w:tcPr>
            <w:tcW w:type="dxa" w:w="3408"/>
            <w:tcMar>
              <w:top w:w="90" w:type="dxa"/>
              <w:start w:w="90" w:type="dxa"/>
              <w:bottom w:w="90" w:type="dxa"/>
              <w:end w:w="90" w:type="dxa"/>
            </w:tcMar>
          </w:tcPr>
          <w:p>
            <w:r>
              <w:rPr>
                <w:b/>
                <w:sz w:val="17"/>
              </w:rPr>
              <w:t>Launch</w:t>
            </w:r>
          </w:p>
        </w:tc>
        <w:tc>
          <w:tcPr>
            <w:tcW w:type="dxa" w:w="3408"/>
            <w:tcMar>
              <w:top w:w="90" w:type="dxa"/>
              <w:start w:w="90" w:type="dxa"/>
              <w:bottom w:w="90" w:type="dxa"/>
              <w:end w:w="90" w:type="dxa"/>
            </w:tcMar>
          </w:tcPr>
          <w:p>
            <w:r>
              <w:rPr>
                <w:b w:val="0"/>
                <w:sz w:val="17"/>
              </w:rPr>
              <w:t>$500</w:t>
            </w:r>
          </w:p>
        </w:tc>
        <w:tc>
          <w:tcPr>
            <w:tcW w:type="dxa" w:w="3408"/>
            <w:tcMar>
              <w:top w:w="90" w:type="dxa"/>
              <w:start w:w="90" w:type="dxa"/>
              <w:bottom w:w="90" w:type="dxa"/>
              <w:end w:w="90" w:type="dxa"/>
            </w:tcMar>
          </w:tcPr>
          <w:p>
            <w:r>
              <w:rPr>
                <w:b w:val="0"/>
                <w:sz w:val="17"/>
              </w:rPr>
              <w:t>1</w:t>
            </w:r>
          </w:p>
        </w:tc>
      </w:tr>
      <w:tr>
        <w:tc>
          <w:tcPr>
            <w:tcW w:type="dxa" w:w="3408"/>
            <w:tcMar>
              <w:top w:w="90" w:type="dxa"/>
              <w:start w:w="90" w:type="dxa"/>
              <w:bottom w:w="90" w:type="dxa"/>
              <w:end w:w="90" w:type="dxa"/>
            </w:tcMar>
            <w:shd w:fill="F6F9F9"/>
          </w:tcPr>
          <w:p>
            <w:r>
              <w:rPr>
                <w:b/>
                <w:sz w:val="17"/>
              </w:rPr>
              <w:t>Growth</w:t>
            </w:r>
          </w:p>
        </w:tc>
        <w:tc>
          <w:tcPr>
            <w:tcW w:type="dxa" w:w="3408"/>
            <w:tcMar>
              <w:top w:w="90" w:type="dxa"/>
              <w:start w:w="90" w:type="dxa"/>
              <w:bottom w:w="90" w:type="dxa"/>
              <w:end w:w="90" w:type="dxa"/>
            </w:tcMar>
            <w:shd w:fill="F6F9F9"/>
          </w:tcPr>
          <w:p>
            <w:r>
              <w:rPr>
                <w:b w:val="0"/>
                <w:sz w:val="17"/>
              </w:rPr>
              <w:t>$1,000</w:t>
            </w:r>
          </w:p>
        </w:tc>
        <w:tc>
          <w:tcPr>
            <w:tcW w:type="dxa" w:w="3408"/>
            <w:tcMar>
              <w:top w:w="90" w:type="dxa"/>
              <w:start w:w="90" w:type="dxa"/>
              <w:bottom w:w="90" w:type="dxa"/>
              <w:end w:w="90" w:type="dxa"/>
            </w:tcMar>
            <w:shd w:fill="F6F9F9"/>
          </w:tcPr>
          <w:p>
            <w:r>
              <w:rPr>
                <w:b w:val="0"/>
                <w:sz w:val="17"/>
              </w:rPr>
              <w:t>Up to 4</w:t>
            </w:r>
          </w:p>
        </w:tc>
      </w:tr>
      <w:tr>
        <w:tc>
          <w:tcPr>
            <w:tcW w:type="dxa" w:w="3408"/>
            <w:tcMar>
              <w:top w:w="90" w:type="dxa"/>
              <w:start w:w="90" w:type="dxa"/>
              <w:bottom w:w="90" w:type="dxa"/>
              <w:end w:w="90" w:type="dxa"/>
            </w:tcMar>
          </w:tcPr>
          <w:p>
            <w:r>
              <w:rPr>
                <w:b/>
                <w:sz w:val="17"/>
              </w:rPr>
              <w:t>Scale</w:t>
            </w:r>
          </w:p>
        </w:tc>
        <w:tc>
          <w:tcPr>
            <w:tcW w:type="dxa" w:w="3408"/>
            <w:tcMar>
              <w:top w:w="90" w:type="dxa"/>
              <w:start w:w="90" w:type="dxa"/>
              <w:bottom w:w="90" w:type="dxa"/>
              <w:end w:w="90" w:type="dxa"/>
            </w:tcMar>
          </w:tcPr>
          <w:p>
            <w:r>
              <w:rPr>
                <w:b w:val="0"/>
                <w:sz w:val="17"/>
              </w:rPr>
              <w:t>$1,500</w:t>
            </w:r>
          </w:p>
        </w:tc>
        <w:tc>
          <w:tcPr>
            <w:tcW w:type="dxa" w:w="3408"/>
            <w:tcMar>
              <w:top w:w="90" w:type="dxa"/>
              <w:start w:w="90" w:type="dxa"/>
              <w:bottom w:w="90" w:type="dxa"/>
              <w:end w:w="90" w:type="dxa"/>
            </w:tcMar>
          </w:tcPr>
          <w:p>
            <w:r>
              <w:rPr>
                <w:b w:val="0"/>
                <w:sz w:val="17"/>
              </w:rPr>
              <w:t>Up to 7</w:t>
            </w:r>
          </w:p>
        </w:tc>
      </w:tr>
    </w:tbl>
    <w:p>
      <w:pPr>
        <w:spacing w:before="60"/>
      </w:pPr>
      <w:r>
        <w:rPr>
          <w:b/>
        </w:rPr>
        <w:t xml:space="preserve">Commercial rules: </w:t>
      </w:r>
      <w:r>
        <w:t>$200/month for each additional connection. A new buyer or additional store counts as a new connection. No setup fee. No transaction fee. Free onboarding assistance.</w:t>
      </w:r>
    </w:p>
    <w:p>
      <w:pPr>
        <w:pStyle w:val="Heading1"/>
        <w:pBdr>
          <w:bottom w:val="single" w:sz="10" w:space="6" w:color="D9E2E3"/>
        </w:pBdr>
      </w:pPr>
      <w:r>
        <w:t>9. Website &amp; SEO Direction</w:t>
      </w:r>
    </w:p>
    <w:p>
      <w:pPr>
        <w:spacing w:after="40"/>
        <w:ind w:left="173" w:hanging="173"/>
      </w:pPr>
      <w:r>
        <w:rPr>
          <w:color w:val="13B8A6"/>
        </w:rPr>
        <w:t xml:space="preserve">• </w:t>
      </w:r>
      <w:r>
        <w:rPr>
          <w:b/>
        </w:rPr>
        <w:t xml:space="preserve">Company positioning: </w:t>
      </w:r>
      <w:r>
        <w:t>PunchOut Central is a procurement-to-commerce connectivity platform, not only a Shopify app.</w:t>
      </w:r>
    </w:p>
    <w:p>
      <w:pPr>
        <w:spacing w:after="40"/>
        <w:ind w:left="173" w:hanging="173"/>
      </w:pPr>
      <w:r>
        <w:rPr>
          <w:color w:val="13B8A6"/>
        </w:rPr>
        <w:t xml:space="preserve">• </w:t>
      </w:r>
      <w:r>
        <w:rPr>
          <w:b/>
        </w:rPr>
        <w:t xml:space="preserve">Current product message: </w:t>
      </w:r>
      <w:r>
        <w:t>Shopify and Shopify Plus are available now. BigCommerce and Magento are upcoming.</w:t>
      </w:r>
    </w:p>
    <w:p>
      <w:pPr>
        <w:spacing w:after="40"/>
        <w:ind w:left="173" w:hanging="173"/>
      </w:pPr>
      <w:r>
        <w:rPr>
          <w:color w:val="13B8A6"/>
        </w:rPr>
        <w:t xml:space="preserve">• </w:t>
      </w:r>
      <w:r>
        <w:rPr>
          <w:b/>
        </w:rPr>
        <w:t xml:space="preserve">Lead with the business problem: </w:t>
      </w:r>
      <w:r>
        <w:t>Enterprise buyer requires PunchOut. The supplier should not lose the opportunity because of a technical requirement.</w:t>
      </w:r>
    </w:p>
    <w:p>
      <w:pPr>
        <w:spacing w:after="40"/>
        <w:ind w:left="173" w:hanging="173"/>
      </w:pPr>
      <w:r>
        <w:rPr>
          <w:color w:val="13B8A6"/>
        </w:rPr>
        <w:t xml:space="preserve">• </w:t>
      </w:r>
      <w:r>
        <w:rPr>
          <w:b/>
        </w:rPr>
        <w:t xml:space="preserve">Lead with scalable architecture: </w:t>
      </w:r>
      <w:r>
        <w:t>One store to many buyers. Multiple stores and buyers managed centrally.</w:t>
      </w:r>
    </w:p>
    <w:p>
      <w:pPr>
        <w:spacing w:after="40"/>
        <w:ind w:left="173" w:hanging="173"/>
      </w:pPr>
      <w:r>
        <w:rPr>
          <w:color w:val="13B8A6"/>
        </w:rPr>
        <w:t xml:space="preserve">• </w:t>
      </w:r>
      <w:r>
        <w:rPr>
          <w:b/>
        </w:rPr>
        <w:t xml:space="preserve">Show the full lifecycle: </w:t>
      </w:r>
      <w:r>
        <w:t>PunchOut to cart, approval, PO, store order and invoice.</w:t>
      </w:r>
    </w:p>
    <w:p>
      <w:pPr>
        <w:spacing w:after="40"/>
        <w:ind w:left="173" w:hanging="173"/>
      </w:pPr>
      <w:r>
        <w:rPr>
          <w:color w:val="13B8A6"/>
        </w:rPr>
        <w:t xml:space="preserve">• </w:t>
      </w:r>
      <w:r>
        <w:rPr>
          <w:b/>
        </w:rPr>
        <w:t xml:space="preserve">Use specific SEO pages: </w:t>
      </w:r>
      <w:r>
        <w:t>Shopify PunchOut, cXML PunchOut, OCI PunchOut, Coupa integration, SAP Ariba integration, JAGGAER, Oracle, Workday, Ivalua, GEP, plus industry pages.</w:t>
      </w:r>
    </w:p>
    <w:p>
      <w:pPr>
        <w:spacing w:after="40"/>
        <w:ind w:left="173" w:hanging="173"/>
      </w:pPr>
      <w:r>
        <w:rPr>
          <w:color w:val="13B8A6"/>
        </w:rPr>
        <w:t xml:space="preserve">• </w:t>
      </w:r>
      <w:r>
        <w:rPr>
          <w:b/>
        </w:rPr>
        <w:t xml:space="preserve">Avoid overclaiming: </w:t>
      </w:r>
      <w:r>
        <w:t>Do not describe BigCommerce/Magento as live until released. Do not claim pricing or automation behavior that is not currently supported.</w:t>
      </w:r>
    </w:p>
    <w:p>
      <w:pPr>
        <w:pStyle w:val="Heading1"/>
        <w:pBdr>
          <w:bottom w:val="single" w:sz="10" w:space="6" w:color="D9E2E3"/>
        </w:pBdr>
      </w:pPr>
      <w:r>
        <w:t>10. Messaging to Keep Consistent</w:t>
      </w:r>
    </w:p>
    <w:tbl>
      <w:tblPr>
        <w:tblW w:type="auto" w:w="0"/>
        <w:jc w:val="center"/>
        <w:tblLook w:firstColumn="1" w:firstRow="1" w:lastColumn="0" w:lastRow="0" w:noHBand="0" w:noVBand="1" w:val="04A0"/>
      </w:tblPr>
      <w:tblGrid>
        <w:gridCol w:w="10224"/>
      </w:tblGrid>
      <w:tr>
        <w:tc>
          <w:tcPr>
            <w:tcW w:type="dxa" w:w="10224"/>
            <w:shd w:fill="E9F8F5"/>
            <w:tcMar>
              <w:top w:w="130" w:type="dxa"/>
              <w:start w:w="160" w:type="dxa"/>
              <w:bottom w:w="130" w:type="dxa"/>
              <w:end w:w="160" w:type="dxa"/>
            </w:tcMar>
          </w:tcPr>
          <w:p>
            <w:pPr>
              <w:spacing w:after="30"/>
            </w:pPr>
            <w:r>
              <w:rPr>
                <w:b/>
                <w:color w:val="102227"/>
                <w:sz w:val="18"/>
              </w:rPr>
              <w:t>• Connect once. Keep adding buyers.</w:t>
            </w:r>
          </w:p>
          <w:p>
            <w:pPr>
              <w:spacing w:after="30"/>
            </w:pPr>
            <w:r>
              <w:rPr>
                <w:b/>
                <w:color w:val="102227"/>
                <w:sz w:val="18"/>
              </w:rPr>
              <w:t>• Keep your existing ecommerce store. Add PunchOut on top of it.</w:t>
            </w:r>
          </w:p>
          <w:p>
            <w:pPr>
              <w:spacing w:after="30"/>
            </w:pPr>
            <w:r>
              <w:rPr>
                <w:b/>
                <w:color w:val="102227"/>
                <w:sz w:val="18"/>
              </w:rPr>
              <w:t>• Manage all your stores, buyers and transactions from one central place.</w:t>
            </w:r>
          </w:p>
          <w:p>
            <w:pPr>
              <w:spacing w:after="30"/>
            </w:pPr>
            <w:r>
              <w:rPr>
                <w:b/>
                <w:color w:val="102227"/>
                <w:sz w:val="18"/>
              </w:rPr>
              <w:t>• See the entire journey from PunchOut to invoice.</w:t>
            </w:r>
          </w:p>
          <w:p>
            <w:pPr>
              <w:spacing w:after="30"/>
            </w:pPr>
            <w:r>
              <w:rPr>
                <w:b/>
                <w:color w:val="102227"/>
                <w:sz w:val="18"/>
              </w:rPr>
              <w:t>• If something breaks, see where it broke and why.</w:t>
            </w:r>
          </w:p>
        </w:tc>
      </w:tr>
    </w:tbl>
    <w:p>
      <w:pPr>
        <w:spacing w:before="140"/>
        <w:jc w:val="center"/>
      </w:pPr>
      <w:r>
        <w:rPr>
          <w:i/>
          <w:color w:val="5C6A6F"/>
          <w:sz w:val="16"/>
        </w:rPr>
        <w:t>Use this playbook as the source of truth when writing website copy, SEO pages, sales material, product descriptions and internal briefs.</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707A7E"/>
        <w:sz w:val="15"/>
      </w:rPr>
      <w:t>Internal source of truth for website, SEO, sales and content teams</w:t>
    </w:r>
  </w:p>
  <w:p>
    <w:pPr>
      <w:jc w:val="center"/>
    </w:pPr>
    <w:r>
      <w:rPr>
        <w:color w:val="8C9497"/>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5C6A6F"/>
        <w:sz w:val="15"/>
      </w:rPr>
      <w:t>PUNCHOUT CENTRAL  |  INTERNAL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9" w:lineRule="auto"/>
    </w:pPr>
    <w:rPr>
      <w:rFonts w:ascii="Noto Sans" w:hAnsi="Noto Sans"/>
      <w:color w:val="2C37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w:hAnsi="Noto Sans"/>
      <w:b/>
      <w:bCs/>
      <w:color w:val="102227"/>
      <w:sz w:val="29"/>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Noto Sans" w:hAnsi="Noto Sans"/>
      <w:b/>
      <w:bCs/>
      <w:color w:val="0084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Noto Sans" w:hAnsi="Noto Sans"/>
      <w:b/>
      <w:color w:val="1022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PunchOut Central Product &amp; Website Playbook</dc:title>
  <dc:subject>Internal product, positioning and website source of truth</dc:subject>
  <dc:creator>PunchOut Central</dc:creator>
  <cp:keywords/>
  <dc:description>generated by python-docx</dc:description>
  <cp:lastModifiedBy/>
  <cp:revision>1</cp:revision>
  <dcterms:created xsi:type="dcterms:W3CDTF">2013-12-23T23:15:00Z</dcterms:created>
  <dcterms:modified xsi:type="dcterms:W3CDTF">2013-12-23T23:15:00Z</dcterms:modified>
  <cp:category/>
</cp:coreProperties>
</file>