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5-Entrenar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r>
        <w:t>Esta instrucción es fundamental: demuestra por qué necesitamos entrenar el modelo con datos propios — un modelo genérico no conoce información específica sobre una persona o institución.</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r>
        <w:t>El dataset completo tiene 20 pares cubriendo: identidad, profesión, lenguajes, experiencia web, libros, Jocarsa, IA, modelos, administración de sistemas, Moodle, gráficos, preferencias de estilo, y el objetivo del entrenamiento.</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r>
        <w:t>El modelo fusionado (</w:t>
      </w:r>
      <w:r>
        <w:rPr>
          <w:rFonts w:ascii="Consolas" w:hAnsi="Consolas"/>
          <w:color w:val="C7254E"/>
          <w:sz w:val="18"/>
        </w:rPr>
        <w:t>.safetensors</w:t>
      </w:r>
      <w:r>
        <w:t>) se puede usar sin necesidad de cargar el adaptador LoRA por separado, simplificando la inferencia.</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r>
        <w:t>Si el modelo asigna mayor probabilidad a la respuesta correcta, el entrenamiento ha funcionado.</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r>
        <w:t>El CSS incluye modo oscuro automático (</w:t>
      </w:r>
      <w:r>
        <w:rPr>
          <w:rFonts w:ascii="Consolas" w:hAnsi="Consolas"/>
          <w:color w:val="C7254E"/>
          <w:sz w:val="18"/>
        </w:rPr>
        <w:t>prefers-color-scheme: dark</w:t>
      </w:r>
      <w:r>
        <w:t>), animación de typing con parpadeo, transiciones en botones y diseño responsive.</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r>
        <w:t>El patrón singleton evita recargar el modelo en cada petición, ahorrando memoria y tiempo.</w:t>
      </w:r>
    </w:p>
    <w:p>
      <w:pPr>
        <w:pStyle w:val="Heading2"/>
      </w:pPr>
      <w:r>
        <w:t>Presentación del proyecto</w:t>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