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docs/index.html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r>
        <w:t xml:space="preserve">El </w:t>
      </w:r>
      <w:r>
        <w:rPr>
          <w:rFonts w:ascii="Consolas" w:hAnsi="Consolas"/>
          <w:color w:val="C7254E"/>
          <w:sz w:val="18"/>
        </w:rPr>
        <w:t>revalidatePath('/')</w:t>
      </w:r>
      <w:r>
        <w:t xml:space="preserve"> tras cada mutación fuerza a Next.js a refetchear los datos del servidor.</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r>
        <w:t>Este patrón de Next.js permite que el data fetching se haga en el servidor sin exponer las queries al cliente, pasando los datos como props al Client Component para la interactividad.</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MenuSpreader.png"/>
                    <pic:cNvPicPr/>
                  </pic:nvPicPr>
                  <pic:blipFill>
                    <a:blip r:embed="rId9"/>
                    <a:stretch>
                      <a:fillRect/>
                    </a:stretch>
                  </pic:blipFill>
                  <pic:spPr>
                    <a:xfrm>
                      <a:off x="0" y="0"/>
                      <a:ext cx="5486400" cy="3857625"/>
                    </a:xfrm>
                    <a:prstGeom prst="rect"/>
                  </pic:spPr>
                </pic:pic>
              </a:graphicData>
            </a:graphic>
          </wp:inline>
        </w:drawing>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