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72"/>
        </w:rPr>
        <w:t>KARIBU CREDIT</w:t>
      </w:r>
    </w:p>
    <w:p>
      <w:pPr>
        <w:jc w:val="center"/>
      </w:pPr>
      <w:r>
        <w:rPr>
          <w:color w:val="475569"/>
          <w:sz w:val="36"/>
        </w:rPr>
        <w:t>Dashboard Visual Mockups</w:t>
        <w:br/>
        <w:t>&amp; Workflow Diagram Implementation Guide</w:t>
      </w:r>
    </w:p>
    <w:p>
      <w:pPr>
        <w:jc w:val="center"/>
      </w:pPr>
      <w:r>
        <w:rPr>
          <w:color w:val="94A3B8"/>
          <w:sz w:val="20"/>
        </w:rPr>
        <w:t>7 Role Dashboards  ·  5 Workflow Diagrams  ·  Full Implementation Notes</w:t>
      </w:r>
    </w:p>
    <w:p>
      <w:pPr>
        <w:jc w:val="center"/>
      </w:pPr>
      <w:r>
        <w:rPr>
          <w:color w:val="94A3B8"/>
          <w:sz w:val="18"/>
        </w:rPr>
        <w:t>Karibu Credit Ltd  ·  CBK NDTCP Regulated  ·  Version 1.0  ·  May 2026</w:t>
      </w:r>
    </w:p>
    <w:p>
      <w:r>
        <w:br w:type="page"/>
      </w:r>
    </w:p>
    <w:p>
      <w:pPr>
        <w:pStyle w:val="Heading1"/>
      </w:pPr>
      <w:r>
        <w:t>How the Diagrams Were Generated</w:t>
      </w:r>
    </w:p>
    <w:p>
      <w:r>
        <w:t>Every workflow diagram and dashboard wireframe in this document was produced entirely in Python using Matplotlib — no design tool, no external assets, no SVG editor. Each diagram is rendered as a high-resolution PNG (180 DPI) and embedded directly into this Word document using the python-docx library.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>
              <w:t>Library</w:t>
            </w:r>
          </w:p>
        </w:tc>
        <w:tc>
          <w:tcPr>
            <w:tcW w:type="dxa" w:w="4857"/>
          </w:tcPr>
          <w:p>
            <w:r>
              <w:t>Version</w:t>
            </w:r>
          </w:p>
        </w:tc>
        <w:tc>
          <w:tcPr>
            <w:tcW w:type="dxa" w:w="4857"/>
          </w:tcPr>
          <w:p>
            <w:r>
              <w:t>Role</w:t>
            </w:r>
          </w:p>
        </w:tc>
      </w:tr>
      <w:tr>
        <w:tc>
          <w:tcPr>
            <w:tcW w:type="dxa" w:w="4857"/>
          </w:tcPr>
          <w:p>
            <w:r>
              <w:t>matplotlib</w:t>
            </w:r>
          </w:p>
        </w:tc>
        <w:tc>
          <w:tcPr>
            <w:tcW w:type="dxa" w:w="4857"/>
          </w:tcPr>
          <w:p>
            <w:r>
              <w:t>3.10.x</w:t>
            </w:r>
          </w:p>
        </w:tc>
        <w:tc>
          <w:tcPr>
            <w:tcW w:type="dxa" w:w="4857"/>
          </w:tcPr>
          <w:p>
            <w:r>
              <w:t>Main drawing engine — axes, patches, text, arrows, charts</w:t>
            </w:r>
          </w:p>
        </w:tc>
      </w:tr>
      <w:tr>
        <w:tc>
          <w:tcPr>
            <w:tcW w:type="dxa" w:w="4857"/>
          </w:tcPr>
          <w:p>
            <w:r>
              <w:t>matplotlib.patches</w:t>
            </w:r>
          </w:p>
        </w:tc>
        <w:tc>
          <w:tcPr>
            <w:tcW w:type="dxa" w:w="4857"/>
          </w:tcPr>
          <w:p>
            <w:r>
              <w:t>Built-in</w:t>
            </w:r>
          </w:p>
        </w:tc>
        <w:tc>
          <w:tcPr>
            <w:tcW w:type="dxa" w:w="4857"/>
          </w:tcPr>
          <w:p>
            <w:r>
              <w:t>FancyBboxPatch for rounded boxes, FancyArrowPatch for arrows</w:t>
            </w:r>
          </w:p>
        </w:tc>
      </w:tr>
      <w:tr>
        <w:tc>
          <w:tcPr>
            <w:tcW w:type="dxa" w:w="4857"/>
          </w:tcPr>
          <w:p>
            <w:r>
              <w:t>numpy</w:t>
            </w:r>
          </w:p>
        </w:tc>
        <w:tc>
          <w:tcPr>
            <w:tcW w:type="dxa" w:w="4857"/>
          </w:tcPr>
          <w:p>
            <w:r>
              <w:t>2.4.x</w:t>
            </w:r>
          </w:p>
        </w:tc>
        <w:tc>
          <w:tcPr>
            <w:tcW w:type="dxa" w:w="4857"/>
          </w:tcPr>
          <w:p>
            <w:r>
              <w:t>Data arrays for chart series, score distributions, trend lines</w:t>
            </w:r>
          </w:p>
        </w:tc>
      </w:tr>
      <w:tr>
        <w:tc>
          <w:tcPr>
            <w:tcW w:type="dxa" w:w="4857"/>
          </w:tcPr>
          <w:p>
            <w:r>
              <w:t>Pillow (PIL)</w:t>
            </w:r>
          </w:p>
        </w:tc>
        <w:tc>
          <w:tcPr>
            <w:tcW w:type="dxa" w:w="4857"/>
          </w:tcPr>
          <w:p>
            <w:r>
              <w:t>12.x</w:t>
            </w:r>
          </w:p>
        </w:tc>
        <w:tc>
          <w:tcPr>
            <w:tcW w:type="dxa" w:w="4857"/>
          </w:tcPr>
          <w:p>
            <w:r>
              <w:t>PNG encoding — required by matplotlib Agg backend</w:t>
            </w:r>
          </w:p>
        </w:tc>
      </w:tr>
      <w:tr>
        <w:tc>
          <w:tcPr>
            <w:tcW w:type="dxa" w:w="4857"/>
          </w:tcPr>
          <w:p>
            <w:r>
              <w:t>python-docx</w:t>
            </w:r>
          </w:p>
        </w:tc>
        <w:tc>
          <w:tcPr>
            <w:tcW w:type="dxa" w:w="4857"/>
          </w:tcPr>
          <w:p>
            <w:r>
              <w:t>1.2.x</w:t>
            </w:r>
          </w:p>
        </w:tc>
        <w:tc>
          <w:tcPr>
            <w:tcW w:type="dxa" w:w="4857"/>
          </w:tcPr>
          <w:p>
            <w:r>
              <w:t>Embedding PNG bytes into Word .docx via InlineShape</w:t>
            </w:r>
          </w:p>
        </w:tc>
      </w:tr>
    </w:tbl>
    <w:p>
      <w:r>
        <w:br w:type="page"/>
      </w:r>
    </w:p>
    <w:p>
      <w:pPr>
        <w:pStyle w:val="Heading1"/>
      </w:pPr>
      <w:r>
        <w:t>Section 1: Workflow Diagrams</w:t>
      </w:r>
    </w:p>
    <w:p>
      <w:pPr>
        <w:pStyle w:val="Heading2"/>
      </w:pPr>
      <w:r>
        <w:t>1.1 Loan Application &amp; Disbursement Flow</w:t>
      </w:r>
    </w:p>
    <w:p>
      <w:r>
        <w:t>This flow illustrates the origination logic, showing how the system branches depending on whether the loan requires a single lump-sum payout or stage-wise tranches.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59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5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1.2 M-Pesa C2B Repayment &amp; Auto-Clearing</w:t>
      </w:r>
    </w:p>
    <w:p>
      <w:r>
        <w:t>Maps the Safaricom Daraja webhook integration that processes incoming Paybill payments and auto-clears the loan when the outstanding balance reaches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090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09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1.3 Nightly Penalties &amp; Defaults (Cron Job)</w:t>
      </w:r>
    </w:p>
    <w:p>
      <w:r>
        <w:t>Maps the logic within scripts/daily_penalties.py which runs at midnight to catch overdue borrowers and apply the configured penalty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6428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642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1.4 Loan Top-Up &amp; Settlement Flow</w:t>
      </w:r>
    </w:p>
    <w:p>
      <w:r>
        <w:t>New feature flow: existing borrowers request additional credit on active loans. The system merges balances and recalculates the amortization schedule.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72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7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1.5 Group Lending — Joint Liability Disbursement</w:t>
      </w:r>
    </w:p>
    <w:p>
      <w:r>
        <w:t>New feature flow: group lending where members share joint liability. If one member defaults, the remaining group members cover the shortfall.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59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5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2: Role-Based Dashboard Wireframes</w:t>
      </w:r>
    </w:p>
    <w:p>
      <w:r>
        <w:t>Each dashboard below is tailored to a specific operational role within Karibu Credit. The admin panel includes a role-preview switcher that lets privileged users view any dashboard without changing actual permissions.</w:t>
      </w:r>
    </w:p>
    <w:p>
      <w:pPr>
        <w:pStyle w:val="Heading2"/>
      </w:pPr>
      <w:r>
        <w:t>2.1 CEO / Managing Director</w:t>
      </w:r>
    </w:p>
    <w:p>
      <w:r>
        <w:t>Executive overview with KPI metrics (Total Portfolio, Revenue, Profit Margin, Active Customers), disbursement vs collection bar chart, and portfolio product mix doughnut.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2.2 CFO / Finance</w:t>
      </w:r>
    </w:p>
    <w:p>
      <w:r>
        <w:t>Financial dashboard showing revenue streams (Interest Income, Processing Fees, Gross Profit), Daraja B2C/C2B settlement audit table, and provision reserve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2.3 Branch Manager</w:t>
      </w:r>
    </w:p>
    <w:p>
      <w:r>
        <w:t>Branch-level dashboard with officer performance board (TAT, PAR 30 per officer), branch portfolio stats, and PAR aging breakdown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2.4 Loan Officer</w:t>
      </w:r>
    </w:p>
    <w:p>
      <w:r>
        <w:t>Operational dashboard with pending application queue, appraisal checklist panel, and approval workflow controls (Approve/Reject/Escalate).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2.5 Collections Officer</w:t>
      </w:r>
    </w:p>
    <w:p>
      <w:r>
        <w:t>Recovery-focused dashboard with Kanban-style arrears board (1-30 days, 31-60 days, 60+ days), restructuring controls, and CRB submission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2.6 Compliance Officer</w:t>
      </w:r>
    </w:p>
    <w:p>
      <w:r>
        <w:t>Regulatory compliance dashboard with CBK filing tracker, AML transaction flags, and KYC verification queue with 48-hour SLA monitoring.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2.7 Credit Scoring Engine</w:t>
      </w:r>
    </w:p>
    <w:p>
      <w:r>
        <w:t>Analytical dashboard with score distribution histogram, model weight tuning controls, and credit tier eligibility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811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8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3: Implementation Notes</w:t>
      </w:r>
    </w:p>
    <w:p>
      <w:pPr>
        <w:pStyle w:val="Heading2"/>
      </w:pPr>
      <w:r>
        <w:t>3.1 Clean Architecture (Dependency Rule)</w:t>
      </w:r>
    </w:p>
    <w:p>
      <w:r>
        <w:t>The Domain Layer is the inner-most layer. It must not import from Infrastructure. Application services orchestrate use cases by calling domain entities and repository ports. Infrastructure adapters (Daraja, ZamuPay, SQLAlchemy) implement these ports.</w:t>
      </w:r>
    </w:p>
    <w:p>
      <w:pPr>
        <w:pStyle w:val="Heading2"/>
      </w:pPr>
      <w:r>
        <w:t>3.2 Security &amp; CBK Compliance</w:t>
      </w:r>
    </w:p>
    <w:p>
      <w:r>
        <w:t>All endpoints enforce JWT-based RBAC. Audit trails log every sensitive action (loan approvals, borrower onboarding, CRB checks, policy changes). PAR thresholds (PAR 30 &lt; 5%, NPL &lt; 3%) are monitored and reported to CBK per NDTCP Regulations.</w:t>
      </w:r>
    </w:p>
    <w:p>
      <w:pPr>
        <w:pStyle w:val="Heading2"/>
      </w:pPr>
      <w:r>
        <w:t>3.3 Repayment Allocation Waterfall</w:t>
      </w:r>
    </w:p>
    <w:p>
      <w:r>
        <w:t>Incoming payments are allocated in order: (1) Outstanding Penalties/Fees, (2) Scheduled Installments (interest first, then principal per line), (3) Overpayment to global principal, (4) Auto-clearing if balance ≤ 0.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