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64"/>
        <w:jc w:val="left"/>
      </w:pPr>
      <w:r>
        <w:rPr>
          <w:rFonts w:ascii="Times New Roman" w:cs="Times New Roman" w:eastAsia="Times New Roman" w:hAnsi="Times New Roman"/>
          <w:b/>
          <w:bCs/>
          <w:i w:val="false"/>
          <w:iCs w:val="false"/>
          <w:color w:val="1F2A44"/>
          <w:sz w:val="30"/>
          <w:szCs w:val="30"/>
        </w:rPr>
        <w:t xml:space="preserve">MUTHI SOLUTIONS</w:t>
      </w:r>
    </w:p>
    <w:p>
      <w:pPr>
        <w:spacing w:after="130" w:before="0" w:line="264"/>
        <w:jc w:val="left"/>
      </w:pPr>
      <w:r>
        <w:rPr>
          <w:rFonts w:ascii="Times New Roman" w:cs="Times New Roman" w:eastAsia="Times New Roman" w:hAnsi="Times New Roman"/>
          <w:b w:val="false"/>
          <w:bCs w:val="false"/>
          <w:i w:val="false"/>
          <w:iCs w:val="false"/>
          <w:color w:val="6B6B6B"/>
          <w:sz w:val="16"/>
          <w:szCs w:val="16"/>
        </w:rPr>
        <w:t xml:space="preserve">RCCM CIABJ-03-2025-B12-04241 · Rue Beta Simons 230, Cocody Riviera Bonoumin, Abidjan</w:t>
      </w:r>
    </w:p>
    <w:p>
      <w:pPr>
        <w:pBdr>
          <w:bottom w:val="single" w:color="8A6D1F" w:sz="8" w:space="3"/>
        </w:pBdr>
        <w:spacing w:after="170" w:before="0"/>
      </w:pPr>
    </w:p>
    <w:p>
      <w:pPr>
        <w:spacing w:after="60" w:before="100"/>
        <w:jc w:val="center"/>
      </w:pPr>
      <w:r>
        <w:rPr>
          <w:rFonts w:ascii="Times New Roman" w:cs="Times New Roman" w:eastAsia="Times New Roman" w:hAnsi="Times New Roman"/>
          <w:b/>
          <w:bCs/>
          <w:i w:val="false"/>
          <w:iCs w:val="false"/>
          <w:color w:val="1F2A44"/>
          <w:sz w:val="30"/>
          <w:szCs w:val="30"/>
        </w:rPr>
        <w:t xml:space="preserve">CONVENTION DE PRÊT</w:t>
      </w:r>
    </w:p>
    <w:p>
      <w:pPr>
        <w:spacing w:after="240"/>
        <w:jc w:val="center"/>
      </w:pPr>
      <w:r>
        <w:rPr>
          <w:rFonts w:ascii="Times New Roman" w:cs="Times New Roman" w:eastAsia="Times New Roman" w:hAnsi="Times New Roman"/>
          <w:b w:val="false"/>
          <w:bCs w:val="false"/>
          <w:i/>
          <w:iCs/>
          <w:color w:val="6B6B6B"/>
          <w:sz w:val="19"/>
          <w:szCs w:val="19"/>
        </w:rPr>
        <w:t xml:space="preserve">Financement personnel · M. Ane Jean Philippe Ane</w:t>
      </w:r>
    </w:p>
    <w:p>
      <w:pPr>
        <w:spacing w:after="100" w:before="0" w:line="264"/>
        <w:jc w:val="left"/>
      </w:pPr>
      <w:r>
        <w:rPr>
          <w:rFonts w:ascii="Times New Roman" w:cs="Times New Roman" w:eastAsia="Times New Roman" w:hAnsi="Times New Roman"/>
          <w:b/>
          <w:bCs/>
          <w:i w:val="false"/>
          <w:iCs w:val="false"/>
          <w:color w:val="1A1A1A"/>
          <w:sz w:val="20"/>
          <w:szCs w:val="20"/>
        </w:rPr>
        <w:t xml:space="preserve">ENTRE LES SOUSSIGNÉS :</w:t>
      </w:r>
    </w:p>
    <w:p>
      <w:pPr>
        <w:spacing w:after="140" w:before="0" w:line="264"/>
        <w:jc w:val="both"/>
      </w:pPr>
      <w:r>
        <w:rPr>
          <w:rFonts w:ascii="Times New Roman" w:cs="Times New Roman" w:eastAsia="Times New Roman" w:hAnsi="Times New Roman"/>
          <w:b/>
          <w:bCs/>
          <w:i w:val="false"/>
          <w:iCs w:val="false"/>
          <w:color w:val="1A1A1A"/>
          <w:sz w:val="20"/>
          <w:szCs w:val="20"/>
        </w:rPr>
        <w:t xml:space="preserve">MUTHI SOLUTIONS</w:t>
      </w:r>
      <w:r>
        <w:rPr>
          <w:rFonts w:ascii="Times New Roman" w:cs="Times New Roman" w:eastAsia="Times New Roman" w:hAnsi="Times New Roman"/>
          <w:b w:val="false"/>
          <w:bCs w:val="false"/>
          <w:i w:val="false"/>
          <w:iCs w:val="false"/>
          <w:color w:val="1A1A1A"/>
          <w:sz w:val="20"/>
          <w:szCs w:val="20"/>
        </w:rPr>
        <w:t xml:space="preserve">, société à responsabilité limitée de droit ivoirien, immatriculée au Registre du Commerce et du Crédit Mobilier d'Abidjan sous le numéro </w:t>
      </w:r>
      <w:r>
        <w:rPr>
          <w:rFonts w:ascii="Times New Roman" w:cs="Times New Roman" w:eastAsia="Times New Roman" w:hAnsi="Times New Roman"/>
          <w:b/>
          <w:bCs/>
          <w:i w:val="false"/>
          <w:iCs w:val="false"/>
          <w:color w:val="1A1A1A"/>
          <w:sz w:val="20"/>
          <w:szCs w:val="20"/>
        </w:rPr>
        <w:t xml:space="preserve">CIABJ-03-2025-B12-04241</w:t>
      </w:r>
      <w:r>
        <w:rPr>
          <w:rFonts w:ascii="Times New Roman" w:cs="Times New Roman" w:eastAsia="Times New Roman" w:hAnsi="Times New Roman"/>
          <w:b w:val="false"/>
          <w:bCs w:val="false"/>
          <w:i w:val="false"/>
          <w:iCs w:val="false"/>
          <w:color w:val="1A1A1A"/>
          <w:sz w:val="20"/>
          <w:szCs w:val="20"/>
        </w:rPr>
        <w:t xml:space="preserve">, dont le siège social est situé à Rue Beta Simons 230, Cocody Riviera Bonoumin, Abidjan, représentée par </w:t>
      </w:r>
      <w:r>
        <w:rPr>
          <w:rFonts w:ascii="Times New Roman" w:cs="Times New Roman" w:eastAsia="Times New Roman" w:hAnsi="Times New Roman"/>
          <w:b/>
          <w:bCs/>
          <w:i w:val="false"/>
          <w:iCs w:val="false"/>
          <w:color w:val="1A1A1A"/>
          <w:sz w:val="20"/>
          <w:szCs w:val="20"/>
        </w:rPr>
        <w:t xml:space="preserve">M. Brou Jean-Philippe Bénie</w:t>
      </w:r>
      <w:r>
        <w:rPr>
          <w:rFonts w:ascii="Times New Roman" w:cs="Times New Roman" w:eastAsia="Times New Roman" w:hAnsi="Times New Roman"/>
          <w:b w:val="false"/>
          <w:bCs w:val="false"/>
          <w:i w:val="false"/>
          <w:iCs w:val="false"/>
          <w:color w:val="1A1A1A"/>
          <w:sz w:val="20"/>
          <w:szCs w:val="20"/>
        </w:rPr>
        <w:t xml:space="preserve">, en sa qualité de Directeur Général, dûment habilité à l'effet des présentes,</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Ci-après dénommée le « </w:t>
      </w:r>
      <w:r>
        <w:rPr>
          <w:rFonts w:ascii="Times New Roman" w:cs="Times New Roman" w:eastAsia="Times New Roman" w:hAnsi="Times New Roman"/>
          <w:b/>
          <w:bCs/>
          <w:i w:val="false"/>
          <w:iCs w:val="false"/>
          <w:color w:val="1A1A1A"/>
          <w:sz w:val="20"/>
          <w:szCs w:val="20"/>
        </w:rPr>
        <w:t xml:space="preserve">Prêteur</w:t>
      </w:r>
      <w:r>
        <w:rPr>
          <w:rFonts w:ascii="Times New Roman" w:cs="Times New Roman" w:eastAsia="Times New Roman" w:hAnsi="Times New Roman"/>
          <w:b w:val="false"/>
          <w:bCs w:val="false"/>
          <w:i w:val="false"/>
          <w:iCs w:val="false"/>
          <w:color w:val="1A1A1A"/>
          <w:sz w:val="20"/>
          <w:szCs w:val="20"/>
        </w:rPr>
        <w:t xml:space="preserve"> »,</w:t>
      </w:r>
    </w:p>
    <w:p>
      <w:pPr>
        <w:spacing w:after="160" w:before="40" w:line="264"/>
        <w:jc w:val="left"/>
      </w:pPr>
      <w:r>
        <w:rPr>
          <w:rFonts w:ascii="Times New Roman" w:cs="Times New Roman" w:eastAsia="Times New Roman" w:hAnsi="Times New Roman"/>
          <w:b/>
          <w:bCs/>
          <w:i w:val="false"/>
          <w:iCs w:val="false"/>
          <w:color w:val="1A1A1A"/>
          <w:sz w:val="20"/>
          <w:szCs w:val="20"/>
        </w:rPr>
        <w:t xml:space="preserve">D'UNE PART,</w:t>
      </w:r>
    </w:p>
    <w:p>
      <w:pPr>
        <w:spacing w:after="140" w:before="0" w:line="264"/>
        <w:jc w:val="both"/>
      </w:pPr>
      <w:r>
        <w:rPr>
          <w:rFonts w:ascii="Times New Roman" w:cs="Times New Roman" w:eastAsia="Times New Roman" w:hAnsi="Times New Roman"/>
          <w:b/>
          <w:bCs/>
          <w:i w:val="false"/>
          <w:iCs w:val="false"/>
          <w:color w:val="1A1A1A"/>
          <w:sz w:val="20"/>
          <w:szCs w:val="20"/>
        </w:rPr>
        <w:t xml:space="preserve">M. Ane Jean Philippe Ane</w:t>
      </w:r>
      <w:r>
        <w:rPr>
          <w:rFonts w:ascii="Times New Roman" w:cs="Times New Roman" w:eastAsia="Times New Roman" w:hAnsi="Times New Roman"/>
          <w:b w:val="false"/>
          <w:bCs w:val="false"/>
          <w:i w:val="false"/>
          <w:iCs w:val="false"/>
          <w:color w:val="1A1A1A"/>
          <w:sz w:val="20"/>
          <w:szCs w:val="20"/>
        </w:rPr>
        <w:t xml:space="preserve">, de nationalité ivoirienne, né le 11 septembre 1984 à Abengourou (Côte d'Ivoire), titulaire de la Carte Nationale d'Identité n° </w:t>
      </w:r>
      <w:r>
        <w:rPr>
          <w:rFonts w:ascii="Times New Roman" w:cs="Times New Roman" w:eastAsia="Times New Roman" w:hAnsi="Times New Roman"/>
          <w:b/>
          <w:bCs/>
          <w:i w:val="false"/>
          <w:iCs w:val="false"/>
          <w:color w:val="1A1A1A"/>
          <w:sz w:val="20"/>
          <w:szCs w:val="20"/>
        </w:rPr>
        <w:t xml:space="preserve">CI004370633</w:t>
      </w:r>
      <w:r>
        <w:rPr>
          <w:rFonts w:ascii="Times New Roman" w:cs="Times New Roman" w:eastAsia="Times New Roman" w:hAnsi="Times New Roman"/>
          <w:b w:val="false"/>
          <w:bCs w:val="false"/>
          <w:i w:val="false"/>
          <w:iCs w:val="false"/>
          <w:color w:val="1A1A1A"/>
          <w:sz w:val="20"/>
          <w:szCs w:val="20"/>
        </w:rPr>
        <w:t xml:space="preserve">, délivrée le 08 juin 2022 à Abidjan, demeurant à Abidjan, Cocody, Angré, Rue Arsène Méa (à proximité de la Pharmacie les Arcades), joignable au +225 07 07 30 95 50</w:t>
      </w:r>
      <w:r>
        <w:rPr>
          <w:rFonts w:ascii="Times New Roman" w:cs="Times New Roman" w:eastAsia="Times New Roman" w:hAnsi="Times New Roman"/>
          <w:b w:val="false"/>
          <w:bCs w:val="false"/>
          <w:i w:val="false"/>
          <w:iCs w:val="false"/>
          <w:color w:val="1A1A1A"/>
          <w:sz w:val="20"/>
          <w:szCs w:val="20"/>
        </w:rPr>
        <w:t xml:space="preserve"> (ci-après l'« Emprunteur »),</w:t>
      </w:r>
    </w:p>
    <w:p>
      <w:pPr>
        <w:spacing w:after="200" w:before="40" w:line="264"/>
        <w:jc w:val="left"/>
      </w:pPr>
      <w:r>
        <w:rPr>
          <w:rFonts w:ascii="Times New Roman" w:cs="Times New Roman" w:eastAsia="Times New Roman" w:hAnsi="Times New Roman"/>
          <w:b/>
          <w:bCs/>
          <w:i w:val="false"/>
          <w:iCs w:val="false"/>
          <w:color w:val="1A1A1A"/>
          <w:sz w:val="20"/>
          <w:szCs w:val="20"/>
        </w:rPr>
        <w:t xml:space="preserve">D'AUTRE PART,</w:t>
      </w:r>
    </w:p>
    <w:p>
      <w:pPr>
        <w:spacing w:after="200" w:before="0" w:line="264"/>
        <w:jc w:val="both"/>
      </w:pPr>
      <w:r>
        <w:rPr>
          <w:rFonts w:ascii="Times New Roman" w:cs="Times New Roman" w:eastAsia="Times New Roman" w:hAnsi="Times New Roman"/>
          <w:b w:val="false"/>
          <w:bCs w:val="false"/>
          <w:i w:val="false"/>
          <w:iCs w:val="false"/>
          <w:color w:val="1A1A1A"/>
          <w:sz w:val="20"/>
          <w:szCs w:val="20"/>
        </w:rPr>
        <w:t xml:space="preserve">Le Prêteur et l'Emprunteur étant ci-après désignés ensemble les « Parties » et individuellement une « Partie ».</w:t>
      </w:r>
    </w:p>
    <w:p>
      <w:pPr>
        <w:spacing w:after="90" w:before="210"/>
      </w:pPr>
      <w:r>
        <w:rPr>
          <w:rFonts w:ascii="Times New Roman" w:cs="Times New Roman" w:eastAsia="Times New Roman" w:hAnsi="Times New Roman"/>
          <w:b/>
          <w:bCs/>
          <w:i w:val="false"/>
          <w:iCs w:val="false"/>
          <w:color w:val="1F2A44"/>
          <w:sz w:val="21"/>
          <w:szCs w:val="21"/>
        </w:rPr>
        <w:t xml:space="preserve">PRÉAMBULE</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L'Emprunteur a sollicité auprès du Prêteur un prêt à caractère personnel. Le Prêteur accepte de consentir ce financement dans les conditions et modalités définies ci-après.</w:t>
      </w:r>
    </w:p>
    <w:p>
      <w:pPr>
        <w:spacing w:after="90" w:before="210"/>
      </w:pPr>
      <w:r>
        <w:rPr>
          <w:rFonts w:ascii="Times New Roman" w:cs="Times New Roman" w:eastAsia="Times New Roman" w:hAnsi="Times New Roman"/>
          <w:b/>
          <w:bCs/>
          <w:i w:val="false"/>
          <w:iCs w:val="false"/>
          <w:color w:val="1F2A44"/>
          <w:sz w:val="21"/>
          <w:szCs w:val="21"/>
        </w:rPr>
        <w:t xml:space="preserve">ARTICLE 1 : OBJET</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La présente convention a pour objet de fixer les conditions dans lesquelles le Prêteur consent à l'Emprunteur un prêt à usage personnel.</w:t>
      </w:r>
    </w:p>
    <w:p>
      <w:pPr>
        <w:spacing w:after="90" w:before="210"/>
      </w:pPr>
      <w:r>
        <w:rPr>
          <w:rFonts w:ascii="Times New Roman" w:cs="Times New Roman" w:eastAsia="Times New Roman" w:hAnsi="Times New Roman"/>
          <w:b/>
          <w:bCs/>
          <w:i w:val="false"/>
          <w:iCs w:val="false"/>
          <w:color w:val="1F2A44"/>
          <w:sz w:val="21"/>
          <w:szCs w:val="21"/>
        </w:rPr>
        <w:t xml:space="preserve">ARTICLE 2 : MONTANT DU PRÊT</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Le Prêteur met à la disposition de l'Emprunteur la somme de </w:t>
      </w:r>
      <w:r>
        <w:rPr>
          <w:rFonts w:ascii="Times New Roman" w:cs="Times New Roman" w:eastAsia="Times New Roman" w:hAnsi="Times New Roman"/>
          <w:b/>
          <w:bCs/>
          <w:i w:val="false"/>
          <w:iCs w:val="false"/>
          <w:color w:val="1A1A1A"/>
          <w:sz w:val="20"/>
          <w:szCs w:val="20"/>
        </w:rPr>
        <w:t xml:space="preserve">cent cinquante mille (150 000) francs CFA</w:t>
      </w:r>
      <w:r>
        <w:rPr>
          <w:rFonts w:ascii="Times New Roman" w:cs="Times New Roman" w:eastAsia="Times New Roman" w:hAnsi="Times New Roman"/>
          <w:b w:val="false"/>
          <w:bCs w:val="false"/>
          <w:i w:val="false"/>
          <w:iCs w:val="false"/>
          <w:color w:val="1A1A1A"/>
          <w:sz w:val="20"/>
          <w:szCs w:val="20"/>
        </w:rPr>
        <w:t xml:space="preserve"> (ci-après le « Prêt »).</w:t>
      </w:r>
    </w:p>
    <w:p>
      <w:pPr>
        <w:spacing w:after="90" w:before="210"/>
      </w:pPr>
      <w:r>
        <w:rPr>
          <w:rFonts w:ascii="Times New Roman" w:cs="Times New Roman" w:eastAsia="Times New Roman" w:hAnsi="Times New Roman"/>
          <w:b/>
          <w:bCs/>
          <w:i w:val="false"/>
          <w:iCs w:val="false"/>
          <w:color w:val="1F2A44"/>
          <w:sz w:val="21"/>
          <w:szCs w:val="21"/>
        </w:rPr>
        <w:t xml:space="preserve">ARTICLE 3 : FRAIS ET MONTANT DÛ</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Le Prêt porte des frais de financement forfaitaires de </w:t>
      </w:r>
      <w:r>
        <w:rPr>
          <w:rFonts w:ascii="Times New Roman" w:cs="Times New Roman" w:eastAsia="Times New Roman" w:hAnsi="Times New Roman"/>
          <w:b/>
          <w:bCs/>
          <w:i w:val="false"/>
          <w:iCs w:val="false"/>
          <w:color w:val="1A1A1A"/>
          <w:sz w:val="20"/>
          <w:szCs w:val="20"/>
        </w:rPr>
        <w:t xml:space="preserve">vingt-cinq pour cent (25 %)</w:t>
      </w:r>
      <w:r>
        <w:rPr>
          <w:rFonts w:ascii="Times New Roman" w:cs="Times New Roman" w:eastAsia="Times New Roman" w:hAnsi="Times New Roman"/>
          <w:b w:val="false"/>
          <w:bCs w:val="false"/>
          <w:i w:val="false"/>
          <w:iCs w:val="false"/>
          <w:color w:val="1A1A1A"/>
          <w:sz w:val="20"/>
          <w:szCs w:val="20"/>
        </w:rPr>
        <w:t xml:space="preserve">, soit </w:t>
      </w:r>
      <w:r>
        <w:rPr>
          <w:rFonts w:ascii="Times New Roman" w:cs="Times New Roman" w:eastAsia="Times New Roman" w:hAnsi="Times New Roman"/>
          <w:b/>
          <w:bCs/>
          <w:i w:val="false"/>
          <w:iCs w:val="false"/>
          <w:color w:val="1A1A1A"/>
          <w:sz w:val="20"/>
          <w:szCs w:val="20"/>
        </w:rPr>
        <w:t xml:space="preserve">trente-sept mille cinq cents (37 500) francs CFA</w:t>
      </w:r>
      <w:r>
        <w:rPr>
          <w:rFonts w:ascii="Times New Roman" w:cs="Times New Roman" w:eastAsia="Times New Roman" w:hAnsi="Times New Roman"/>
          <w:b w:val="false"/>
          <w:bCs w:val="false"/>
          <w:i w:val="false"/>
          <w:iCs w:val="false"/>
          <w:color w:val="1A1A1A"/>
          <w:sz w:val="20"/>
          <w:szCs w:val="20"/>
        </w:rPr>
        <w:t xml:space="preserve">, calculés sur le montant du Prêt et applicables en une seule fois pour toute la durée de la présente convention.</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S'y ajoutent des frais de gestion de </w:t>
      </w:r>
      <w:r>
        <w:rPr>
          <w:rFonts w:ascii="Times New Roman" w:cs="Times New Roman" w:eastAsia="Times New Roman" w:hAnsi="Times New Roman"/>
          <w:b/>
          <w:bCs/>
          <w:i w:val="false"/>
          <w:iCs w:val="false"/>
          <w:color w:val="1A1A1A"/>
          <w:sz w:val="20"/>
          <w:szCs w:val="20"/>
        </w:rPr>
        <w:t xml:space="preserve">douze mille cinq cents (12 500) francs CFA</w:t>
      </w:r>
      <w:r>
        <w:rPr>
          <w:rFonts w:ascii="Times New Roman" w:cs="Times New Roman" w:eastAsia="Times New Roman" w:hAnsi="Times New Roman"/>
          <w:b w:val="false"/>
          <w:bCs w:val="false"/>
          <w:i w:val="false"/>
          <w:iCs w:val="false"/>
          <w:color w:val="1A1A1A"/>
          <w:sz w:val="20"/>
          <w:szCs w:val="20"/>
        </w:rPr>
        <w:t xml:space="preserve">.</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En conséquence, le montant total dû par l'Emprunteur au titre du remboursement s'élève à </w:t>
      </w:r>
      <w:r>
        <w:rPr>
          <w:rFonts w:ascii="Times New Roman" w:cs="Times New Roman" w:eastAsia="Times New Roman" w:hAnsi="Times New Roman"/>
          <w:b/>
          <w:bCs/>
          <w:i w:val="false"/>
          <w:iCs w:val="false"/>
          <w:color w:val="1A1A1A"/>
          <w:sz w:val="20"/>
          <w:szCs w:val="20"/>
        </w:rPr>
        <w:t xml:space="preserve">deux cent mille (200 000) francs CFA</w:t>
      </w:r>
      <w:r>
        <w:rPr>
          <w:rFonts w:ascii="Times New Roman" w:cs="Times New Roman" w:eastAsia="Times New Roman" w:hAnsi="Times New Roman"/>
          <w:b w:val="false"/>
          <w:bCs w:val="false"/>
          <w:i w:val="false"/>
          <w:iCs w:val="false"/>
          <w:color w:val="1A1A1A"/>
          <w:sz w:val="20"/>
          <w:szCs w:val="20"/>
        </w:rPr>
        <w:t xml:space="preserve"> (le « Montant Dû »).</w:t>
      </w:r>
    </w:p>
    <w:p>
      <w:pPr>
        <w:spacing w:after="90" w:before="210"/>
      </w:pPr>
      <w:r>
        <w:rPr>
          <w:rFonts w:ascii="Times New Roman" w:cs="Times New Roman" w:eastAsia="Times New Roman" w:hAnsi="Times New Roman"/>
          <w:b/>
          <w:bCs/>
          <w:i w:val="false"/>
          <w:iCs w:val="false"/>
          <w:color w:val="1F2A44"/>
          <w:sz w:val="21"/>
          <w:szCs w:val="21"/>
        </w:rPr>
        <w:t xml:space="preserve">ARTICLE 4 : DÉBLOCAGE DES FONDS</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Le déblocage des fonds intervient en une seule fois, le </w:t>
      </w:r>
      <w:r>
        <w:rPr>
          <w:rFonts w:ascii="Times New Roman" w:cs="Times New Roman" w:eastAsia="Times New Roman" w:hAnsi="Times New Roman"/>
          <w:b/>
          <w:bCs/>
          <w:i w:val="false"/>
          <w:iCs w:val="false"/>
          <w:color w:val="1A1A1A"/>
          <w:sz w:val="20"/>
          <w:szCs w:val="20"/>
        </w:rPr>
        <w:t xml:space="preserve">25 août 2026</w:t>
      </w:r>
      <w:r>
        <w:rPr>
          <w:rFonts w:ascii="Times New Roman" w:cs="Times New Roman" w:eastAsia="Times New Roman" w:hAnsi="Times New Roman"/>
          <w:b w:val="false"/>
          <w:bCs w:val="false"/>
          <w:i w:val="false"/>
          <w:iCs w:val="false"/>
          <w:color w:val="1A1A1A"/>
          <w:sz w:val="20"/>
          <w:szCs w:val="20"/>
        </w:rPr>
        <w:t xml:space="preserve"> (la « Date de Déblocage »), sous réserve de la réception du certificat de résidence de l'Emprunteur, qui reste dû et devra être transmis au Prêteur dans les meilleurs délais. La remise des fonds s'effectue en espèces, en main propre. Un </w:t>
      </w:r>
      <w:r>
        <w:rPr>
          <w:rFonts w:ascii="Times New Roman" w:cs="Times New Roman" w:eastAsia="Times New Roman" w:hAnsi="Times New Roman"/>
          <w:b/>
          <w:bCs/>
          <w:i w:val="false"/>
          <w:iCs w:val="false"/>
          <w:color w:val="1A1A1A"/>
          <w:sz w:val="20"/>
          <w:szCs w:val="20"/>
        </w:rPr>
        <w:t xml:space="preserve">reçu de remise de fonds</w:t>
      </w:r>
      <w:r>
        <w:rPr>
          <w:rFonts w:ascii="Times New Roman" w:cs="Times New Roman" w:eastAsia="Times New Roman" w:hAnsi="Times New Roman"/>
          <w:b w:val="false"/>
          <w:bCs w:val="false"/>
          <w:i w:val="false"/>
          <w:iCs w:val="false"/>
          <w:color w:val="1A1A1A"/>
          <w:sz w:val="20"/>
          <w:szCs w:val="20"/>
        </w:rPr>
        <w:t xml:space="preserve"> (décharge), mentionnant le montant remis en toutes lettres et en chiffres, est signé par l'Emprunteur au moment de la remise et vaut preuve du déblocage effectif ainsi que point de départ du délai fixé à l'Article 6.</w:t>
      </w:r>
    </w:p>
    <w:p>
      <w:pPr>
        <w:spacing w:after="90" w:before="210"/>
      </w:pPr>
      <w:r>
        <w:rPr>
          <w:rFonts w:ascii="Times New Roman" w:cs="Times New Roman" w:eastAsia="Times New Roman" w:hAnsi="Times New Roman"/>
          <w:b/>
          <w:bCs/>
          <w:i w:val="false"/>
          <w:iCs w:val="false"/>
          <w:color w:val="1F2A44"/>
          <w:sz w:val="21"/>
          <w:szCs w:val="21"/>
        </w:rPr>
        <w:t xml:space="preserve">ARTICLE 5 : BASE DE L'ENGAGEMENT</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L'Emprunteur justifie de sa capacité de remboursement par un contrat de travail à durée déterminée conclu avec Riche Digital Consulting, en qualité de Modérateur des Réseaux Sociaux, reconduit jusqu'au 28 février 2027. L'Emprunteur s'engage à affecter en priorité les ressources nécessaires au remboursement du Montant Dû à l'Échéance fixée à l'Article 6.</w:t>
      </w:r>
    </w:p>
    <w:p>
      <w:pPr>
        <w:spacing w:after="90" w:before="210"/>
      </w:pPr>
      <w:r>
        <w:rPr>
          <w:rFonts w:ascii="Times New Roman" w:cs="Times New Roman" w:eastAsia="Times New Roman" w:hAnsi="Times New Roman"/>
          <w:b/>
          <w:bCs/>
          <w:i w:val="false"/>
          <w:iCs w:val="false"/>
          <w:color w:val="1F2A44"/>
          <w:sz w:val="21"/>
          <w:szCs w:val="21"/>
        </w:rPr>
        <w:t xml:space="preserve">ARTICLE 6 : REMBOURSEMENT</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L'Emprunteur s'engage à rembourser au Prêteur l'intégralité du Montant Dû, soit </w:t>
      </w:r>
      <w:r>
        <w:rPr>
          <w:rFonts w:ascii="Times New Roman" w:cs="Times New Roman" w:eastAsia="Times New Roman" w:hAnsi="Times New Roman"/>
          <w:b/>
          <w:bCs/>
          <w:i w:val="false"/>
          <w:iCs w:val="false"/>
          <w:color w:val="1A1A1A"/>
          <w:sz w:val="20"/>
          <w:szCs w:val="20"/>
        </w:rPr>
        <w:t xml:space="preserve">deux cent mille (200 000) francs CFA</w:t>
      </w:r>
      <w:r>
        <w:rPr>
          <w:rFonts w:ascii="Times New Roman" w:cs="Times New Roman" w:eastAsia="Times New Roman" w:hAnsi="Times New Roman"/>
          <w:b w:val="false"/>
          <w:bCs w:val="false"/>
          <w:i w:val="false"/>
          <w:iCs w:val="false"/>
          <w:color w:val="1A1A1A"/>
          <w:sz w:val="20"/>
          <w:szCs w:val="20"/>
        </w:rPr>
        <w:t xml:space="preserve">, en une seule échéance, au plus tard un (1) mois calendaire après la Date de Déblocage, soit au plus tard le </w:t>
      </w:r>
      <w:r>
        <w:rPr>
          <w:rFonts w:ascii="Times New Roman" w:cs="Times New Roman" w:eastAsia="Times New Roman" w:hAnsi="Times New Roman"/>
          <w:b/>
          <w:bCs/>
          <w:i w:val="false"/>
          <w:iCs w:val="false"/>
          <w:color w:val="1A1A1A"/>
          <w:sz w:val="20"/>
          <w:szCs w:val="20"/>
        </w:rPr>
        <w:t xml:space="preserve">25 septembre 2026</w:t>
      </w:r>
      <w:r>
        <w:rPr>
          <w:rFonts w:ascii="Times New Roman" w:cs="Times New Roman" w:eastAsia="Times New Roman" w:hAnsi="Times New Roman"/>
          <w:b w:val="false"/>
          <w:bCs w:val="false"/>
          <w:i w:val="false"/>
          <w:iCs w:val="false"/>
          <w:color w:val="1A1A1A"/>
          <w:sz w:val="20"/>
          <w:szCs w:val="20"/>
        </w:rPr>
        <w:t xml:space="preserve"> (l'« Échéance »).</w:t>
      </w:r>
    </w:p>
    <w:p>
      <w:pPr>
        <w:spacing w:after="90" w:before="210"/>
      </w:pPr>
      <w:r>
        <w:rPr>
          <w:rFonts w:ascii="Times New Roman" w:cs="Times New Roman" w:eastAsia="Times New Roman" w:hAnsi="Times New Roman"/>
          <w:b/>
          <w:bCs/>
          <w:i w:val="false"/>
          <w:iCs w:val="false"/>
          <w:color w:val="1F2A44"/>
          <w:sz w:val="21"/>
          <w:szCs w:val="21"/>
        </w:rPr>
        <w:t xml:space="preserve">ARTICLE 7 : PÉNALITÉS DE RETARD</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Tout retard dans le remboursement au-delà de l'Échéance entraînera l'application d'une pénalité forfaitaire d'</w:t>
      </w:r>
      <w:r>
        <w:rPr>
          <w:rFonts w:ascii="Times New Roman" w:cs="Times New Roman" w:eastAsia="Times New Roman" w:hAnsi="Times New Roman"/>
          <w:b/>
          <w:bCs/>
          <w:i w:val="false"/>
          <w:iCs w:val="false"/>
          <w:color w:val="1A1A1A"/>
          <w:sz w:val="20"/>
          <w:szCs w:val="20"/>
        </w:rPr>
        <w:t xml:space="preserve">un pour cent (1 %)</w:t>
      </w:r>
      <w:r>
        <w:rPr>
          <w:rFonts w:ascii="Times New Roman" w:cs="Times New Roman" w:eastAsia="Times New Roman" w:hAnsi="Times New Roman"/>
          <w:b w:val="false"/>
          <w:bCs w:val="false"/>
          <w:i w:val="false"/>
          <w:iCs w:val="false"/>
          <w:color w:val="1A1A1A"/>
          <w:sz w:val="20"/>
          <w:szCs w:val="20"/>
        </w:rPr>
        <w:t xml:space="preserve"> du Montant Dû par semaine de retard commencée, sans mise en demeure préalable.</w:t>
      </w:r>
    </w:p>
    <w:p>
      <w:pPr>
        <w:spacing w:after="90" w:before="210"/>
      </w:pPr>
      <w:r>
        <w:rPr>
          <w:rFonts w:ascii="Times New Roman" w:cs="Times New Roman" w:eastAsia="Times New Roman" w:hAnsi="Times New Roman"/>
          <w:b/>
          <w:bCs/>
          <w:i w:val="false"/>
          <w:iCs w:val="false"/>
          <w:color w:val="1F2A44"/>
          <w:sz w:val="21"/>
          <w:szCs w:val="21"/>
        </w:rPr>
        <w:t xml:space="preserve">ARTICLE 8 : REMBOURSEMENT ANTICIPÉ</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L'Emprunteur peut procéder à tout moment à un remboursement anticipé, total ou partiel, sans pénalité ni frais supplémentaires.</w:t>
      </w:r>
    </w:p>
    <w:p>
      <w:pPr>
        <w:spacing w:after="90" w:before="210"/>
      </w:pPr>
      <w:r>
        <w:rPr>
          <w:rFonts w:ascii="Times New Roman" w:cs="Times New Roman" w:eastAsia="Times New Roman" w:hAnsi="Times New Roman"/>
          <w:b/>
          <w:bCs/>
          <w:i w:val="false"/>
          <w:iCs w:val="false"/>
          <w:color w:val="1F2A44"/>
          <w:sz w:val="21"/>
          <w:szCs w:val="21"/>
        </w:rPr>
        <w:t xml:space="preserve">ARTICLE 9 : MODIFICATION</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Toute modification de la présente convention fera l'objet d'un avenant écrit et signé par les Parties.</w:t>
      </w:r>
    </w:p>
    <w:p>
      <w:pPr>
        <w:spacing w:after="90" w:before="210"/>
      </w:pPr>
      <w:r>
        <w:rPr>
          <w:rFonts w:ascii="Times New Roman" w:cs="Times New Roman" w:eastAsia="Times New Roman" w:hAnsi="Times New Roman"/>
          <w:b/>
          <w:bCs/>
          <w:i w:val="false"/>
          <w:iCs w:val="false"/>
          <w:color w:val="1F2A44"/>
          <w:sz w:val="21"/>
          <w:szCs w:val="21"/>
        </w:rPr>
        <w:t xml:space="preserve">ARTICLE 10 : DROIT APPLICABLE ET LITIGES</w:t>
      </w:r>
    </w:p>
    <w:p>
      <w:pPr>
        <w:spacing w:after="140" w:before="0" w:line="264"/>
        <w:jc w:val="both"/>
      </w:pPr>
      <w:r>
        <w:rPr>
          <w:rFonts w:ascii="Times New Roman" w:cs="Times New Roman" w:eastAsia="Times New Roman" w:hAnsi="Times New Roman"/>
          <w:b w:val="false"/>
          <w:bCs w:val="false"/>
          <w:i w:val="false"/>
          <w:iCs w:val="false"/>
          <w:color w:val="1A1A1A"/>
          <w:sz w:val="20"/>
          <w:szCs w:val="20"/>
        </w:rPr>
        <w:t xml:space="preserve">La présente convention est régie par le droit ivoirien. Tout différend sera soumis, à défaut de règlement amiable, aux tribunaux compétents d'Abidjan.</w:t>
      </w:r>
    </w:p>
    <w:p>
      <w:pPr>
        <w:spacing w:after="140" w:before="260"/>
        <w:jc w:val="both"/>
      </w:pPr>
      <w:r>
        <w:rPr>
          <w:rFonts w:ascii="Times New Roman" w:cs="Times New Roman" w:eastAsia="Times New Roman" w:hAnsi="Times New Roman"/>
          <w:b w:val="false"/>
          <w:bCs w:val="false"/>
          <w:i w:val="false"/>
          <w:iCs w:val="false"/>
          <w:color w:val="1A1A1A"/>
          <w:sz w:val="20"/>
          <w:szCs w:val="20"/>
        </w:rPr>
        <w:t xml:space="preserve">Fait à Abidjan, le </w:t>
      </w:r>
      <w:r>
        <w:rPr>
          <w:rFonts w:ascii="Times New Roman" w:cs="Times New Roman" w:eastAsia="Times New Roman" w:hAnsi="Times New Roman"/>
          <w:b/>
          <w:bCs/>
          <w:i w:val="false"/>
          <w:iCs w:val="false"/>
          <w:color w:val="1A1A1A"/>
          <w:sz w:val="20"/>
          <w:szCs w:val="20"/>
        </w:rPr>
        <w:t xml:space="preserve">25 août 2026</w:t>
      </w:r>
      <w:r>
        <w:rPr>
          <w:rFonts w:ascii="Times New Roman" w:cs="Times New Roman" w:eastAsia="Times New Roman" w:hAnsi="Times New Roman"/>
          <w:b w:val="false"/>
          <w:bCs w:val="false"/>
          <w:i w:val="false"/>
          <w:iCs w:val="false"/>
          <w:color w:val="1A1A1A"/>
          <w:sz w:val="20"/>
          <w:szCs w:val="20"/>
        </w:rPr>
        <w:t xml:space="preserve">, en deux (2) exemplaires originaux.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vAlign w:val="bottom"/>
          </w:tcPr>
          <w:p>
            <w:pPr>
              <w:spacing w:after="480" w:before="0" w:line="264"/>
              <w:jc w:val="left"/>
            </w:pPr>
            <w:r>
              <w:rPr>
                <w:rFonts w:ascii="Times New Roman" w:cs="Times New Roman" w:eastAsia="Times New Roman" w:hAnsi="Times New Roman"/>
                <w:b/>
                <w:bCs/>
                <w:i w:val="false"/>
                <w:iCs w:val="false"/>
                <w:color w:val="1F2A44"/>
                <w:sz w:val="18"/>
                <w:szCs w:val="18"/>
              </w:rPr>
              <w:t xml:space="preserve">Le Prêteur (Muthi Solutions, M. Brou Jean-Philippe Bénie, Directeur Général)</w:t>
            </w:r>
          </w:p>
          <w:p>
            <w:pPr>
              <w:pBdr>
                <w:top w:val="single" w:color="9A9A9A" w:sz="4" w:space="2"/>
              </w:pBdr>
              <w:spacing w:after="0" w:before="380"/>
            </w:pPr>
            <w:r>
              <w:rPr>
                <w:rFonts w:ascii="Times New Roman" w:cs="Times New Roman" w:eastAsia="Times New Roman" w:hAnsi="Times New Roman"/>
                <w:b w:val="false"/>
                <w:bCs w:val="false"/>
                <w:i w:val="false"/>
                <w:iCs w:val="false"/>
                <w:color w:val="1A1A1A"/>
                <w:sz w:val="12"/>
                <w:szCs w:val="12"/>
              </w:rPr>
              <w:t xml:space="preserve"/>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vAlign w:val="bottom"/>
          </w:tcPr>
          <w:p>
            <w:pPr>
              <w:spacing w:after="480" w:before="0" w:line="264"/>
              <w:jc w:val="left"/>
            </w:pPr>
            <w:r>
              <w:rPr>
                <w:rFonts w:ascii="Times New Roman" w:cs="Times New Roman" w:eastAsia="Times New Roman" w:hAnsi="Times New Roman"/>
                <w:b/>
                <w:bCs/>
                <w:i w:val="false"/>
                <w:iCs w:val="false"/>
                <w:color w:val="1F2A44"/>
                <w:sz w:val="18"/>
                <w:szCs w:val="18"/>
              </w:rPr>
              <w:t xml:space="preserve">L'Emprunteur (précédé de la mention « Lu et approuvé »)</w:t>
            </w:r>
          </w:p>
          <w:p>
            <w:pPr>
              <w:pBdr>
                <w:top w:val="single" w:color="9A9A9A" w:sz="4" w:space="2"/>
              </w:pBdr>
              <w:spacing w:after="0" w:before="380"/>
            </w:pPr>
            <w:r>
              <w:rPr>
                <w:rFonts w:ascii="Times New Roman" w:cs="Times New Roman" w:eastAsia="Times New Roman" w:hAnsi="Times New Roman"/>
                <w:b w:val="false"/>
                <w:bCs w:val="false"/>
                <w:i w:val="false"/>
                <w:iCs w:val="false"/>
                <w:color w:val="1A1A1A"/>
                <w:sz w:val="12"/>
                <w:szCs w:val="12"/>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2026-08-25T16:07:38.271Z</dcterms:created>
  <dcterms:modified xsi:type="dcterms:W3CDTF">2026-08-25T16:07:38.295Z</dcterms:modified>
</cp:coreProperties>
</file>

<file path=docProps/custom.xml><?xml version="1.0" encoding="utf-8"?>
<Properties xmlns="http://schemas.openxmlformats.org/officeDocument/2006/custom-properties" xmlns:vt="http://schemas.openxmlformats.org/officeDocument/2006/docPropsVTypes"/>
</file>