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C2928" w14:textId="24FD99DC" w:rsidR="00920683" w:rsidRPr="00586661" w:rsidRDefault="00522A83" w:rsidP="00450EEE">
      <w:pPr>
        <w:spacing w:line="360" w:lineRule="auto"/>
        <w:jc w:val="center"/>
        <w:rPr>
          <w:rFonts w:ascii="Calibri" w:hAnsi="Calibri" w:cs="Calibri"/>
          <w:b/>
          <w:bCs w:val="0"/>
          <w:sz w:val="28"/>
          <w:szCs w:val="28"/>
          <w:lang w:val="en-US"/>
        </w:rPr>
      </w:pPr>
      <w:r w:rsidRPr="00586661">
        <w:rPr>
          <w:rFonts w:ascii="Calibri" w:hAnsi="Calibri" w:cs="Calibri"/>
          <w:b/>
          <w:bCs w:val="0"/>
          <w:sz w:val="28"/>
          <w:szCs w:val="28"/>
          <w:lang w:val="en-US"/>
        </w:rPr>
        <w:t>EVI</w:t>
      </w:r>
      <w:r w:rsidR="00586661" w:rsidRPr="00586661">
        <w:rPr>
          <w:rFonts w:ascii="Calibri" w:hAnsi="Calibri" w:cs="Calibri"/>
          <w:b/>
          <w:bCs w:val="0"/>
          <w:sz w:val="28"/>
          <w:szCs w:val="28"/>
          <w:lang w:val="en-US"/>
        </w:rPr>
        <w:t>-based vegetation p</w:t>
      </w:r>
      <w:r w:rsidR="00620BCF" w:rsidRPr="00586661">
        <w:rPr>
          <w:rFonts w:ascii="Calibri" w:hAnsi="Calibri" w:cs="Calibri"/>
          <w:b/>
          <w:bCs w:val="0"/>
          <w:sz w:val="28"/>
          <w:szCs w:val="28"/>
          <w:lang w:val="en-US"/>
        </w:rPr>
        <w:t xml:space="preserve">henology and </w:t>
      </w:r>
      <w:r w:rsidR="00586661" w:rsidRPr="00586661">
        <w:rPr>
          <w:rFonts w:ascii="Calibri" w:hAnsi="Calibri" w:cs="Calibri"/>
          <w:b/>
          <w:bCs w:val="0"/>
          <w:sz w:val="28"/>
          <w:szCs w:val="28"/>
          <w:lang w:val="en-US"/>
        </w:rPr>
        <w:t>p</w:t>
      </w:r>
      <w:r w:rsidR="00C11D79" w:rsidRPr="00586661">
        <w:rPr>
          <w:rFonts w:ascii="Calibri" w:hAnsi="Calibri" w:cs="Calibri"/>
          <w:b/>
          <w:bCs w:val="0"/>
          <w:sz w:val="28"/>
          <w:szCs w:val="28"/>
          <w:lang w:val="en-US"/>
        </w:rPr>
        <w:t>roductivity</w:t>
      </w:r>
    </w:p>
    <w:p w14:paraId="02B7557C" w14:textId="671C6008" w:rsidR="00522A83" w:rsidRPr="00522A83" w:rsidRDefault="00522A83" w:rsidP="00522A83">
      <w:pPr>
        <w:spacing w:line="360" w:lineRule="auto"/>
        <w:jc w:val="both"/>
        <w:rPr>
          <w:rFonts w:ascii="Calibri" w:hAnsi="Calibri" w:cs="Calibri"/>
          <w:sz w:val="22"/>
          <w:szCs w:val="22"/>
          <w:lang w:val="en-US"/>
        </w:rPr>
      </w:pPr>
      <w:r w:rsidRPr="00522A83">
        <w:rPr>
          <w:rFonts w:ascii="Calibri" w:hAnsi="Calibri" w:cs="Calibri"/>
          <w:sz w:val="22"/>
          <w:szCs w:val="22"/>
          <w:lang w:val="en-US"/>
        </w:rPr>
        <w:t>For this assignment, I used Sentinel-2 Harmonized imagery accessed through Google Earth Engine (GEE) for two periods: 1 March 2022 – 28 February 2023 and 1 March 2023 – 29 February 2024. I calculated three vegetation indices: NDVI, EVI, and MSAVI. To reduce data gaps, since Sentinel-2 data is collected every 5 days and the tropics are heavily affected by clouds, I applied a 14-day time window to resample and smooth the data. This resulted in 26 composite images for each period.</w:t>
      </w:r>
    </w:p>
    <w:p w14:paraId="037E8D3A" w14:textId="10919386" w:rsidR="00522A83" w:rsidRPr="00522A83" w:rsidRDefault="00522A83" w:rsidP="00522A83">
      <w:pPr>
        <w:spacing w:line="360" w:lineRule="auto"/>
        <w:jc w:val="both"/>
        <w:rPr>
          <w:rFonts w:ascii="Calibri" w:hAnsi="Calibri" w:cs="Calibri"/>
          <w:sz w:val="22"/>
          <w:szCs w:val="22"/>
          <w:lang w:val="en-US"/>
        </w:rPr>
      </w:pPr>
      <w:r w:rsidRPr="00522A83">
        <w:rPr>
          <w:rFonts w:ascii="Calibri" w:hAnsi="Calibri" w:cs="Calibri"/>
          <w:sz w:val="22"/>
          <w:szCs w:val="22"/>
          <w:lang w:val="en-US"/>
        </w:rPr>
        <w:t>To better understand the potential seasonality of the region, I plotted the zonal mean for each period separately. The results showed that: 1) both periods had two seasons, although 2022/2023 was less productive than 2023/2024; 2) NDVI identified higher vegetation vigor, followed by EVI and then MSAVI (Figure 1). The observed differences are likely due to how each index calculates vegetation greenness. For example, NDVI is sensitive to soil and atmospheric effects, EVI reduces these effects using the blue band and canopy correction, and MSAVI minimizes soil influence, making it useful for sparse vegetation.</w:t>
      </w:r>
    </w:p>
    <w:p w14:paraId="4DA5EA24" w14:textId="28FC8C9D" w:rsidR="0046242F" w:rsidRPr="00522A83" w:rsidRDefault="00522A83" w:rsidP="00522A83">
      <w:pPr>
        <w:spacing w:line="360" w:lineRule="auto"/>
        <w:jc w:val="both"/>
        <w:rPr>
          <w:rFonts w:ascii="Calibri" w:hAnsi="Calibri" w:cs="Calibri"/>
          <w:sz w:val="22"/>
          <w:szCs w:val="22"/>
          <w:lang w:val="en-US"/>
        </w:rPr>
      </w:pPr>
      <w:r w:rsidRPr="00522A83">
        <w:rPr>
          <w:rFonts w:ascii="Calibri" w:hAnsi="Calibri" w:cs="Calibri"/>
          <w:sz w:val="22"/>
          <w:szCs w:val="22"/>
          <w:lang w:val="en-US"/>
        </w:rPr>
        <w:t>Since the study area includes both croplands and savanna grasslands, I chose EVI as it may better capture phenology across both dense and open vegetation</w:t>
      </w:r>
      <w:r w:rsidR="00EA1100" w:rsidRPr="00522A83">
        <w:rPr>
          <w:rFonts w:ascii="Calibri" w:hAnsi="Calibri" w:cs="Calibri"/>
          <w:sz w:val="22"/>
          <w:szCs w:val="22"/>
          <w:lang w:val="en-US"/>
        </w:rPr>
        <w:t>.</w:t>
      </w:r>
      <w:r w:rsidR="00EA1100" w:rsidRPr="00522A83">
        <w:rPr>
          <w:rFonts w:ascii="Calibri" w:hAnsi="Calibri" w:cs="Calibri"/>
          <w:sz w:val="22"/>
          <w:szCs w:val="22"/>
          <w:lang w:val="en-US"/>
        </w:rPr>
        <w:t xml:space="preserve"> </w:t>
      </w:r>
    </w:p>
    <w:p w14:paraId="05212198" w14:textId="1766381A" w:rsidR="00F14232" w:rsidRPr="00522A83" w:rsidRDefault="00D9077F" w:rsidP="00242535">
      <w:pPr>
        <w:spacing w:line="240" w:lineRule="auto"/>
        <w:jc w:val="both"/>
        <w:rPr>
          <w:rFonts w:ascii="Calibri" w:hAnsi="Calibri" w:cs="Calibri"/>
          <w:sz w:val="22"/>
          <w:szCs w:val="22"/>
          <w:lang w:val="en-US"/>
        </w:rPr>
      </w:pPr>
      <w:r w:rsidRPr="00522A83">
        <w:rPr>
          <w:noProof/>
          <w:sz w:val="22"/>
          <w:szCs w:val="22"/>
        </w:rPr>
        <w:drawing>
          <wp:inline distT="0" distB="0" distL="0" distR="0" wp14:anchorId="7D6C154A" wp14:editId="1F0C9839">
            <wp:extent cx="5731510" cy="3418205"/>
            <wp:effectExtent l="0" t="0" r="2540" b="0"/>
            <wp:docPr id="1838536061"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6061" name="Picture 3" descr="A graph of different colored lines&#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04F70432" w14:textId="598E8300" w:rsidR="00973C4B" w:rsidRPr="00242535" w:rsidRDefault="00973C4B" w:rsidP="00450EEE">
      <w:pPr>
        <w:spacing w:line="360" w:lineRule="auto"/>
        <w:jc w:val="both"/>
        <w:rPr>
          <w:rFonts w:ascii="Calibri" w:hAnsi="Calibri" w:cs="Calibri"/>
          <w:i/>
          <w:iCs/>
          <w:color w:val="60CAF3" w:themeColor="accent4" w:themeTint="99"/>
          <w:sz w:val="20"/>
          <w:szCs w:val="20"/>
          <w:lang w:val="en-US"/>
        </w:rPr>
      </w:pPr>
      <w:r w:rsidRPr="00242535">
        <w:rPr>
          <w:rFonts w:ascii="Calibri" w:hAnsi="Calibri" w:cs="Calibri"/>
          <w:i/>
          <w:iCs/>
          <w:color w:val="60CAF3" w:themeColor="accent4" w:themeTint="99"/>
          <w:sz w:val="20"/>
          <w:szCs w:val="20"/>
          <w:lang w:val="en-US"/>
        </w:rPr>
        <w:t xml:space="preserve">Figure 1: Zonal </w:t>
      </w:r>
      <w:r w:rsidR="00724177" w:rsidRPr="00242535">
        <w:rPr>
          <w:rFonts w:ascii="Calibri" w:hAnsi="Calibri" w:cs="Calibri"/>
          <w:i/>
          <w:iCs/>
          <w:color w:val="60CAF3" w:themeColor="accent4" w:themeTint="99"/>
          <w:sz w:val="20"/>
          <w:szCs w:val="20"/>
          <w:lang w:val="en-US"/>
        </w:rPr>
        <w:t>means</w:t>
      </w:r>
      <w:r w:rsidRPr="00242535">
        <w:rPr>
          <w:rFonts w:ascii="Calibri" w:hAnsi="Calibri" w:cs="Calibri"/>
          <w:i/>
          <w:iCs/>
          <w:color w:val="60CAF3" w:themeColor="accent4" w:themeTint="99"/>
          <w:sz w:val="20"/>
          <w:szCs w:val="20"/>
          <w:lang w:val="en-US"/>
        </w:rPr>
        <w:t xml:space="preserve"> of the vari</w:t>
      </w:r>
      <w:r w:rsidR="008D7AE8" w:rsidRPr="00242535">
        <w:rPr>
          <w:rFonts w:ascii="Calibri" w:hAnsi="Calibri" w:cs="Calibri"/>
          <w:i/>
          <w:iCs/>
          <w:color w:val="60CAF3" w:themeColor="accent4" w:themeTint="99"/>
          <w:sz w:val="20"/>
          <w:szCs w:val="20"/>
          <w:lang w:val="en-US"/>
        </w:rPr>
        <w:t>ous vegetation indices within the study area extent.</w:t>
      </w:r>
    </w:p>
    <w:p w14:paraId="5622295C" w14:textId="6CB1D7DB" w:rsidR="00F14232" w:rsidRPr="00522A83" w:rsidRDefault="001F0E70" w:rsidP="001F0E70">
      <w:pPr>
        <w:spacing w:line="360" w:lineRule="auto"/>
        <w:jc w:val="both"/>
        <w:rPr>
          <w:rFonts w:ascii="Calibri" w:hAnsi="Calibri" w:cs="Calibri"/>
          <w:sz w:val="22"/>
          <w:szCs w:val="22"/>
          <w:lang w:val="en-US"/>
        </w:rPr>
      </w:pPr>
      <w:r w:rsidRPr="001F0E70">
        <w:rPr>
          <w:rFonts w:ascii="Calibri" w:hAnsi="Calibri" w:cs="Calibri"/>
          <w:sz w:val="22"/>
          <w:szCs w:val="22"/>
          <w:lang w:val="en-US"/>
        </w:rPr>
        <w:t xml:space="preserve">Using the resampled and smoothed EVI composites, phenological metrics were extracted for two seasons, initially using a randomly selected pixel (in this case, plot number 106 from the SOC data). In 2022/2023, this location experienced lower productivity during the long </w:t>
      </w:r>
      <w:r w:rsidRPr="001F0E70">
        <w:rPr>
          <w:rFonts w:ascii="Calibri" w:hAnsi="Calibri" w:cs="Calibri"/>
          <w:sz w:val="22"/>
          <w:szCs w:val="22"/>
          <w:lang w:val="en-US"/>
        </w:rPr>
        <w:t>rainy</w:t>
      </w:r>
      <w:r w:rsidRPr="001F0E70">
        <w:rPr>
          <w:rFonts w:ascii="Calibri" w:hAnsi="Calibri" w:cs="Calibri"/>
          <w:sz w:val="22"/>
          <w:szCs w:val="22"/>
          <w:lang w:val="en-US"/>
        </w:rPr>
        <w:t xml:space="preserve"> season compared to </w:t>
      </w:r>
      <w:r w:rsidRPr="001F0E70">
        <w:rPr>
          <w:rFonts w:ascii="Calibri" w:hAnsi="Calibri" w:cs="Calibri"/>
          <w:sz w:val="22"/>
          <w:szCs w:val="22"/>
          <w:lang w:val="en-US"/>
        </w:rPr>
        <w:lastRenderedPageBreak/>
        <w:t>2023/2024 (Figure 2). While the start of season (SOS) was roughly the same in both periods, the 2022/2023 season ended earlier.</w:t>
      </w:r>
      <w:r>
        <w:rPr>
          <w:rFonts w:ascii="Calibri" w:hAnsi="Calibri" w:cs="Calibri"/>
          <w:sz w:val="22"/>
          <w:szCs w:val="22"/>
          <w:lang w:val="en-US"/>
        </w:rPr>
        <w:t xml:space="preserve"> </w:t>
      </w:r>
      <w:r w:rsidRPr="001F0E70">
        <w:rPr>
          <w:rFonts w:ascii="Calibri" w:hAnsi="Calibri" w:cs="Calibri"/>
          <w:sz w:val="22"/>
          <w:szCs w:val="22"/>
          <w:lang w:val="en-US"/>
        </w:rPr>
        <w:t xml:space="preserve">For the short </w:t>
      </w:r>
      <w:r w:rsidRPr="001F0E70">
        <w:rPr>
          <w:rFonts w:ascii="Calibri" w:hAnsi="Calibri" w:cs="Calibri"/>
          <w:sz w:val="22"/>
          <w:szCs w:val="22"/>
          <w:lang w:val="en-US"/>
        </w:rPr>
        <w:t>rainy</w:t>
      </w:r>
      <w:r w:rsidRPr="001F0E70">
        <w:rPr>
          <w:rFonts w:ascii="Calibri" w:hAnsi="Calibri" w:cs="Calibri"/>
          <w:sz w:val="22"/>
          <w:szCs w:val="22"/>
          <w:lang w:val="en-US"/>
        </w:rPr>
        <w:t xml:space="preserve"> season, the overall seasonality at this location was also similar across both periods, although in 2022/2023 the SOS was slightly delayed (Figure 2).</w:t>
      </w:r>
    </w:p>
    <w:p w14:paraId="1118A8DC" w14:textId="35CB89E9" w:rsidR="002A705E" w:rsidRDefault="00EB0FED" w:rsidP="00450EEE">
      <w:pPr>
        <w:spacing w:line="360" w:lineRule="auto"/>
        <w:jc w:val="both"/>
        <w:rPr>
          <w:rFonts w:ascii="Calibri" w:hAnsi="Calibri" w:cs="Calibri"/>
          <w:sz w:val="22"/>
          <w:szCs w:val="22"/>
          <w:lang w:val="en-US"/>
        </w:rPr>
      </w:pPr>
      <w:r w:rsidRPr="00522A83">
        <w:rPr>
          <w:rFonts w:ascii="Calibri" w:hAnsi="Calibri" w:cs="Calibri"/>
          <w:noProof/>
          <w:sz w:val="22"/>
          <w:szCs w:val="22"/>
          <w:lang w:val="en-US"/>
        </w:rPr>
        <w:drawing>
          <wp:inline distT="0" distB="0" distL="0" distR="0" wp14:anchorId="5C7679D2" wp14:editId="19178FEF">
            <wp:extent cx="5731510" cy="3267075"/>
            <wp:effectExtent l="0" t="0" r="2540" b="9525"/>
            <wp:docPr id="309407570" name="Picture 6" descr="A graph showing the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7570" name="Picture 6" descr="A graph showing the number of data&#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257C914B" w14:textId="6E874A3F" w:rsidR="00242535" w:rsidRPr="00522A83" w:rsidRDefault="00242535" w:rsidP="00450EEE">
      <w:pPr>
        <w:spacing w:line="360" w:lineRule="auto"/>
        <w:jc w:val="both"/>
        <w:rPr>
          <w:rFonts w:ascii="Calibri" w:hAnsi="Calibri" w:cs="Calibri"/>
          <w:sz w:val="22"/>
          <w:szCs w:val="22"/>
          <w:lang w:val="en-US"/>
        </w:rPr>
      </w:pPr>
      <w:r w:rsidRPr="00314FB6">
        <w:rPr>
          <w:rFonts w:ascii="Calibri" w:hAnsi="Calibri" w:cs="Calibri"/>
          <w:i/>
          <w:iCs/>
          <w:color w:val="60CAF3" w:themeColor="accent4" w:themeTint="99"/>
          <w:sz w:val="20"/>
          <w:szCs w:val="20"/>
          <w:lang w:val="en-US"/>
        </w:rPr>
        <w:t>Figure</w:t>
      </w:r>
      <w:r w:rsidR="00A22827" w:rsidRPr="00314FB6">
        <w:rPr>
          <w:rFonts w:ascii="Calibri" w:hAnsi="Calibri" w:cs="Calibri"/>
          <w:i/>
          <w:iCs/>
          <w:color w:val="60CAF3" w:themeColor="accent4" w:themeTint="99"/>
          <w:sz w:val="20"/>
          <w:szCs w:val="20"/>
          <w:lang w:val="en-US"/>
        </w:rPr>
        <w:t xml:space="preserve"> 2: Phenological metrics for a single sample location</w:t>
      </w:r>
      <w:r w:rsidR="00314FB6" w:rsidRPr="00314FB6">
        <w:rPr>
          <w:rFonts w:ascii="Calibri" w:hAnsi="Calibri" w:cs="Calibri"/>
          <w:i/>
          <w:iCs/>
          <w:color w:val="60CAF3" w:themeColor="accent4" w:themeTint="99"/>
          <w:sz w:val="20"/>
          <w:szCs w:val="20"/>
          <w:lang w:val="en-US"/>
        </w:rPr>
        <w:t>. SOS = Strat of the Season and EOS = End of the Season.</w:t>
      </w:r>
    </w:p>
    <w:p w14:paraId="206D6E87" w14:textId="36208EE2" w:rsidR="004E5192" w:rsidRPr="00522A83" w:rsidRDefault="00246E98" w:rsidP="00450EEE">
      <w:pPr>
        <w:spacing w:line="360" w:lineRule="auto"/>
        <w:jc w:val="both"/>
        <w:rPr>
          <w:rFonts w:ascii="Calibri" w:hAnsi="Calibri" w:cs="Calibri"/>
          <w:sz w:val="22"/>
          <w:szCs w:val="22"/>
          <w:lang w:val="en-US"/>
        </w:rPr>
      </w:pPr>
      <w:r w:rsidRPr="00522A83">
        <w:rPr>
          <w:rFonts w:ascii="Calibri" w:hAnsi="Calibri" w:cs="Calibri"/>
          <w:sz w:val="22"/>
          <w:szCs w:val="22"/>
          <w:lang w:val="en-US"/>
        </w:rPr>
        <w:t xml:space="preserve">Spatial phenological metrics show variability both within and between the two periods (Figure 3). In some areas, vegetation did not green up during the expected 'long rains' season (April–May) but instead showed a late green-up starting around September or October (Figure 3). This pattern is especially noticeable in the 2022/2023 period, suggesting that rainfall during this season may not have followed the usual pattern, with the long rains </w:t>
      </w:r>
      <w:proofErr w:type="gramStart"/>
      <w:r w:rsidRPr="00522A83">
        <w:rPr>
          <w:rFonts w:ascii="Calibri" w:hAnsi="Calibri" w:cs="Calibri"/>
          <w:sz w:val="22"/>
          <w:szCs w:val="22"/>
          <w:lang w:val="en-US"/>
        </w:rPr>
        <w:t>failing</w:t>
      </w:r>
      <w:proofErr w:type="gramEnd"/>
      <w:r w:rsidRPr="00522A83">
        <w:rPr>
          <w:rFonts w:ascii="Calibri" w:hAnsi="Calibri" w:cs="Calibri"/>
          <w:sz w:val="22"/>
          <w:szCs w:val="22"/>
          <w:lang w:val="en-US"/>
        </w:rPr>
        <w:t xml:space="preserve"> in many parts of the region. In contrast, the 2023/2024 period shows a more typical seasonal pattern across most areas. During this period, green-up in the long rainy season begins around April and ends around July, while the short rainy season starts around September/October and ends by January. This suggests that 2023/2024 was a relatively normal year compared to 2022/2023</w:t>
      </w:r>
      <w:r w:rsidR="00664E86" w:rsidRPr="00522A83">
        <w:rPr>
          <w:rFonts w:ascii="Calibri" w:hAnsi="Calibri" w:cs="Calibri"/>
          <w:sz w:val="22"/>
          <w:szCs w:val="22"/>
          <w:lang w:val="en-US"/>
        </w:rPr>
        <w:t>.</w:t>
      </w:r>
    </w:p>
    <w:p w14:paraId="17FB3203" w14:textId="4D612F8A" w:rsidR="00C2372D" w:rsidRPr="00522A83" w:rsidRDefault="00051601" w:rsidP="00450EEE">
      <w:pPr>
        <w:spacing w:line="360" w:lineRule="auto"/>
        <w:jc w:val="both"/>
        <w:rPr>
          <w:rFonts w:ascii="Calibri" w:hAnsi="Calibri" w:cs="Calibri"/>
          <w:sz w:val="22"/>
          <w:szCs w:val="22"/>
          <w:lang w:val="en-US"/>
        </w:rPr>
      </w:pPr>
      <w:r w:rsidRPr="00522A83">
        <w:rPr>
          <w:rFonts w:ascii="Calibri" w:hAnsi="Calibri" w:cs="Calibri"/>
          <w:noProof/>
          <w:sz w:val="22"/>
          <w:szCs w:val="22"/>
          <w:lang w:val="en-US"/>
        </w:rPr>
        <w:lastRenderedPageBreak/>
        <w:drawing>
          <wp:inline distT="0" distB="0" distL="0" distR="0" wp14:anchorId="24699BF3" wp14:editId="5FD1279A">
            <wp:extent cx="5731510" cy="2846070"/>
            <wp:effectExtent l="0" t="0" r="2540" b="0"/>
            <wp:docPr id="1151057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57865" name="Picture 11510578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62A80004" w14:textId="01011F9C" w:rsidR="00E67B72" w:rsidRDefault="00E67B72" w:rsidP="00450EEE">
      <w:pPr>
        <w:spacing w:line="360" w:lineRule="auto"/>
        <w:jc w:val="both"/>
        <w:rPr>
          <w:rFonts w:ascii="Calibri" w:hAnsi="Calibri" w:cs="Calibri"/>
          <w:i/>
          <w:iCs/>
          <w:color w:val="60CAF3" w:themeColor="accent4" w:themeTint="99"/>
          <w:sz w:val="20"/>
          <w:szCs w:val="20"/>
          <w:lang w:val="en-US"/>
        </w:rPr>
      </w:pPr>
      <w:r w:rsidRPr="00242535">
        <w:rPr>
          <w:rFonts w:ascii="Calibri" w:hAnsi="Calibri" w:cs="Calibri"/>
          <w:i/>
          <w:iCs/>
          <w:color w:val="60CAF3" w:themeColor="accent4" w:themeTint="99"/>
          <w:sz w:val="20"/>
          <w:szCs w:val="20"/>
          <w:lang w:val="en-US"/>
        </w:rPr>
        <w:t xml:space="preserve">Figure 3: Phenological metrics </w:t>
      </w:r>
      <w:r w:rsidR="005E5D3A" w:rsidRPr="00242535">
        <w:rPr>
          <w:rFonts w:ascii="Calibri" w:hAnsi="Calibri" w:cs="Calibri"/>
          <w:i/>
          <w:iCs/>
          <w:color w:val="60CAF3" w:themeColor="accent4" w:themeTint="99"/>
          <w:sz w:val="20"/>
          <w:szCs w:val="20"/>
          <w:lang w:val="en-US"/>
        </w:rPr>
        <w:t>for the study extent. P1 is 2022/2023 and P2 is 2023/2024. SOS= Start of the Season and EOS = End of the Season</w:t>
      </w:r>
      <w:r w:rsidR="00BB6F7D" w:rsidRPr="00242535">
        <w:rPr>
          <w:rFonts w:ascii="Calibri" w:hAnsi="Calibri" w:cs="Calibri"/>
          <w:i/>
          <w:iCs/>
          <w:color w:val="60CAF3" w:themeColor="accent4" w:themeTint="99"/>
          <w:sz w:val="20"/>
          <w:szCs w:val="20"/>
          <w:lang w:val="en-US"/>
        </w:rPr>
        <w:t xml:space="preserve">. The scale bar shows </w:t>
      </w:r>
      <w:proofErr w:type="spellStart"/>
      <w:proofErr w:type="gramStart"/>
      <w:r w:rsidR="00BB6F7D" w:rsidRPr="00242535">
        <w:rPr>
          <w:rFonts w:ascii="Calibri" w:hAnsi="Calibri" w:cs="Calibri"/>
          <w:i/>
          <w:iCs/>
          <w:color w:val="60CAF3" w:themeColor="accent4" w:themeTint="99"/>
          <w:sz w:val="20"/>
          <w:szCs w:val="20"/>
          <w:lang w:val="en-US"/>
        </w:rPr>
        <w:t>day.month</w:t>
      </w:r>
      <w:proofErr w:type="spellEnd"/>
      <w:proofErr w:type="gramEnd"/>
      <w:r w:rsidR="001A6143" w:rsidRPr="00242535">
        <w:rPr>
          <w:rFonts w:ascii="Calibri" w:hAnsi="Calibri" w:cs="Calibri"/>
          <w:i/>
          <w:iCs/>
          <w:color w:val="60CAF3" w:themeColor="accent4" w:themeTint="99"/>
          <w:sz w:val="20"/>
          <w:szCs w:val="20"/>
          <w:lang w:val="en-US"/>
        </w:rPr>
        <w:t>.</w:t>
      </w:r>
    </w:p>
    <w:p w14:paraId="317A6CBB" w14:textId="38343F8D" w:rsidR="00497A40" w:rsidRDefault="00105817" w:rsidP="00FA2F42">
      <w:pPr>
        <w:spacing w:line="360" w:lineRule="auto"/>
        <w:jc w:val="both"/>
        <w:rPr>
          <w:rFonts w:ascii="Calibri" w:hAnsi="Calibri" w:cs="Calibri"/>
          <w:sz w:val="22"/>
          <w:szCs w:val="22"/>
          <w:lang w:val="en-US"/>
        </w:rPr>
      </w:pPr>
      <w:r w:rsidRPr="00105817">
        <w:rPr>
          <w:rFonts w:ascii="Calibri" w:hAnsi="Calibri" w:cs="Calibri"/>
          <w:sz w:val="22"/>
          <w:szCs w:val="22"/>
          <w:lang w:val="en-US"/>
        </w:rPr>
        <w:t>For</w:t>
      </w:r>
      <w:r w:rsidR="00DA24DA" w:rsidRPr="00DA24DA">
        <w:rPr>
          <w:rFonts w:ascii="Calibri" w:hAnsi="Calibri" w:cs="Calibri"/>
          <w:sz w:val="22"/>
          <w:szCs w:val="22"/>
          <w:lang w:val="en-US"/>
        </w:rPr>
        <w:t xml:space="preserve"> vegetation productivity estimated as the total EVI between the start (SOS) and end (EOS) of each season, results</w:t>
      </w:r>
      <w:r w:rsidR="00372003">
        <w:rPr>
          <w:rFonts w:ascii="Calibri" w:hAnsi="Calibri" w:cs="Calibri"/>
          <w:sz w:val="22"/>
          <w:szCs w:val="22"/>
          <w:lang w:val="en-US"/>
        </w:rPr>
        <w:t xml:space="preserve"> (F</w:t>
      </w:r>
      <w:r w:rsidR="00497A40">
        <w:rPr>
          <w:rFonts w:ascii="Calibri" w:hAnsi="Calibri" w:cs="Calibri"/>
          <w:sz w:val="22"/>
          <w:szCs w:val="22"/>
          <w:lang w:val="en-US"/>
        </w:rPr>
        <w:t>igure 4)</w:t>
      </w:r>
      <w:r w:rsidR="00DA24DA" w:rsidRPr="00DA24DA">
        <w:rPr>
          <w:rFonts w:ascii="Calibri" w:hAnsi="Calibri" w:cs="Calibri"/>
          <w:sz w:val="22"/>
          <w:szCs w:val="22"/>
          <w:lang w:val="en-US"/>
        </w:rPr>
        <w:t xml:space="preserve"> show a consistent increase in productivity during Period 2 (P2: 2023/2024) compared to Period 1 (P1: 2022/2023). In Season 1, mean productivity rose from 1.76 in P1 to 2.73 in P2, and in Season 2, from 1.92 to 3.04</w:t>
      </w:r>
      <w:r w:rsidR="000152A1">
        <w:rPr>
          <w:rFonts w:ascii="Calibri" w:hAnsi="Calibri" w:cs="Calibri"/>
          <w:sz w:val="22"/>
          <w:szCs w:val="22"/>
          <w:lang w:val="en-US"/>
        </w:rPr>
        <w:t xml:space="preserve"> (Table 1)</w:t>
      </w:r>
      <w:r w:rsidR="00DA24DA" w:rsidRPr="00DA24DA">
        <w:rPr>
          <w:rFonts w:ascii="Calibri" w:hAnsi="Calibri" w:cs="Calibri"/>
          <w:sz w:val="22"/>
          <w:szCs w:val="22"/>
          <w:lang w:val="en-US"/>
        </w:rPr>
        <w:t>. The difference maps further highlight this trend, with average differences of −1.04 (Season 1) and −1.40 (Season 2), indicating higher productivity in P2 across most of the study area. While a few localized areas had slightly greater productivity in P1, the broader spatial pattern points to more favorable vegetation conditions in P2.</w:t>
      </w:r>
    </w:p>
    <w:p w14:paraId="31883C2A" w14:textId="7C0833C0" w:rsidR="00BA61F9" w:rsidRPr="000152A1" w:rsidRDefault="00BA61F9" w:rsidP="00FA2F42">
      <w:pPr>
        <w:spacing w:line="360" w:lineRule="auto"/>
        <w:jc w:val="both"/>
        <w:rPr>
          <w:rFonts w:ascii="Calibri" w:hAnsi="Calibri" w:cs="Calibri"/>
          <w:i/>
          <w:iCs/>
          <w:color w:val="60CAF3" w:themeColor="accent4" w:themeTint="99"/>
          <w:sz w:val="20"/>
          <w:szCs w:val="20"/>
          <w:lang w:val="en-US"/>
        </w:rPr>
      </w:pPr>
      <w:r w:rsidRPr="000152A1">
        <w:rPr>
          <w:rFonts w:ascii="Calibri" w:hAnsi="Calibri" w:cs="Calibri"/>
          <w:i/>
          <w:iCs/>
          <w:color w:val="60CAF3" w:themeColor="accent4" w:themeTint="99"/>
          <w:sz w:val="20"/>
          <w:szCs w:val="20"/>
          <w:lang w:val="en-US"/>
        </w:rPr>
        <w:t xml:space="preserve">Table 1: Summary statistics of </w:t>
      </w:r>
      <w:r w:rsidR="000152A1" w:rsidRPr="000152A1">
        <w:rPr>
          <w:rFonts w:ascii="Calibri" w:hAnsi="Calibri" w:cs="Calibri"/>
          <w:i/>
          <w:iCs/>
          <w:color w:val="60CAF3" w:themeColor="accent4" w:themeTint="99"/>
          <w:sz w:val="20"/>
          <w:szCs w:val="20"/>
          <w:lang w:val="en-US"/>
        </w:rPr>
        <w:t>EVI-based vegetation productivity.</w:t>
      </w:r>
    </w:p>
    <w:tbl>
      <w:tblPr>
        <w:tblStyle w:val="GridTable1Light"/>
        <w:tblW w:w="0" w:type="auto"/>
        <w:tblLook w:val="04A0" w:firstRow="1" w:lastRow="0" w:firstColumn="1" w:lastColumn="0" w:noHBand="0" w:noVBand="1"/>
      </w:tblPr>
      <w:tblGrid>
        <w:gridCol w:w="2263"/>
        <w:gridCol w:w="1418"/>
        <w:gridCol w:w="1276"/>
        <w:gridCol w:w="1417"/>
        <w:gridCol w:w="1276"/>
        <w:gridCol w:w="1366"/>
      </w:tblGrid>
      <w:tr w:rsidR="00C400C4" w:rsidRPr="009E67B8" w14:paraId="7CA0271A" w14:textId="67460BF7" w:rsidTr="00505D80">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tcPr>
          <w:p w14:paraId="51AA9498" w14:textId="77777777" w:rsidR="00C400C4" w:rsidRPr="009E67B8" w:rsidRDefault="00C400C4" w:rsidP="009E67B8">
            <w:pPr>
              <w:jc w:val="both"/>
              <w:rPr>
                <w:rFonts w:ascii="Calibri" w:hAnsi="Calibri" w:cs="Calibri"/>
                <w:sz w:val="18"/>
                <w:szCs w:val="18"/>
                <w:lang w:val="en-US"/>
              </w:rPr>
            </w:pPr>
          </w:p>
        </w:tc>
        <w:tc>
          <w:tcPr>
            <w:tcW w:w="1418" w:type="dxa"/>
          </w:tcPr>
          <w:p w14:paraId="1813747F" w14:textId="356DE98E" w:rsidR="00C400C4" w:rsidRPr="009E67B8" w:rsidRDefault="00C400C4" w:rsidP="009E67B8">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Mean</w:t>
            </w:r>
          </w:p>
        </w:tc>
        <w:tc>
          <w:tcPr>
            <w:tcW w:w="1276" w:type="dxa"/>
          </w:tcPr>
          <w:p w14:paraId="3D68E77B" w14:textId="3C9D837A" w:rsidR="00C400C4" w:rsidRPr="009E67B8" w:rsidRDefault="00C400C4" w:rsidP="009E67B8">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Median</w:t>
            </w:r>
          </w:p>
        </w:tc>
        <w:tc>
          <w:tcPr>
            <w:tcW w:w="1417" w:type="dxa"/>
          </w:tcPr>
          <w:p w14:paraId="7C852E20" w14:textId="3F585BC8" w:rsidR="00C400C4" w:rsidRPr="009E67B8" w:rsidRDefault="00C400C4" w:rsidP="009E67B8">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Min</w:t>
            </w:r>
          </w:p>
        </w:tc>
        <w:tc>
          <w:tcPr>
            <w:tcW w:w="1276" w:type="dxa"/>
          </w:tcPr>
          <w:p w14:paraId="1C4776AA" w14:textId="104E8621" w:rsidR="00C400C4" w:rsidRPr="009E67B8" w:rsidRDefault="00C400C4" w:rsidP="009E67B8">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Max</w:t>
            </w:r>
          </w:p>
        </w:tc>
        <w:tc>
          <w:tcPr>
            <w:tcW w:w="1366" w:type="dxa"/>
          </w:tcPr>
          <w:p w14:paraId="0545FCB8" w14:textId="73B2631A" w:rsidR="00C400C4" w:rsidRPr="009E67B8" w:rsidRDefault="00C400C4" w:rsidP="009E67B8">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std</w:t>
            </w:r>
          </w:p>
        </w:tc>
      </w:tr>
      <w:tr w:rsidR="00C400C4" w:rsidRPr="009E67B8" w14:paraId="6E29C94C" w14:textId="30150171"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27091E5D" w14:textId="714001DD" w:rsidR="00C400C4" w:rsidRPr="009E67B8" w:rsidRDefault="00A408F9" w:rsidP="009E67B8">
            <w:pPr>
              <w:jc w:val="both"/>
              <w:rPr>
                <w:rFonts w:ascii="Calibri" w:hAnsi="Calibri" w:cs="Calibri"/>
                <w:sz w:val="18"/>
                <w:szCs w:val="18"/>
                <w:lang w:val="en-US"/>
              </w:rPr>
            </w:pPr>
            <w:r w:rsidRPr="009E67B8">
              <w:rPr>
                <w:rFonts w:ascii="Calibri" w:hAnsi="Calibri" w:cs="Calibri"/>
                <w:sz w:val="18"/>
                <w:szCs w:val="18"/>
                <w:lang w:val="en-US"/>
              </w:rPr>
              <w:t>Season 1 – 22/23</w:t>
            </w:r>
          </w:p>
        </w:tc>
        <w:tc>
          <w:tcPr>
            <w:tcW w:w="1418" w:type="dxa"/>
          </w:tcPr>
          <w:p w14:paraId="23DE8A76" w14:textId="667B31D8" w:rsidR="00C400C4" w:rsidRPr="009E67B8" w:rsidRDefault="00BA634F" w:rsidP="009E67B8">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1</w:t>
            </w:r>
            <w:r w:rsidR="009E67B8">
              <w:rPr>
                <w:rFonts w:ascii="Calibri" w:hAnsi="Calibri" w:cs="Calibri"/>
                <w:sz w:val="18"/>
                <w:szCs w:val="18"/>
                <w:lang w:val="en-US"/>
              </w:rPr>
              <w:t>.</w:t>
            </w:r>
            <w:r w:rsidRPr="009E67B8">
              <w:rPr>
                <w:rFonts w:ascii="Calibri" w:hAnsi="Calibri" w:cs="Calibri"/>
                <w:sz w:val="18"/>
                <w:szCs w:val="18"/>
                <w:lang w:val="en-US"/>
              </w:rPr>
              <w:t>76</w:t>
            </w:r>
          </w:p>
        </w:tc>
        <w:tc>
          <w:tcPr>
            <w:tcW w:w="1276" w:type="dxa"/>
          </w:tcPr>
          <w:p w14:paraId="2B729EF2" w14:textId="2587838B" w:rsidR="00C400C4" w:rsidRPr="009E67B8" w:rsidRDefault="003A46DA"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1.57</w:t>
            </w:r>
          </w:p>
        </w:tc>
        <w:tc>
          <w:tcPr>
            <w:tcW w:w="1417" w:type="dxa"/>
          </w:tcPr>
          <w:p w14:paraId="674867BA" w14:textId="4550BFBF" w:rsidR="00C400C4" w:rsidRPr="009E67B8" w:rsidRDefault="003A46DA"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0.054</w:t>
            </w:r>
          </w:p>
        </w:tc>
        <w:tc>
          <w:tcPr>
            <w:tcW w:w="1276" w:type="dxa"/>
          </w:tcPr>
          <w:p w14:paraId="5FC04527" w14:textId="33809C2D" w:rsidR="00C400C4" w:rsidRPr="009E67B8" w:rsidRDefault="003A46DA"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10.59</w:t>
            </w:r>
          </w:p>
        </w:tc>
        <w:tc>
          <w:tcPr>
            <w:tcW w:w="1366" w:type="dxa"/>
          </w:tcPr>
          <w:p w14:paraId="30E50932" w14:textId="09B976A0" w:rsidR="00C400C4" w:rsidRPr="009E67B8" w:rsidRDefault="003A46DA"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0.89</w:t>
            </w:r>
          </w:p>
        </w:tc>
      </w:tr>
      <w:tr w:rsidR="00C400C4" w:rsidRPr="009E67B8" w14:paraId="34736F27" w14:textId="4C011B65"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541C6A89" w14:textId="5006E309" w:rsidR="00C400C4" w:rsidRPr="009E67B8" w:rsidRDefault="00A408F9" w:rsidP="009E67B8">
            <w:pPr>
              <w:jc w:val="both"/>
              <w:rPr>
                <w:rFonts w:ascii="Calibri" w:hAnsi="Calibri" w:cs="Calibri"/>
                <w:sz w:val="18"/>
                <w:szCs w:val="18"/>
                <w:lang w:val="en-US"/>
              </w:rPr>
            </w:pPr>
            <w:r w:rsidRPr="009E67B8">
              <w:rPr>
                <w:rFonts w:ascii="Calibri" w:hAnsi="Calibri" w:cs="Calibri"/>
                <w:sz w:val="18"/>
                <w:szCs w:val="18"/>
                <w:lang w:val="en-US"/>
              </w:rPr>
              <w:t>Season 1 – 2</w:t>
            </w:r>
            <w:r w:rsidRPr="009E67B8">
              <w:rPr>
                <w:rFonts w:ascii="Calibri" w:hAnsi="Calibri" w:cs="Calibri"/>
                <w:sz w:val="18"/>
                <w:szCs w:val="18"/>
                <w:lang w:val="en-US"/>
              </w:rPr>
              <w:t>3</w:t>
            </w:r>
            <w:r w:rsidRPr="009E67B8">
              <w:rPr>
                <w:rFonts w:ascii="Calibri" w:hAnsi="Calibri" w:cs="Calibri"/>
                <w:sz w:val="18"/>
                <w:szCs w:val="18"/>
                <w:lang w:val="en-US"/>
              </w:rPr>
              <w:t>/2</w:t>
            </w:r>
            <w:r w:rsidRPr="009E67B8">
              <w:rPr>
                <w:rFonts w:ascii="Calibri" w:hAnsi="Calibri" w:cs="Calibri"/>
                <w:sz w:val="18"/>
                <w:szCs w:val="18"/>
                <w:lang w:val="en-US"/>
              </w:rPr>
              <w:t>4</w:t>
            </w:r>
          </w:p>
        </w:tc>
        <w:tc>
          <w:tcPr>
            <w:tcW w:w="1418" w:type="dxa"/>
          </w:tcPr>
          <w:p w14:paraId="612FE268" w14:textId="5245DB88" w:rsidR="00C400C4" w:rsidRPr="009E67B8" w:rsidRDefault="00BA634F"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2.73</w:t>
            </w:r>
          </w:p>
        </w:tc>
        <w:tc>
          <w:tcPr>
            <w:tcW w:w="1276" w:type="dxa"/>
          </w:tcPr>
          <w:p w14:paraId="050DAB6B" w14:textId="185CFB8F" w:rsidR="00C400C4" w:rsidRPr="009E67B8" w:rsidRDefault="00C4706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2</w:t>
            </w:r>
            <w:r w:rsidR="00012705">
              <w:rPr>
                <w:rFonts w:ascii="Calibri" w:hAnsi="Calibri" w:cs="Calibri"/>
                <w:sz w:val="18"/>
                <w:szCs w:val="18"/>
                <w:lang w:val="en-US"/>
              </w:rPr>
              <w:t>.</w:t>
            </w:r>
            <w:r>
              <w:rPr>
                <w:rFonts w:ascii="Calibri" w:hAnsi="Calibri" w:cs="Calibri"/>
                <w:sz w:val="18"/>
                <w:szCs w:val="18"/>
                <w:lang w:val="en-US"/>
              </w:rPr>
              <w:t>58</w:t>
            </w:r>
          </w:p>
        </w:tc>
        <w:tc>
          <w:tcPr>
            <w:tcW w:w="1417" w:type="dxa"/>
          </w:tcPr>
          <w:p w14:paraId="7875D01B" w14:textId="0762F2A7" w:rsidR="00C400C4" w:rsidRPr="009E67B8" w:rsidRDefault="00C4706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0.054</w:t>
            </w:r>
          </w:p>
        </w:tc>
        <w:tc>
          <w:tcPr>
            <w:tcW w:w="1276" w:type="dxa"/>
          </w:tcPr>
          <w:p w14:paraId="5ABD8A67" w14:textId="65290007" w:rsidR="00C400C4" w:rsidRPr="009E67B8" w:rsidRDefault="00C4706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11.39</w:t>
            </w:r>
          </w:p>
        </w:tc>
        <w:tc>
          <w:tcPr>
            <w:tcW w:w="1366" w:type="dxa"/>
          </w:tcPr>
          <w:p w14:paraId="6184C383" w14:textId="23048792" w:rsidR="00C400C4" w:rsidRPr="009E67B8" w:rsidRDefault="00C4706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1.23</w:t>
            </w:r>
          </w:p>
        </w:tc>
      </w:tr>
      <w:tr w:rsidR="00C400C4" w:rsidRPr="009E67B8" w14:paraId="63BF29DF" w14:textId="3CF9EF90"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4B7C0DEC" w14:textId="4F4AE771" w:rsidR="00C400C4" w:rsidRPr="009E67B8" w:rsidRDefault="00D21C42" w:rsidP="009E67B8">
            <w:pPr>
              <w:jc w:val="both"/>
              <w:rPr>
                <w:rFonts w:ascii="Calibri" w:hAnsi="Calibri" w:cs="Calibri"/>
                <w:sz w:val="18"/>
                <w:szCs w:val="18"/>
                <w:lang w:val="en-US"/>
              </w:rPr>
            </w:pPr>
            <w:r w:rsidRPr="009E67B8">
              <w:rPr>
                <w:rFonts w:ascii="Calibri" w:hAnsi="Calibri" w:cs="Calibri"/>
                <w:sz w:val="18"/>
                <w:szCs w:val="18"/>
                <w:lang w:val="en-US"/>
              </w:rPr>
              <w:t>Diff – Season 1</w:t>
            </w:r>
          </w:p>
        </w:tc>
        <w:tc>
          <w:tcPr>
            <w:tcW w:w="1418" w:type="dxa"/>
          </w:tcPr>
          <w:p w14:paraId="712F0002" w14:textId="33C2DC10" w:rsidR="00C400C4" w:rsidRPr="009E67B8" w:rsidRDefault="00BA634F"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-1.04</w:t>
            </w:r>
          </w:p>
        </w:tc>
        <w:tc>
          <w:tcPr>
            <w:tcW w:w="1276" w:type="dxa"/>
          </w:tcPr>
          <w:p w14:paraId="33202E6F" w14:textId="50AA9275" w:rsidR="00C400C4" w:rsidRPr="009E67B8" w:rsidRDefault="00605003"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-1.03</w:t>
            </w:r>
          </w:p>
        </w:tc>
        <w:tc>
          <w:tcPr>
            <w:tcW w:w="1417" w:type="dxa"/>
          </w:tcPr>
          <w:p w14:paraId="74A22CC4" w14:textId="2C10CDCF" w:rsidR="00C400C4" w:rsidRPr="009E67B8" w:rsidRDefault="00605003"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-8.11</w:t>
            </w:r>
          </w:p>
        </w:tc>
        <w:tc>
          <w:tcPr>
            <w:tcW w:w="1276" w:type="dxa"/>
          </w:tcPr>
          <w:p w14:paraId="0C9C503F" w14:textId="2260D92E" w:rsidR="00C400C4" w:rsidRPr="009E67B8" w:rsidRDefault="006572CC"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6.75</w:t>
            </w:r>
          </w:p>
        </w:tc>
        <w:tc>
          <w:tcPr>
            <w:tcW w:w="1366" w:type="dxa"/>
          </w:tcPr>
          <w:p w14:paraId="5B682C3F" w14:textId="4D96D9C7" w:rsidR="00C400C4" w:rsidRPr="009E67B8" w:rsidRDefault="006572CC"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1.18</w:t>
            </w:r>
          </w:p>
        </w:tc>
      </w:tr>
      <w:tr w:rsidR="00C400C4" w:rsidRPr="009E67B8" w14:paraId="45029FB4" w14:textId="011690CB"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37B63790" w14:textId="03CFB180" w:rsidR="00C400C4" w:rsidRPr="009E67B8" w:rsidRDefault="00D21C42" w:rsidP="009E67B8">
            <w:pPr>
              <w:jc w:val="both"/>
              <w:rPr>
                <w:rFonts w:ascii="Calibri" w:hAnsi="Calibri" w:cs="Calibri"/>
                <w:sz w:val="18"/>
                <w:szCs w:val="18"/>
                <w:lang w:val="en-US"/>
              </w:rPr>
            </w:pPr>
            <w:r w:rsidRPr="009E67B8">
              <w:rPr>
                <w:rFonts w:ascii="Calibri" w:hAnsi="Calibri" w:cs="Calibri"/>
                <w:sz w:val="18"/>
                <w:szCs w:val="18"/>
                <w:lang w:val="en-US"/>
              </w:rPr>
              <w:t xml:space="preserve">Season </w:t>
            </w:r>
            <w:r w:rsidRPr="009E67B8">
              <w:rPr>
                <w:rFonts w:ascii="Calibri" w:hAnsi="Calibri" w:cs="Calibri"/>
                <w:sz w:val="18"/>
                <w:szCs w:val="18"/>
                <w:lang w:val="en-US"/>
              </w:rPr>
              <w:t>2</w:t>
            </w:r>
            <w:r w:rsidRPr="009E67B8">
              <w:rPr>
                <w:rFonts w:ascii="Calibri" w:hAnsi="Calibri" w:cs="Calibri"/>
                <w:sz w:val="18"/>
                <w:szCs w:val="18"/>
                <w:lang w:val="en-US"/>
              </w:rPr>
              <w:t xml:space="preserve"> – 22/23</w:t>
            </w:r>
          </w:p>
        </w:tc>
        <w:tc>
          <w:tcPr>
            <w:tcW w:w="1418" w:type="dxa"/>
          </w:tcPr>
          <w:p w14:paraId="647E6A33" w14:textId="710F3E01" w:rsidR="00C400C4" w:rsidRPr="009E67B8" w:rsidRDefault="009E67B8"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1.92</w:t>
            </w:r>
          </w:p>
        </w:tc>
        <w:tc>
          <w:tcPr>
            <w:tcW w:w="1276" w:type="dxa"/>
          </w:tcPr>
          <w:p w14:paraId="60BD0D07" w14:textId="0EE96376" w:rsidR="00C400C4" w:rsidRPr="009E67B8" w:rsidRDefault="00586CAD"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1.76</w:t>
            </w:r>
          </w:p>
        </w:tc>
        <w:tc>
          <w:tcPr>
            <w:tcW w:w="1417" w:type="dxa"/>
          </w:tcPr>
          <w:p w14:paraId="4FA9B1F7" w14:textId="0842668D" w:rsidR="00C400C4" w:rsidRPr="009E67B8" w:rsidRDefault="00FB1E5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0.06</w:t>
            </w:r>
          </w:p>
        </w:tc>
        <w:tc>
          <w:tcPr>
            <w:tcW w:w="1276" w:type="dxa"/>
          </w:tcPr>
          <w:p w14:paraId="3C1D2433" w14:textId="0BF64EDA" w:rsidR="00C400C4" w:rsidRPr="009E67B8" w:rsidRDefault="00FB1E5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8.84</w:t>
            </w:r>
          </w:p>
        </w:tc>
        <w:tc>
          <w:tcPr>
            <w:tcW w:w="1366" w:type="dxa"/>
          </w:tcPr>
          <w:p w14:paraId="59BD7896" w14:textId="53294F03" w:rsidR="00C400C4" w:rsidRPr="009E67B8" w:rsidRDefault="00FB1E5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0.86</w:t>
            </w:r>
          </w:p>
        </w:tc>
      </w:tr>
      <w:tr w:rsidR="00D21C42" w:rsidRPr="009E67B8" w14:paraId="4164D91D" w14:textId="77777777"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59D5F085" w14:textId="11F21542" w:rsidR="00D21C42" w:rsidRPr="009E67B8" w:rsidRDefault="00D21C42" w:rsidP="009E67B8">
            <w:pPr>
              <w:jc w:val="both"/>
              <w:rPr>
                <w:rFonts w:ascii="Calibri" w:hAnsi="Calibri" w:cs="Calibri"/>
                <w:sz w:val="18"/>
                <w:szCs w:val="18"/>
                <w:lang w:val="en-US"/>
              </w:rPr>
            </w:pPr>
            <w:r w:rsidRPr="009E67B8">
              <w:rPr>
                <w:rFonts w:ascii="Calibri" w:hAnsi="Calibri" w:cs="Calibri"/>
                <w:sz w:val="18"/>
                <w:szCs w:val="18"/>
                <w:lang w:val="en-US"/>
              </w:rPr>
              <w:t xml:space="preserve">Season </w:t>
            </w:r>
            <w:r w:rsidRPr="009E67B8">
              <w:rPr>
                <w:rFonts w:ascii="Calibri" w:hAnsi="Calibri" w:cs="Calibri"/>
                <w:sz w:val="18"/>
                <w:szCs w:val="18"/>
                <w:lang w:val="en-US"/>
              </w:rPr>
              <w:t>2</w:t>
            </w:r>
            <w:r w:rsidRPr="009E67B8">
              <w:rPr>
                <w:rFonts w:ascii="Calibri" w:hAnsi="Calibri" w:cs="Calibri"/>
                <w:sz w:val="18"/>
                <w:szCs w:val="18"/>
                <w:lang w:val="en-US"/>
              </w:rPr>
              <w:t xml:space="preserve"> – 22/23</w:t>
            </w:r>
          </w:p>
        </w:tc>
        <w:tc>
          <w:tcPr>
            <w:tcW w:w="1418" w:type="dxa"/>
          </w:tcPr>
          <w:p w14:paraId="7F790377" w14:textId="277E9234" w:rsidR="00D21C42" w:rsidRPr="009E67B8" w:rsidRDefault="009E67B8"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3.04</w:t>
            </w:r>
          </w:p>
        </w:tc>
        <w:tc>
          <w:tcPr>
            <w:tcW w:w="1276" w:type="dxa"/>
          </w:tcPr>
          <w:p w14:paraId="6086F4AC" w14:textId="383660AC" w:rsidR="00D21C42" w:rsidRPr="009E67B8" w:rsidRDefault="00FB1E59"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3.</w:t>
            </w:r>
            <w:r w:rsidR="00E4417B">
              <w:rPr>
                <w:rFonts w:ascii="Calibri" w:hAnsi="Calibri" w:cs="Calibri"/>
                <w:sz w:val="18"/>
                <w:szCs w:val="18"/>
                <w:lang w:val="en-US"/>
              </w:rPr>
              <w:t>10</w:t>
            </w:r>
          </w:p>
        </w:tc>
        <w:tc>
          <w:tcPr>
            <w:tcW w:w="1417" w:type="dxa"/>
          </w:tcPr>
          <w:p w14:paraId="346561D9" w14:textId="13FA38E0" w:rsidR="00D21C42" w:rsidRPr="009E67B8" w:rsidRDefault="00E4417B"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0.07</w:t>
            </w:r>
          </w:p>
        </w:tc>
        <w:tc>
          <w:tcPr>
            <w:tcW w:w="1276" w:type="dxa"/>
          </w:tcPr>
          <w:p w14:paraId="306782DF" w14:textId="6D86B43A" w:rsidR="00D21C42" w:rsidRPr="009E67B8" w:rsidRDefault="00E4417B"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8</w:t>
            </w:r>
            <w:r w:rsidR="000A09B5">
              <w:rPr>
                <w:rFonts w:ascii="Calibri" w:hAnsi="Calibri" w:cs="Calibri"/>
                <w:sz w:val="18"/>
                <w:szCs w:val="18"/>
                <w:lang w:val="en-US"/>
              </w:rPr>
              <w:t>.</w:t>
            </w:r>
            <w:r>
              <w:rPr>
                <w:rFonts w:ascii="Calibri" w:hAnsi="Calibri" w:cs="Calibri"/>
                <w:sz w:val="18"/>
                <w:szCs w:val="18"/>
                <w:lang w:val="en-US"/>
              </w:rPr>
              <w:t>84</w:t>
            </w:r>
          </w:p>
        </w:tc>
        <w:tc>
          <w:tcPr>
            <w:tcW w:w="1366" w:type="dxa"/>
          </w:tcPr>
          <w:p w14:paraId="0E1471F7" w14:textId="722D8052" w:rsidR="00D21C42" w:rsidRPr="009E67B8" w:rsidRDefault="00E4417B"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w:t>
            </w:r>
            <w:r w:rsidR="000A09B5">
              <w:rPr>
                <w:rFonts w:ascii="Calibri" w:hAnsi="Calibri" w:cs="Calibri"/>
                <w:sz w:val="18"/>
                <w:szCs w:val="18"/>
                <w:lang w:val="en-US"/>
              </w:rPr>
              <w:t>01</w:t>
            </w:r>
          </w:p>
        </w:tc>
      </w:tr>
      <w:tr w:rsidR="00D21C42" w:rsidRPr="009E67B8" w14:paraId="078D71A1" w14:textId="77777777" w:rsidTr="00505D80">
        <w:trPr>
          <w:trHeight w:val="510"/>
        </w:trPr>
        <w:tc>
          <w:tcPr>
            <w:cnfStyle w:val="001000000000" w:firstRow="0" w:lastRow="0" w:firstColumn="1" w:lastColumn="0" w:oddVBand="0" w:evenVBand="0" w:oddHBand="0" w:evenHBand="0" w:firstRowFirstColumn="0" w:firstRowLastColumn="0" w:lastRowFirstColumn="0" w:lastRowLastColumn="0"/>
            <w:tcW w:w="2263" w:type="dxa"/>
          </w:tcPr>
          <w:p w14:paraId="0250433D" w14:textId="062DF368" w:rsidR="00D21C42" w:rsidRPr="009E67B8" w:rsidRDefault="00D21C42" w:rsidP="009E67B8">
            <w:pPr>
              <w:jc w:val="both"/>
              <w:rPr>
                <w:rFonts w:ascii="Calibri" w:hAnsi="Calibri" w:cs="Calibri"/>
                <w:sz w:val="18"/>
                <w:szCs w:val="18"/>
                <w:lang w:val="en-US"/>
              </w:rPr>
            </w:pPr>
            <w:r w:rsidRPr="009E67B8">
              <w:rPr>
                <w:rFonts w:ascii="Calibri" w:hAnsi="Calibri" w:cs="Calibri"/>
                <w:sz w:val="18"/>
                <w:szCs w:val="18"/>
                <w:lang w:val="en-US"/>
              </w:rPr>
              <w:t xml:space="preserve">Diff – Season </w:t>
            </w:r>
            <w:r w:rsidRPr="009E67B8">
              <w:rPr>
                <w:rFonts w:ascii="Calibri" w:hAnsi="Calibri" w:cs="Calibri"/>
                <w:sz w:val="18"/>
                <w:szCs w:val="18"/>
                <w:lang w:val="en-US"/>
              </w:rPr>
              <w:t>2</w:t>
            </w:r>
          </w:p>
        </w:tc>
        <w:tc>
          <w:tcPr>
            <w:tcW w:w="1418" w:type="dxa"/>
          </w:tcPr>
          <w:p w14:paraId="5C302113" w14:textId="7AE05683" w:rsidR="00D21C42" w:rsidRPr="009E67B8" w:rsidRDefault="009E67B8"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sidRPr="009E67B8">
              <w:rPr>
                <w:rFonts w:ascii="Calibri" w:hAnsi="Calibri" w:cs="Calibri"/>
                <w:sz w:val="18"/>
                <w:szCs w:val="18"/>
                <w:lang w:val="en-US"/>
              </w:rPr>
              <w:t>-1.40</w:t>
            </w:r>
          </w:p>
        </w:tc>
        <w:tc>
          <w:tcPr>
            <w:tcW w:w="1276" w:type="dxa"/>
          </w:tcPr>
          <w:p w14:paraId="3D71C34B" w14:textId="6AB6525C" w:rsidR="00D21C42" w:rsidRPr="009E67B8" w:rsidRDefault="000A09B5"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-1.60</w:t>
            </w:r>
          </w:p>
        </w:tc>
        <w:tc>
          <w:tcPr>
            <w:tcW w:w="1417" w:type="dxa"/>
          </w:tcPr>
          <w:p w14:paraId="505DEDEF" w14:textId="4F5314AB" w:rsidR="00D21C42" w:rsidRPr="009E67B8" w:rsidRDefault="000A09B5"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-6.52</w:t>
            </w:r>
          </w:p>
        </w:tc>
        <w:tc>
          <w:tcPr>
            <w:tcW w:w="1276" w:type="dxa"/>
          </w:tcPr>
          <w:p w14:paraId="3E7DD3EC" w14:textId="3D9069F1" w:rsidR="00D21C42" w:rsidRPr="009E67B8" w:rsidRDefault="00754193"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5.21</w:t>
            </w:r>
          </w:p>
        </w:tc>
        <w:tc>
          <w:tcPr>
            <w:tcW w:w="1366" w:type="dxa"/>
          </w:tcPr>
          <w:p w14:paraId="7C37E65D" w14:textId="760D1C9C" w:rsidR="00D21C42" w:rsidRPr="009E67B8" w:rsidRDefault="00754193" w:rsidP="009E67B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1.31</w:t>
            </w:r>
          </w:p>
        </w:tc>
      </w:tr>
    </w:tbl>
    <w:p w14:paraId="49B4CA02" w14:textId="77777777" w:rsidR="00FA2F42" w:rsidRDefault="00FA2F42" w:rsidP="00FA2F42">
      <w:pPr>
        <w:spacing w:line="360" w:lineRule="auto"/>
        <w:jc w:val="both"/>
        <w:rPr>
          <w:rFonts w:ascii="Calibri" w:hAnsi="Calibri" w:cs="Calibri"/>
          <w:sz w:val="22"/>
          <w:szCs w:val="22"/>
          <w:lang w:val="en-US"/>
        </w:rPr>
      </w:pPr>
    </w:p>
    <w:p w14:paraId="2410A329" w14:textId="76C03AC5" w:rsidR="00942A06" w:rsidRDefault="00942A06" w:rsidP="00FA2F42">
      <w:pPr>
        <w:spacing w:line="360" w:lineRule="auto"/>
        <w:jc w:val="both"/>
        <w:rPr>
          <w:rFonts w:ascii="Calibri" w:hAnsi="Calibri" w:cs="Calibri"/>
          <w:sz w:val="22"/>
          <w:szCs w:val="22"/>
          <w:lang w:val="en-US"/>
        </w:rPr>
      </w:pPr>
      <w:r>
        <w:rPr>
          <w:rFonts w:ascii="Calibri" w:hAnsi="Calibri" w:cs="Calibri"/>
          <w:noProof/>
          <w:sz w:val="22"/>
          <w:szCs w:val="22"/>
          <w:lang w:val="en-US"/>
        </w:rPr>
        <w:lastRenderedPageBreak/>
        <w:drawing>
          <wp:inline distT="0" distB="0" distL="0" distR="0" wp14:anchorId="479B9AFE" wp14:editId="4F310E19">
            <wp:extent cx="5731510" cy="3216910"/>
            <wp:effectExtent l="0" t="0" r="2540" b="2540"/>
            <wp:docPr id="428838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38019" name="Picture 4288380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3F417552" w14:textId="1F5AB14D" w:rsidR="00D31856" w:rsidRPr="00BA61F9" w:rsidRDefault="00D31856" w:rsidP="00FA2F42">
      <w:pPr>
        <w:spacing w:line="360" w:lineRule="auto"/>
        <w:jc w:val="both"/>
        <w:rPr>
          <w:rFonts w:ascii="Calibri" w:hAnsi="Calibri" w:cs="Calibri"/>
          <w:i/>
          <w:iCs/>
          <w:color w:val="60CAF3" w:themeColor="accent4" w:themeTint="99"/>
          <w:sz w:val="20"/>
          <w:szCs w:val="20"/>
          <w:lang w:val="en-US"/>
        </w:rPr>
      </w:pPr>
      <w:r w:rsidRPr="00BA61F9">
        <w:rPr>
          <w:rFonts w:ascii="Calibri" w:hAnsi="Calibri" w:cs="Calibri"/>
          <w:i/>
          <w:iCs/>
          <w:color w:val="60CAF3" w:themeColor="accent4" w:themeTint="99"/>
          <w:sz w:val="20"/>
          <w:szCs w:val="20"/>
          <w:lang w:val="en-US"/>
        </w:rPr>
        <w:t>Figure 4: Vegetation productivity for both periods</w:t>
      </w:r>
      <w:r w:rsidR="006E5A7F" w:rsidRPr="00BA61F9">
        <w:rPr>
          <w:rFonts w:ascii="Calibri" w:hAnsi="Calibri" w:cs="Calibri"/>
          <w:i/>
          <w:iCs/>
          <w:color w:val="60CAF3" w:themeColor="accent4" w:themeTint="99"/>
          <w:sz w:val="20"/>
          <w:szCs w:val="20"/>
          <w:lang w:val="en-US"/>
        </w:rPr>
        <w:t xml:space="preserve"> and the difference between 2022/2023 and 2023/2024</w:t>
      </w:r>
      <w:r w:rsidR="00BA61F9" w:rsidRPr="00BA61F9">
        <w:rPr>
          <w:rFonts w:ascii="Calibri" w:hAnsi="Calibri" w:cs="Calibri"/>
          <w:i/>
          <w:iCs/>
          <w:color w:val="60CAF3" w:themeColor="accent4" w:themeTint="99"/>
          <w:sz w:val="20"/>
          <w:szCs w:val="20"/>
          <w:lang w:val="en-US"/>
        </w:rPr>
        <w:t xml:space="preserve"> for each season separately. </w:t>
      </w:r>
    </w:p>
    <w:p w14:paraId="6514A8D5" w14:textId="77777777" w:rsidR="00372003" w:rsidRPr="00522A83" w:rsidRDefault="00372003" w:rsidP="00450EEE">
      <w:pPr>
        <w:spacing w:line="360" w:lineRule="auto"/>
        <w:jc w:val="both"/>
        <w:rPr>
          <w:rFonts w:ascii="Calibri" w:hAnsi="Calibri" w:cs="Calibri"/>
          <w:sz w:val="22"/>
          <w:szCs w:val="22"/>
          <w:lang w:val="en-US"/>
        </w:rPr>
      </w:pPr>
    </w:p>
    <w:p w14:paraId="1A594153" w14:textId="77777777" w:rsidR="00BC00ED" w:rsidRPr="00522A83" w:rsidRDefault="00BC00ED" w:rsidP="00450EEE">
      <w:pPr>
        <w:spacing w:line="360" w:lineRule="auto"/>
        <w:jc w:val="both"/>
        <w:rPr>
          <w:rFonts w:ascii="Calibri" w:hAnsi="Calibri" w:cs="Calibri"/>
          <w:sz w:val="22"/>
          <w:szCs w:val="22"/>
          <w:lang w:val="en-US"/>
        </w:rPr>
      </w:pPr>
    </w:p>
    <w:p w14:paraId="49335739" w14:textId="77777777" w:rsidR="00620BCF" w:rsidRPr="00522A83" w:rsidRDefault="00620BCF" w:rsidP="00450EEE">
      <w:pPr>
        <w:spacing w:line="360" w:lineRule="auto"/>
        <w:jc w:val="both"/>
        <w:rPr>
          <w:rFonts w:ascii="Calibri" w:hAnsi="Calibri" w:cs="Calibri"/>
          <w:sz w:val="22"/>
          <w:szCs w:val="22"/>
          <w:lang w:val="en-US"/>
        </w:rPr>
      </w:pPr>
    </w:p>
    <w:sectPr w:rsidR="00620BCF" w:rsidRPr="00522A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CF"/>
    <w:rsid w:val="00011D68"/>
    <w:rsid w:val="00012705"/>
    <w:rsid w:val="000152A1"/>
    <w:rsid w:val="00026726"/>
    <w:rsid w:val="00051601"/>
    <w:rsid w:val="000839AD"/>
    <w:rsid w:val="00093406"/>
    <w:rsid w:val="000A09B5"/>
    <w:rsid w:val="00105427"/>
    <w:rsid w:val="00105817"/>
    <w:rsid w:val="00151EDA"/>
    <w:rsid w:val="00154E9B"/>
    <w:rsid w:val="001A6143"/>
    <w:rsid w:val="001E0A8D"/>
    <w:rsid w:val="001F0E70"/>
    <w:rsid w:val="00242535"/>
    <w:rsid w:val="00246E98"/>
    <w:rsid w:val="00263877"/>
    <w:rsid w:val="002A705E"/>
    <w:rsid w:val="002C0F54"/>
    <w:rsid w:val="002D0CA5"/>
    <w:rsid w:val="002D5AE7"/>
    <w:rsid w:val="002D7468"/>
    <w:rsid w:val="002F4C12"/>
    <w:rsid w:val="002F5C1C"/>
    <w:rsid w:val="00312141"/>
    <w:rsid w:val="00314FB6"/>
    <w:rsid w:val="003276AE"/>
    <w:rsid w:val="003435B6"/>
    <w:rsid w:val="00372003"/>
    <w:rsid w:val="003947DF"/>
    <w:rsid w:val="003A46DA"/>
    <w:rsid w:val="00404267"/>
    <w:rsid w:val="00441BF3"/>
    <w:rsid w:val="00450EEE"/>
    <w:rsid w:val="0046242F"/>
    <w:rsid w:val="00467693"/>
    <w:rsid w:val="0048025E"/>
    <w:rsid w:val="0048114A"/>
    <w:rsid w:val="004857F4"/>
    <w:rsid w:val="004928EF"/>
    <w:rsid w:val="00497A40"/>
    <w:rsid w:val="004B6151"/>
    <w:rsid w:val="004B6968"/>
    <w:rsid w:val="004E5192"/>
    <w:rsid w:val="004F41EE"/>
    <w:rsid w:val="00505D80"/>
    <w:rsid w:val="0051298B"/>
    <w:rsid w:val="005217B1"/>
    <w:rsid w:val="00522599"/>
    <w:rsid w:val="00522A83"/>
    <w:rsid w:val="0053034D"/>
    <w:rsid w:val="00565C3C"/>
    <w:rsid w:val="00586661"/>
    <w:rsid w:val="00586CAD"/>
    <w:rsid w:val="005D1EE2"/>
    <w:rsid w:val="005E5D3A"/>
    <w:rsid w:val="005F2A4F"/>
    <w:rsid w:val="00605003"/>
    <w:rsid w:val="00620BCF"/>
    <w:rsid w:val="006331BD"/>
    <w:rsid w:val="006341D9"/>
    <w:rsid w:val="00643BEF"/>
    <w:rsid w:val="006572CC"/>
    <w:rsid w:val="00664E86"/>
    <w:rsid w:val="006E108E"/>
    <w:rsid w:val="006E5A7F"/>
    <w:rsid w:val="00724177"/>
    <w:rsid w:val="0073485C"/>
    <w:rsid w:val="00742BE2"/>
    <w:rsid w:val="0074518F"/>
    <w:rsid w:val="00754193"/>
    <w:rsid w:val="007924D6"/>
    <w:rsid w:val="008022AA"/>
    <w:rsid w:val="00835FE4"/>
    <w:rsid w:val="00893B7D"/>
    <w:rsid w:val="008A151C"/>
    <w:rsid w:val="008B2842"/>
    <w:rsid w:val="008D7AE8"/>
    <w:rsid w:val="009042FE"/>
    <w:rsid w:val="00906742"/>
    <w:rsid w:val="00920683"/>
    <w:rsid w:val="00942A06"/>
    <w:rsid w:val="00944D0F"/>
    <w:rsid w:val="00973C4B"/>
    <w:rsid w:val="009A4D4A"/>
    <w:rsid w:val="009E67B8"/>
    <w:rsid w:val="009F105C"/>
    <w:rsid w:val="00A054B4"/>
    <w:rsid w:val="00A22827"/>
    <w:rsid w:val="00A408F9"/>
    <w:rsid w:val="00A84145"/>
    <w:rsid w:val="00B00834"/>
    <w:rsid w:val="00B074B8"/>
    <w:rsid w:val="00B24714"/>
    <w:rsid w:val="00B84030"/>
    <w:rsid w:val="00B944CB"/>
    <w:rsid w:val="00BA4688"/>
    <w:rsid w:val="00BA61F9"/>
    <w:rsid w:val="00BA634F"/>
    <w:rsid w:val="00BB044D"/>
    <w:rsid w:val="00BB6F7D"/>
    <w:rsid w:val="00BC00ED"/>
    <w:rsid w:val="00BD1C59"/>
    <w:rsid w:val="00C102E7"/>
    <w:rsid w:val="00C11D79"/>
    <w:rsid w:val="00C2372D"/>
    <w:rsid w:val="00C400C4"/>
    <w:rsid w:val="00C43414"/>
    <w:rsid w:val="00C44B91"/>
    <w:rsid w:val="00C47069"/>
    <w:rsid w:val="00C73F5A"/>
    <w:rsid w:val="00C973AA"/>
    <w:rsid w:val="00CA7273"/>
    <w:rsid w:val="00CB73F5"/>
    <w:rsid w:val="00CD4473"/>
    <w:rsid w:val="00CE5C7B"/>
    <w:rsid w:val="00CF2C50"/>
    <w:rsid w:val="00D21C42"/>
    <w:rsid w:val="00D31856"/>
    <w:rsid w:val="00D40075"/>
    <w:rsid w:val="00D9077F"/>
    <w:rsid w:val="00DA24DA"/>
    <w:rsid w:val="00DC6536"/>
    <w:rsid w:val="00DD07E4"/>
    <w:rsid w:val="00DD6CE6"/>
    <w:rsid w:val="00E062D4"/>
    <w:rsid w:val="00E16D56"/>
    <w:rsid w:val="00E3502F"/>
    <w:rsid w:val="00E35897"/>
    <w:rsid w:val="00E4417B"/>
    <w:rsid w:val="00E66F26"/>
    <w:rsid w:val="00E67B72"/>
    <w:rsid w:val="00E76383"/>
    <w:rsid w:val="00E82FD7"/>
    <w:rsid w:val="00EA1100"/>
    <w:rsid w:val="00EB0FED"/>
    <w:rsid w:val="00EC000B"/>
    <w:rsid w:val="00ED0AB8"/>
    <w:rsid w:val="00F02C72"/>
    <w:rsid w:val="00F14232"/>
    <w:rsid w:val="00F8586C"/>
    <w:rsid w:val="00FA2F42"/>
    <w:rsid w:val="00FB1E59"/>
    <w:rsid w:val="00FE0D9D"/>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A001"/>
  <w15:chartTrackingRefBased/>
  <w15:docId w15:val="{3583846F-A3A8-4138-9B7A-0E082BDFA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Cs/>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B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0B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0BC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0BC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20BC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20BC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0BC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0BC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0BC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B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0B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0BC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0BC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20BC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20BC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20BC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20BC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20BC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20B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B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BC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BC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20BCF"/>
    <w:pPr>
      <w:spacing w:before="160"/>
      <w:jc w:val="center"/>
    </w:pPr>
    <w:rPr>
      <w:i/>
      <w:iCs/>
      <w:color w:val="404040" w:themeColor="text1" w:themeTint="BF"/>
    </w:rPr>
  </w:style>
  <w:style w:type="character" w:customStyle="1" w:styleId="QuoteChar">
    <w:name w:val="Quote Char"/>
    <w:basedOn w:val="DefaultParagraphFont"/>
    <w:link w:val="Quote"/>
    <w:uiPriority w:val="29"/>
    <w:rsid w:val="00620BCF"/>
    <w:rPr>
      <w:i/>
      <w:iCs/>
      <w:color w:val="404040" w:themeColor="text1" w:themeTint="BF"/>
    </w:rPr>
  </w:style>
  <w:style w:type="paragraph" w:styleId="ListParagraph">
    <w:name w:val="List Paragraph"/>
    <w:basedOn w:val="Normal"/>
    <w:uiPriority w:val="34"/>
    <w:qFormat/>
    <w:rsid w:val="00620BCF"/>
    <w:pPr>
      <w:ind w:left="720"/>
      <w:contextualSpacing/>
    </w:pPr>
  </w:style>
  <w:style w:type="character" w:styleId="IntenseEmphasis">
    <w:name w:val="Intense Emphasis"/>
    <w:basedOn w:val="DefaultParagraphFont"/>
    <w:uiPriority w:val="21"/>
    <w:qFormat/>
    <w:rsid w:val="00620BCF"/>
    <w:rPr>
      <w:i/>
      <w:iCs/>
      <w:color w:val="0F4761" w:themeColor="accent1" w:themeShade="BF"/>
    </w:rPr>
  </w:style>
  <w:style w:type="paragraph" w:styleId="IntenseQuote">
    <w:name w:val="Intense Quote"/>
    <w:basedOn w:val="Normal"/>
    <w:next w:val="Normal"/>
    <w:link w:val="IntenseQuoteChar"/>
    <w:uiPriority w:val="30"/>
    <w:qFormat/>
    <w:rsid w:val="00620B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0BCF"/>
    <w:rPr>
      <w:i/>
      <w:iCs/>
      <w:color w:val="0F4761" w:themeColor="accent1" w:themeShade="BF"/>
    </w:rPr>
  </w:style>
  <w:style w:type="character" w:styleId="IntenseReference">
    <w:name w:val="Intense Reference"/>
    <w:basedOn w:val="DefaultParagraphFont"/>
    <w:uiPriority w:val="32"/>
    <w:qFormat/>
    <w:rsid w:val="00620BCF"/>
    <w:rPr>
      <w:b/>
      <w:bCs w:val="0"/>
      <w:smallCaps/>
      <w:color w:val="0F4761" w:themeColor="accent1" w:themeShade="BF"/>
      <w:spacing w:val="5"/>
    </w:rPr>
  </w:style>
  <w:style w:type="character" w:styleId="Hyperlink">
    <w:name w:val="Hyperlink"/>
    <w:basedOn w:val="DefaultParagraphFont"/>
    <w:uiPriority w:val="99"/>
    <w:unhideWhenUsed/>
    <w:rsid w:val="00620BCF"/>
    <w:rPr>
      <w:color w:val="467886" w:themeColor="hyperlink"/>
      <w:u w:val="single"/>
    </w:rPr>
  </w:style>
  <w:style w:type="character" w:styleId="UnresolvedMention">
    <w:name w:val="Unresolved Mention"/>
    <w:basedOn w:val="DefaultParagraphFont"/>
    <w:uiPriority w:val="99"/>
    <w:semiHidden/>
    <w:unhideWhenUsed/>
    <w:rsid w:val="00620BCF"/>
    <w:rPr>
      <w:color w:val="605E5C"/>
      <w:shd w:val="clear" w:color="auto" w:fill="E1DFDD"/>
    </w:rPr>
  </w:style>
  <w:style w:type="table" w:styleId="TableGrid">
    <w:name w:val="Table Grid"/>
    <w:basedOn w:val="TableNormal"/>
    <w:uiPriority w:val="39"/>
    <w:rsid w:val="00FA2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05D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369</TotalTime>
  <Pages>4</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Gachoki</dc:creator>
  <cp:keywords/>
  <dc:description/>
  <cp:lastModifiedBy>Stella Gachoki</cp:lastModifiedBy>
  <cp:revision>134</cp:revision>
  <dcterms:created xsi:type="dcterms:W3CDTF">2025-04-24T19:48:00Z</dcterms:created>
  <dcterms:modified xsi:type="dcterms:W3CDTF">2025-04-30T15:15:00Z</dcterms:modified>
</cp:coreProperties>
</file>