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60"/>
        <w:ind w:left="3523" w:right="1401"/>
      </w:pPr>
      <w:r>
        <w:rPr/>
        <w:t>University</w:t>
      </w:r>
      <w:r>
        <w:rPr>
          <w:spacing w:val="-22"/>
        </w:rPr>
        <w:t> </w:t>
      </w:r>
      <w:r>
        <w:rPr/>
        <w:t>Admit</w:t>
      </w:r>
      <w:r>
        <w:rPr>
          <w:spacing w:val="-10"/>
        </w:rPr>
        <w:t> </w:t>
      </w:r>
      <w:r>
        <w:rPr/>
        <w:t>Eligibility</w:t>
      </w:r>
      <w:r>
        <w:rPr>
          <w:spacing w:val="-11"/>
        </w:rPr>
        <w:t> </w:t>
      </w:r>
      <w:r>
        <w:rPr/>
        <w:t>Predictor</w:t>
      </w:r>
      <w:r>
        <w:rPr>
          <w:spacing w:val="-91"/>
        </w:rPr>
        <w:t> </w:t>
      </w:r>
      <w:r>
        <w:rPr>
          <w:u w:val="thick"/>
        </w:rPr>
        <w:t>Literature</w:t>
      </w:r>
      <w:r>
        <w:rPr>
          <w:spacing w:val="-2"/>
          <w:u w:val="thick"/>
        </w:rPr>
        <w:t> </w:t>
      </w:r>
      <w:r>
        <w:rPr>
          <w:u w:val="thick"/>
        </w:rPr>
        <w:t>survey</w:t>
      </w:r>
    </w:p>
    <w:p>
      <w:pPr>
        <w:pStyle w:val="BodyText"/>
        <w:spacing w:after="1"/>
        <w:ind w:firstLine="0"/>
        <w:rPr>
          <w:sz w:val="26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60"/>
        <w:gridCol w:w="2000"/>
        <w:gridCol w:w="2080"/>
        <w:gridCol w:w="2100"/>
      </w:tblGrid>
      <w:tr>
        <w:trPr>
          <w:trHeight w:val="870" w:hRule="atLeast"/>
        </w:trPr>
        <w:tc>
          <w:tcPr>
            <w:tcW w:w="2340" w:type="dxa"/>
          </w:tcPr>
          <w:p>
            <w:pPr>
              <w:pStyle w:val="TableParagraph"/>
              <w:spacing w:before="111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JOURNAL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2360" w:type="dxa"/>
          </w:tcPr>
          <w:p>
            <w:pPr>
              <w:pStyle w:val="TableParagraph"/>
              <w:spacing w:before="111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NAME</w:t>
            </w:r>
          </w:p>
        </w:tc>
        <w:tc>
          <w:tcPr>
            <w:tcW w:w="2000" w:type="dxa"/>
          </w:tcPr>
          <w:p>
            <w:pPr>
              <w:pStyle w:val="TableParagraph"/>
              <w:spacing w:before="111"/>
              <w:ind w:left="1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1"/>
              <w:ind w:left="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OBSERVATION</w:t>
            </w:r>
          </w:p>
        </w:tc>
        <w:tc>
          <w:tcPr>
            <w:tcW w:w="2100" w:type="dxa"/>
          </w:tcPr>
          <w:p>
            <w:pPr>
              <w:pStyle w:val="TableParagraph"/>
              <w:spacing w:before="111"/>
              <w:ind w:left="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DRAWBACKS</w:t>
            </w:r>
          </w:p>
        </w:tc>
      </w:tr>
      <w:tr>
        <w:trPr>
          <w:trHeight w:val="2056" w:hRule="atLeast"/>
        </w:trPr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before="96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14"/>
                <w:sz w:val="24"/>
              </w:rPr>
              <w:t> </w:t>
            </w:r>
            <w:r>
              <w:rPr>
                <w:rFonts w:ascii="Arial MT"/>
                <w:sz w:val="24"/>
              </w:rPr>
              <w:t>Comparison of</w:t>
            </w:r>
          </w:p>
          <w:p>
            <w:pPr>
              <w:pStyle w:val="TableParagraph"/>
              <w:ind w:left="104" w:right="13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Regression Models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for Prediction of</w:t>
            </w:r>
            <w:r>
              <w:rPr>
                <w:rFonts w:ascii="Arial MT"/>
                <w:spacing w:val="1"/>
                <w:sz w:val="24"/>
              </w:rPr>
              <w:t> </w:t>
            </w:r>
            <w:r>
              <w:rPr>
                <w:rFonts w:ascii="Arial MT"/>
                <w:sz w:val="24"/>
              </w:rPr>
              <w:t>Graduate</w:t>
            </w:r>
          </w:p>
          <w:p>
            <w:pPr>
              <w:pStyle w:val="TableParagraph"/>
              <w:spacing w:line="400" w:lineRule="atLeast" w:before="2"/>
              <w:ind w:left="104" w:right="27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Admissions, IEEE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International</w:t>
            </w:r>
          </w:p>
        </w:tc>
        <w:tc>
          <w:tcPr>
            <w:tcW w:w="2360" w:type="dxa"/>
            <w:tcBorders>
              <w:bottom w:val="nil"/>
            </w:tcBorders>
          </w:tcPr>
          <w:p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color w:val="111111"/>
                <w:sz w:val="24"/>
              </w:rPr>
              <w:t>A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Comparison</w:t>
            </w:r>
            <w:r>
              <w:rPr>
                <w:color w:val="111111"/>
                <w:spacing w:val="-1"/>
                <w:sz w:val="24"/>
              </w:rPr>
              <w:t> </w:t>
            </w:r>
            <w:r>
              <w:rPr>
                <w:color w:val="111111"/>
                <w:sz w:val="24"/>
              </w:rPr>
              <w:t>of</w:t>
            </w:r>
          </w:p>
          <w:p>
            <w:pPr>
              <w:pStyle w:val="TableParagraph"/>
              <w:ind w:left="89" w:right="187"/>
              <w:rPr>
                <w:sz w:val="24"/>
              </w:rPr>
            </w:pPr>
            <w:r>
              <w:rPr>
                <w:color w:val="111111"/>
                <w:spacing w:val="-2"/>
                <w:sz w:val="24"/>
              </w:rPr>
              <w:t>Regression </w:t>
            </w:r>
            <w:r>
              <w:rPr>
                <w:color w:val="111111"/>
                <w:spacing w:val="-1"/>
                <w:sz w:val="24"/>
              </w:rPr>
              <w:t>Models</w:t>
            </w:r>
            <w:r>
              <w:rPr>
                <w:color w:val="111111"/>
                <w:spacing w:val="-57"/>
                <w:sz w:val="24"/>
              </w:rPr>
              <w:t> </w:t>
            </w:r>
            <w:r>
              <w:rPr>
                <w:color w:val="111111"/>
                <w:sz w:val="24"/>
              </w:rPr>
              <w:t>for Prediction of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Graduate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Admissions.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line="312" w:lineRule="auto" w:before="96"/>
              <w:ind w:left="99" w:right="265"/>
              <w:rPr>
                <w:sz w:val="24"/>
              </w:rPr>
            </w:pPr>
            <w:r>
              <w:rPr>
                <w:color w:val="111111"/>
                <w:w w:val="95"/>
                <w:sz w:val="24"/>
              </w:rPr>
              <w:t>S.Mohan</w:t>
            </w:r>
            <w:r>
              <w:rPr>
                <w:color w:val="111111"/>
                <w:spacing w:val="-54"/>
                <w:w w:val="95"/>
                <w:sz w:val="24"/>
              </w:rPr>
              <w:t> </w:t>
            </w:r>
            <w:r>
              <w:rPr>
                <w:color w:val="111111"/>
                <w:w w:val="95"/>
                <w:sz w:val="24"/>
              </w:rPr>
              <w:t>Acharya.</w:t>
            </w:r>
          </w:p>
        </w:tc>
        <w:tc>
          <w:tcPr>
            <w:tcW w:w="2080" w:type="dxa"/>
            <w:vMerge w:val="restart"/>
          </w:tcPr>
          <w:p>
            <w:pPr>
              <w:pStyle w:val="TableParagraph"/>
              <w:spacing w:before="96"/>
              <w:ind w:left="94" w:right="564"/>
              <w:rPr>
                <w:sz w:val="24"/>
              </w:rPr>
            </w:pPr>
            <w:r>
              <w:rPr>
                <w:color w:val="333333"/>
                <w:sz w:val="24"/>
              </w:rPr>
              <w:t>The primary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pacing w:val="-1"/>
                <w:sz w:val="24"/>
              </w:rPr>
              <w:t>purpose</w:t>
            </w:r>
            <w:r>
              <w:rPr>
                <w:color w:val="333333"/>
                <w:spacing w:val="-13"/>
                <w:sz w:val="24"/>
              </w:rPr>
              <w:t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2"/>
                <w:sz w:val="24"/>
              </w:rPr>
              <w:t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discuss the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prediction of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student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w w:val="95"/>
                <w:sz w:val="24"/>
              </w:rPr>
              <w:t>admission</w:t>
            </w:r>
            <w:r>
              <w:rPr>
                <w:color w:val="333333"/>
                <w:spacing w:val="38"/>
                <w:w w:val="95"/>
                <w:sz w:val="24"/>
              </w:rPr>
              <w:t> </w:t>
            </w:r>
            <w:r>
              <w:rPr>
                <w:color w:val="333333"/>
                <w:w w:val="95"/>
                <w:sz w:val="24"/>
              </w:rPr>
              <w:t>to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university</w:t>
            </w:r>
            <w:r>
              <w:rPr>
                <w:color w:val="333333"/>
                <w:spacing w:val="27"/>
                <w:w w:val="95"/>
                <w:sz w:val="24"/>
              </w:rPr>
              <w:t> </w:t>
            </w:r>
            <w:r>
              <w:rPr>
                <w:color w:val="333333"/>
                <w:w w:val="95"/>
                <w:sz w:val="24"/>
              </w:rPr>
              <w:t>based</w:t>
            </w:r>
            <w:r>
              <w:rPr>
                <w:color w:val="333333"/>
                <w:spacing w:val="-54"/>
                <w:w w:val="95"/>
                <w:sz w:val="24"/>
              </w:rPr>
              <w:t> </w:t>
            </w:r>
            <w:r>
              <w:rPr>
                <w:color w:val="333333"/>
                <w:sz w:val="24"/>
              </w:rPr>
              <w:t>on</w:t>
            </w:r>
            <w:r>
              <w:rPr>
                <w:color w:val="333333"/>
                <w:spacing w:val="-5"/>
                <w:sz w:val="24"/>
              </w:rPr>
              <w:t> </w:t>
            </w:r>
            <w:r>
              <w:rPr>
                <w:color w:val="333333"/>
                <w:sz w:val="24"/>
              </w:rPr>
              <w:t>numerous</w:t>
            </w:r>
          </w:p>
          <w:p>
            <w:pPr>
              <w:pStyle w:val="TableParagraph"/>
              <w:ind w:left="94" w:right="93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factors</w:t>
            </w:r>
            <w:r>
              <w:rPr>
                <w:color w:val="333333"/>
                <w:spacing w:val="-13"/>
                <w:sz w:val="24"/>
              </w:rPr>
              <w:t> </w:t>
            </w:r>
            <w:r>
              <w:rPr>
                <w:color w:val="333333"/>
                <w:spacing w:val="-1"/>
                <w:sz w:val="24"/>
              </w:rPr>
              <w:t>and</w:t>
            </w:r>
            <w:r>
              <w:rPr>
                <w:color w:val="333333"/>
                <w:spacing w:val="-12"/>
                <w:sz w:val="24"/>
              </w:rPr>
              <w:t> </w:t>
            </w:r>
            <w:r>
              <w:rPr>
                <w:color w:val="333333"/>
                <w:spacing w:val="-1"/>
                <w:sz w:val="24"/>
              </w:rPr>
              <w:t>using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logistic</w:t>
            </w:r>
          </w:p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regression.</w:t>
            </w:r>
            <w:r>
              <w:rPr>
                <w:color w:val="333333"/>
                <w:spacing w:val="1"/>
                <w:w w:val="95"/>
                <w:sz w:val="24"/>
              </w:rPr>
              <w:t> </w:t>
            </w:r>
            <w:r>
              <w:rPr>
                <w:color w:val="333333"/>
                <w:w w:val="95"/>
                <w:sz w:val="24"/>
              </w:rPr>
              <w:t>Many</w:t>
            </w:r>
            <w:r>
              <w:rPr>
                <w:color w:val="333333"/>
                <w:spacing w:val="-54"/>
                <w:w w:val="95"/>
                <w:sz w:val="24"/>
              </w:rPr>
              <w:t> </w:t>
            </w:r>
            <w:r>
              <w:rPr>
                <w:color w:val="333333"/>
                <w:sz w:val="24"/>
              </w:rPr>
              <w:t>prospective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students</w:t>
            </w:r>
            <w:r>
              <w:rPr>
                <w:color w:val="333333"/>
                <w:spacing w:val="-7"/>
                <w:sz w:val="24"/>
              </w:rPr>
              <w:t> </w:t>
            </w:r>
            <w:r>
              <w:rPr>
                <w:color w:val="333333"/>
                <w:sz w:val="24"/>
              </w:rPr>
              <w:t>apply</w:t>
            </w:r>
          </w:p>
          <w:p>
            <w:pPr>
              <w:pStyle w:val="TableParagraph"/>
              <w:ind w:left="94" w:right="670"/>
              <w:rPr>
                <w:sz w:val="24"/>
              </w:rPr>
            </w:pPr>
            <w:r>
              <w:rPr>
                <w:color w:val="333333"/>
                <w:spacing w:val="-3"/>
                <w:sz w:val="24"/>
              </w:rPr>
              <w:t>for </w:t>
            </w:r>
            <w:r>
              <w:rPr>
                <w:color w:val="333333"/>
                <w:spacing w:val="-2"/>
                <w:sz w:val="24"/>
              </w:rPr>
              <w:t>Master's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programs.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96"/>
              <w:ind w:left="99" w:right="115"/>
              <w:rPr>
                <w:sz w:val="24"/>
              </w:rPr>
            </w:pPr>
            <w:r>
              <w:rPr>
                <w:color w:val="4D5056"/>
                <w:sz w:val="24"/>
              </w:rPr>
              <w:t>It very</w:t>
            </w:r>
            <w:r>
              <w:rPr>
                <w:color w:val="4D5056"/>
                <w:spacing w:val="1"/>
                <w:sz w:val="24"/>
              </w:rPr>
              <w:t> </w:t>
            </w:r>
            <w:r>
              <w:rPr>
                <w:color w:val="4D5056"/>
                <w:w w:val="95"/>
                <w:sz w:val="24"/>
              </w:rPr>
              <w:t>assumption</w:t>
            </w:r>
            <w:r>
              <w:rPr>
                <w:color w:val="4D5056"/>
                <w:spacing w:val="-54"/>
                <w:w w:val="95"/>
                <w:sz w:val="24"/>
              </w:rPr>
              <w:t> </w:t>
            </w:r>
            <w:r>
              <w:rPr>
                <w:color w:val="4D5056"/>
                <w:sz w:val="24"/>
              </w:rPr>
              <w:t>(Statistical</w:t>
            </w: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color w:val="4D5056"/>
                <w:sz w:val="24"/>
              </w:rPr>
              <w:t>Distributional</w:t>
            </w:r>
            <w:r>
              <w:rPr>
                <w:color w:val="4D5056"/>
                <w:spacing w:val="-57"/>
                <w:sz w:val="24"/>
              </w:rPr>
              <w:t> </w:t>
            </w:r>
            <w:r>
              <w:rPr>
                <w:color w:val="4D5056"/>
                <w:w w:val="95"/>
                <w:sz w:val="24"/>
              </w:rPr>
              <w:t>Assumptions)</w:t>
            </w:r>
            <w:r>
              <w:rPr>
                <w:color w:val="4D5056"/>
                <w:spacing w:val="1"/>
                <w:w w:val="95"/>
                <w:sz w:val="24"/>
              </w:rPr>
              <w:t> </w:t>
            </w:r>
            <w:r>
              <w:rPr>
                <w:color w:val="4D5056"/>
                <w:sz w:val="24"/>
              </w:rPr>
              <w:t>heavy.</w:t>
            </w:r>
          </w:p>
        </w:tc>
      </w:tr>
      <w:tr>
        <w:trPr>
          <w:trHeight w:val="371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Conference on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1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Computational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1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Intelligence in Data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18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Science 2019.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33" w:hRule="atLeast"/>
        </w:trPr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line="402" w:lineRule="exact" w:before="6"/>
              <w:ind w:left="104" w:right="468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Should students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engaged to their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study?</w:t>
            </w:r>
          </w:p>
        </w:tc>
        <w:tc>
          <w:tcPr>
            <w:tcW w:w="2360" w:type="dxa"/>
            <w:tcBorders>
              <w:bottom w:val="nil"/>
            </w:tcBorders>
          </w:tcPr>
          <w:p>
            <w:pPr>
              <w:pStyle w:val="TableParagraph"/>
              <w:spacing w:line="350" w:lineRule="auto" w:before="102"/>
              <w:ind w:left="89" w:right="9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Academic</w:t>
            </w:r>
            <w:r>
              <w:rPr>
                <w:rFonts w:ascii="Arial MT"/>
                <w:spacing w:val="1"/>
                <w:sz w:val="24"/>
              </w:rPr>
              <w:t> </w:t>
            </w:r>
            <w:r>
              <w:rPr>
                <w:rFonts w:ascii="Arial MT"/>
                <w:sz w:val="24"/>
              </w:rPr>
              <w:t>burnout</w:t>
            </w:r>
            <w:r>
              <w:rPr>
                <w:rFonts w:ascii="Arial MT"/>
                <w:spacing w:val="-13"/>
                <w:sz w:val="24"/>
              </w:rPr>
              <w:t> </w:t>
            </w:r>
            <w:r>
              <w:rPr>
                <w:rFonts w:ascii="Arial MT"/>
                <w:sz w:val="24"/>
              </w:rPr>
              <w:t>and</w:t>
            </w:r>
          </w:p>
          <w:p>
            <w:pPr>
              <w:pStyle w:val="TableParagraph"/>
              <w:spacing w:line="274" w:lineRule="exact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school-engagement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before="102"/>
              <w:ind w:left="99" w:right="26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Arlinkasari, F.,</w:t>
            </w:r>
            <w:r>
              <w:rPr>
                <w:rFonts w:ascii="Arial MT"/>
                <w:spacing w:val="1"/>
                <w:sz w:val="24"/>
              </w:rPr>
              <w:t> </w:t>
            </w:r>
            <w:r>
              <w:rPr>
                <w:rFonts w:ascii="Arial MT"/>
                <w:sz w:val="24"/>
              </w:rPr>
              <w:t>Akmal,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S.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Z.,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&amp;</w:t>
            </w:r>
          </w:p>
          <w:p>
            <w:pPr>
              <w:pStyle w:val="TableParagraph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Rauf,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N.</w:t>
            </w:r>
            <w:r>
              <w:rPr>
                <w:rFonts w:ascii="Arial MT"/>
                <w:spacing w:val="-4"/>
                <w:sz w:val="24"/>
              </w:rPr>
              <w:t> </w:t>
            </w:r>
            <w:r>
              <w:rPr>
                <w:rFonts w:ascii="Arial MT"/>
                <w:sz w:val="24"/>
              </w:rPr>
              <w:t>W.</w:t>
            </w:r>
          </w:p>
        </w:tc>
        <w:tc>
          <w:tcPr>
            <w:tcW w:w="2080" w:type="dxa"/>
            <w:tcBorders>
              <w:bottom w:val="nil"/>
            </w:tcBorders>
          </w:tcPr>
          <w:p>
            <w:pPr>
              <w:pStyle w:val="TableParagraph"/>
              <w:spacing w:line="402" w:lineRule="exact" w:before="6"/>
              <w:ind w:left="94" w:right="2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This study gives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clues to</w:t>
            </w:r>
            <w:r>
              <w:rPr>
                <w:rFonts w:ascii="Arial MT"/>
                <w:spacing w:val="1"/>
                <w:sz w:val="24"/>
              </w:rPr>
              <w:t> </w:t>
            </w:r>
            <w:r>
              <w:rPr>
                <w:rFonts w:ascii="Arial MT"/>
                <w:sz w:val="24"/>
              </w:rPr>
              <w:t>university</w:t>
            </w:r>
          </w:p>
        </w:tc>
        <w:tc>
          <w:tcPr>
            <w:tcW w:w="2100" w:type="dxa"/>
            <w:vMerge w:val="restart"/>
          </w:tcPr>
          <w:p>
            <w:pPr>
              <w:pStyle w:val="TableParagraph"/>
              <w:spacing w:before="102"/>
              <w:ind w:left="99" w:right="883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burnout</w:t>
            </w:r>
          </w:p>
          <w:p>
            <w:pPr>
              <w:pStyle w:val="TableParagraph"/>
              <w:ind w:left="99" w:right="73"/>
              <w:rPr>
                <w:sz w:val="24"/>
              </w:rPr>
            </w:pPr>
            <w:r>
              <w:rPr>
                <w:spacing w:val="-2"/>
                <w:sz w:val="24"/>
              </w:rPr>
              <w:t>negatively </w:t>
            </w:r>
            <w:r>
              <w:rPr>
                <w:spacing w:val="-1"/>
                <w:sz w:val="24"/>
              </w:rPr>
              <w:t>affects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students.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[1,2]</w:t>
            </w: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Academic</w:t>
            </w:r>
          </w:p>
          <w:p>
            <w:pPr>
              <w:pStyle w:val="TableParagraph"/>
              <w:ind w:left="99" w:right="18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burnout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refers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w w:val="95"/>
                <w:sz w:val="24"/>
              </w:rPr>
              <w:t>students’ feeling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debilitation,</w:t>
            </w:r>
          </w:p>
          <w:p>
            <w:pPr>
              <w:pStyle w:val="TableParagraph"/>
              <w:ind w:left="99" w:right="196"/>
              <w:jc w:val="both"/>
              <w:rPr>
                <w:sz w:val="24"/>
              </w:rPr>
            </w:pPr>
            <w:r>
              <w:rPr>
                <w:sz w:val="24"/>
              </w:rPr>
              <w:t>pessimism, and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low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self-eﬃcacy.</w:t>
            </w:r>
          </w:p>
        </w:tc>
      </w:tr>
      <w:tr>
        <w:trPr>
          <w:trHeight w:val="371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among students.</w:t>
            </w: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administrations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about the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complex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relationship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between burnout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6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and engagement.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100"/>
              <w:ind w:left="164"/>
              <w:rPr>
                <w:sz w:val="24"/>
              </w:rPr>
            </w:pPr>
            <w:r>
              <w:rPr>
                <w:sz w:val="24"/>
              </w:rPr>
              <w:t>Alternative</w:t>
            </w:r>
          </w:p>
        </w:tc>
        <w:tc>
          <w:tcPr>
            <w:tcW w:w="2360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100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Alternative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100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Chapman, E.</w:t>
            </w:r>
          </w:p>
        </w:tc>
        <w:tc>
          <w:tcPr>
            <w:tcW w:w="2080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100"/>
              <w:ind w:left="94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The</w:t>
            </w:r>
            <w:r>
              <w:rPr>
                <w:color w:val="111111"/>
                <w:spacing w:val="-7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emphasis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line="265" w:lineRule="exact" w:before="100"/>
              <w:ind w:left="99"/>
              <w:rPr>
                <w:sz w:val="24"/>
              </w:rPr>
            </w:pPr>
            <w:r>
              <w:rPr>
                <w:sz w:val="24"/>
              </w:rPr>
              <w:t>Academic</w:t>
            </w:r>
          </w:p>
        </w:tc>
      </w:tr>
      <w:tr>
        <w:trPr>
          <w:trHeight w:val="282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3"/>
              <w:ind w:left="104"/>
              <w:rPr>
                <w:sz w:val="24"/>
              </w:rPr>
            </w:pPr>
            <w:r>
              <w:rPr>
                <w:sz w:val="24"/>
              </w:rPr>
              <w:t>Approaches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approaches to</w:t>
            </w: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3"/>
              <w:ind w:left="94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placed</w:t>
            </w:r>
            <w:r>
              <w:rPr>
                <w:color w:val="111111"/>
                <w:spacing w:val="-7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on</w:t>
            </w:r>
            <w:r>
              <w:rPr>
                <w:color w:val="111111"/>
                <w:spacing w:val="-7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levels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 w:before="3"/>
              <w:ind w:left="99"/>
              <w:rPr>
                <w:sz w:val="24"/>
              </w:rPr>
            </w:pPr>
            <w:r>
              <w:rPr>
                <w:sz w:val="24"/>
              </w:rPr>
              <w:t>burnout</w:t>
            </w:r>
          </w:p>
        </w:tc>
      </w:tr>
      <w:tr>
        <w:trPr>
          <w:trHeight w:val="586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atLeast"/>
              <w:ind w:left="104" w:right="186"/>
              <w:rPr>
                <w:sz w:val="24"/>
              </w:rPr>
            </w:pPr>
            <w:r>
              <w:rPr>
                <w:w w:val="95"/>
                <w:sz w:val="24"/>
              </w:rPr>
              <w:t>Assessing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Student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pacing w:val="-1"/>
                <w:sz w:val="24"/>
              </w:rPr>
              <w:t>Engagement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Rates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assessing student</w:t>
            </w:r>
          </w:p>
          <w:p>
            <w:pPr>
              <w:pStyle w:val="TableParagraph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engagement rates.</w:t>
            </w: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atLeast"/>
              <w:ind w:left="94" w:right="336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of academic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pacing w:val="-2"/>
                <w:sz w:val="24"/>
                <w:shd w:fill="EBECEC" w:color="auto" w:val="clear"/>
              </w:rPr>
              <w:t>achievement</w:t>
            </w:r>
            <w:r>
              <w:rPr>
                <w:color w:val="111111"/>
                <w:spacing w:val="-12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pacing w:val="-1"/>
                <w:sz w:val="24"/>
                <w:shd w:fill="EBECEC" w:color="auto" w:val="clear"/>
              </w:rPr>
              <w:t>in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atLeast"/>
              <w:ind w:left="99" w:right="73"/>
              <w:rPr>
                <w:sz w:val="24"/>
              </w:rPr>
            </w:pPr>
            <w:r>
              <w:rPr>
                <w:spacing w:val="-2"/>
                <w:sz w:val="24"/>
              </w:rPr>
              <w:t>negatively </w:t>
            </w:r>
            <w:r>
              <w:rPr>
                <w:spacing w:val="-1"/>
                <w:sz w:val="24"/>
              </w:rPr>
              <w:t>affects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students.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[1,2]</w:t>
            </w:r>
          </w:p>
        </w:tc>
      </w:tr>
      <w:tr>
        <w:trPr>
          <w:trHeight w:val="288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Published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by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schools,</w:t>
            </w:r>
            <w:r>
              <w:rPr>
                <w:color w:val="111111"/>
                <w:spacing w:val="-9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the</w:t>
            </w:r>
            <w:r>
              <w:rPr>
                <w:color w:val="111111"/>
                <w:spacing w:val="-9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way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Academic</w:t>
            </w:r>
          </w:p>
        </w:tc>
      </w:tr>
      <w:tr>
        <w:trPr>
          <w:trHeight w:val="288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ScholarWorks@UM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in</w:t>
            </w:r>
            <w:r>
              <w:rPr>
                <w:color w:val="111111"/>
                <w:spacing w:val="-12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which</w:t>
            </w:r>
            <w:r>
              <w:rPr>
                <w:color w:val="111111"/>
                <w:spacing w:val="-11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students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burnout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refers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</w:p>
        </w:tc>
      </w:tr>
      <w:tr>
        <w:trPr>
          <w:trHeight w:val="288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ass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Amherst,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2002.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acquire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1"/>
                <w:sz w:val="24"/>
              </w:rPr>
              <w:t>students’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feeling</w:t>
            </w:r>
          </w:p>
        </w:tc>
      </w:tr>
      <w:tr>
        <w:trPr>
          <w:trHeight w:val="288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knowledge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debilitation,</w:t>
            </w:r>
          </w:p>
        </w:tc>
      </w:tr>
      <w:tr>
        <w:trPr>
          <w:trHeight w:val="288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through</w:t>
            </w:r>
            <w:r>
              <w:rPr>
                <w:color w:val="111111"/>
                <w:spacing w:val="-13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the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pessimism.</w:t>
            </w:r>
          </w:p>
        </w:tc>
      </w:tr>
      <w:tr>
        <w:trPr>
          <w:trHeight w:val="375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TableParagraph"/>
              <w:spacing w:line="286" w:lineRule="exact"/>
              <w:ind w:left="94"/>
              <w:rPr>
                <w:sz w:val="24"/>
              </w:rPr>
            </w:pPr>
            <w:r>
              <w:rPr>
                <w:color w:val="111111"/>
                <w:sz w:val="24"/>
                <w:shd w:fill="EBECEC" w:color="auto" w:val="clear"/>
              </w:rPr>
              <w:t>learning</w:t>
            </w:r>
            <w:r>
              <w:rPr>
                <w:color w:val="111111"/>
                <w:spacing w:val="-13"/>
                <w:sz w:val="24"/>
                <w:shd w:fill="EBECEC" w:color="auto" w:val="clear"/>
              </w:rPr>
              <w:t> </w:t>
            </w:r>
            <w:r>
              <w:rPr>
                <w:color w:val="111111"/>
                <w:sz w:val="24"/>
                <w:shd w:fill="EBECEC" w:color="auto" w:val="clear"/>
              </w:rPr>
              <w:t>process.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type w:val="continuous"/>
          <w:pgSz w:w="11920" w:h="16840"/>
          <w:pgMar w:top="1380" w:bottom="280" w:left="560" w:right="2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60"/>
        <w:gridCol w:w="2000"/>
        <w:gridCol w:w="2080"/>
        <w:gridCol w:w="2100"/>
      </w:tblGrid>
      <w:tr>
        <w:trPr>
          <w:trHeight w:val="374" w:hRule="atLeast"/>
        </w:trPr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95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color w:val="111111"/>
                <w:sz w:val="24"/>
              </w:rPr>
              <w:t>Association for</w:t>
            </w:r>
          </w:p>
        </w:tc>
        <w:tc>
          <w:tcPr>
            <w:tcW w:w="2360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95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</w:rPr>
              <w:t>Predicting</w:t>
            </w:r>
          </w:p>
        </w:tc>
        <w:tc>
          <w:tcPr>
            <w:tcW w:w="2000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95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color w:val="111111"/>
                <w:sz w:val="24"/>
                <w:shd w:fill="F0F0F0" w:color="auto" w:val="clear"/>
              </w:rPr>
              <w:t>Arto Hellas.</w:t>
            </w:r>
          </w:p>
        </w:tc>
        <w:tc>
          <w:tcPr>
            <w:tcW w:w="2080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95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The ability to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95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There was no</w:t>
            </w: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color w:val="111111"/>
                <w:sz w:val="24"/>
              </w:rPr>
              <w:t>Computing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</w:rPr>
              <w:t>academic</w:t>
            </w: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color w:val="111111"/>
                <w:sz w:val="24"/>
                <w:shd w:fill="F0F0F0" w:color="auto" w:val="clear"/>
              </w:rPr>
              <w:t>Petri Ihantola.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predict student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evidence of</w:t>
            </w: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color w:val="111111"/>
                <w:sz w:val="24"/>
              </w:rPr>
              <w:t>Machinery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9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</w:rPr>
              <w:t>performance.</w:t>
            </w: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performance in a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collinearity</w:t>
            </w: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pacing w:val="-2"/>
                <w:sz w:val="24"/>
              </w:rPr>
              <w:t>New</w:t>
            </w:r>
            <w:r>
              <w:rPr>
                <w:rFonts w:ascii="Arial MT"/>
                <w:color w:val="333333"/>
                <w:spacing w:val="-15"/>
                <w:sz w:val="24"/>
              </w:rPr>
              <w:t> </w:t>
            </w:r>
            <w:r>
              <w:rPr>
                <w:rFonts w:ascii="Arial MT"/>
                <w:color w:val="333333"/>
                <w:spacing w:val="-2"/>
                <w:sz w:val="24"/>
              </w:rPr>
              <w:t>York,</w:t>
            </w:r>
            <w:r>
              <w:rPr>
                <w:rFonts w:ascii="Arial MT"/>
                <w:color w:val="333333"/>
                <w:spacing w:val="-10"/>
                <w:sz w:val="24"/>
              </w:rPr>
              <w:t> </w:t>
            </w:r>
            <w:r>
              <w:rPr>
                <w:rFonts w:ascii="Arial MT"/>
                <w:color w:val="333333"/>
                <w:spacing w:val="-2"/>
                <w:sz w:val="24"/>
              </w:rPr>
              <w:t>NY,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course or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between the</w:t>
            </w: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</w:rPr>
              <w:t>United States.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program creates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explanatory</w:t>
            </w: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opportunities to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factors used in</w:t>
            </w: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improve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the</w:t>
            </w: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educational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analysis.</w:t>
            </w: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outcomes. With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effective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performance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prediction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approaches,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instructors can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allocate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resources and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instruction more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9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z w:val="24"/>
                <w:shd w:fill="FAFAFA" w:color="auto" w:val="clear"/>
              </w:rPr>
              <w:t>accurately.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90" w:hRule="atLeast"/>
        </w:trPr>
        <w:tc>
          <w:tcPr>
            <w:tcW w:w="2340" w:type="dxa"/>
          </w:tcPr>
          <w:p>
            <w:pPr>
              <w:pStyle w:val="TableParagraph"/>
              <w:spacing w:before="107"/>
              <w:ind w:left="104" w:right="553"/>
              <w:rPr>
                <w:sz w:val="24"/>
              </w:rPr>
            </w:pPr>
            <w:r>
              <w:rPr>
                <w:color w:val="111111"/>
                <w:sz w:val="24"/>
              </w:rPr>
              <w:t>Technology,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pacing w:val="-2"/>
                <w:sz w:val="24"/>
              </w:rPr>
              <w:t>Knowledge </w:t>
            </w:r>
            <w:r>
              <w:rPr>
                <w:color w:val="111111"/>
                <w:spacing w:val="-1"/>
                <w:sz w:val="24"/>
              </w:rPr>
              <w:t>and</w:t>
            </w:r>
            <w:r>
              <w:rPr>
                <w:color w:val="111111"/>
                <w:spacing w:val="-57"/>
                <w:sz w:val="24"/>
              </w:rPr>
              <w:t> </w:t>
            </w:r>
            <w:r>
              <w:rPr>
                <w:color w:val="111111"/>
                <w:sz w:val="24"/>
              </w:rPr>
              <w:t>Learning.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111111"/>
                <w:sz w:val="24"/>
              </w:rPr>
              <w:t>Published</w:t>
            </w:r>
            <w:r>
              <w:rPr>
                <w:color w:val="111111"/>
                <w:spacing w:val="-13"/>
                <w:sz w:val="24"/>
              </w:rPr>
              <w:t> </w:t>
            </w:r>
            <w:r>
              <w:rPr>
                <w:color w:val="111111"/>
                <w:sz w:val="24"/>
              </w:rPr>
              <w:t>by</w:t>
            </w:r>
          </w:p>
          <w:p>
            <w:pPr>
              <w:pStyle w:val="TableParagraph"/>
              <w:spacing w:before="87"/>
              <w:ind w:left="104"/>
              <w:rPr>
                <w:sz w:val="24"/>
              </w:rPr>
            </w:pPr>
            <w:r>
              <w:rPr>
                <w:color w:val="111111"/>
                <w:spacing w:val="-1"/>
                <w:sz w:val="24"/>
              </w:rPr>
              <w:t>Springer</w:t>
            </w:r>
            <w:r>
              <w:rPr>
                <w:color w:val="111111"/>
                <w:spacing w:val="-13"/>
                <w:sz w:val="24"/>
              </w:rPr>
              <w:t> </w:t>
            </w:r>
            <w:r>
              <w:rPr>
                <w:color w:val="111111"/>
                <w:sz w:val="24"/>
              </w:rPr>
              <w:t>nature.</w:t>
            </w:r>
          </w:p>
        </w:tc>
        <w:tc>
          <w:tcPr>
            <w:tcW w:w="236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9" w:right="1075"/>
              <w:jc w:val="both"/>
              <w:rPr>
                <w:sz w:val="24"/>
              </w:rPr>
            </w:pPr>
            <w:r>
              <w:rPr>
                <w:color w:val="111111"/>
                <w:sz w:val="24"/>
              </w:rPr>
              <w:t>Predicting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sz w:val="24"/>
              </w:rPr>
              <w:t>Academic</w:t>
            </w:r>
            <w:r>
              <w:rPr>
                <w:color w:val="111111"/>
                <w:spacing w:val="1"/>
                <w:sz w:val="24"/>
              </w:rPr>
              <w:t> </w:t>
            </w:r>
            <w:r>
              <w:rPr>
                <w:color w:val="111111"/>
                <w:w w:val="95"/>
                <w:sz w:val="24"/>
              </w:rPr>
              <w:t>Outcomes.</w:t>
            </w:r>
          </w:p>
        </w:tc>
        <w:tc>
          <w:tcPr>
            <w:tcW w:w="2000" w:type="dxa"/>
          </w:tcPr>
          <w:p>
            <w:pPr>
              <w:pStyle w:val="TableParagraph"/>
              <w:spacing w:before="107"/>
              <w:ind w:left="99" w:right="566"/>
              <w:rPr>
                <w:rFonts w:ascii="Arial MT"/>
                <w:sz w:val="24"/>
              </w:rPr>
            </w:pPr>
            <w:hyperlink r:id="rId5">
              <w:r>
                <w:rPr>
                  <w:color w:val="111111"/>
                  <w:spacing w:val="-1"/>
                  <w:sz w:val="21"/>
                </w:rPr>
                <w:t>Sarah </w:t>
              </w:r>
              <w:r>
                <w:rPr>
                  <w:color w:val="111111"/>
                  <w:sz w:val="21"/>
                </w:rPr>
                <w:t>Alturki</w:t>
              </w:r>
            </w:hyperlink>
            <w:r>
              <w:rPr>
                <w:rFonts w:ascii="Arial MT"/>
                <w:color w:val="111111"/>
                <w:sz w:val="24"/>
                <w:shd w:fill="F0F0F0" w:color="auto" w:val="clear"/>
              </w:rPr>
              <w:t>.</w:t>
            </w:r>
            <w:r>
              <w:rPr>
                <w:rFonts w:ascii="Arial MT"/>
                <w:color w:val="111111"/>
                <w:spacing w:val="-64"/>
                <w:sz w:val="24"/>
              </w:rPr>
              <w:t> </w:t>
            </w:r>
            <w:hyperlink r:id="rId6">
              <w:r>
                <w:rPr>
                  <w:color w:val="111111"/>
                  <w:spacing w:val="-2"/>
                  <w:sz w:val="21"/>
                </w:rPr>
                <w:t>Ioana</w:t>
              </w:r>
              <w:r>
                <w:rPr>
                  <w:color w:val="111111"/>
                  <w:spacing w:val="-8"/>
                  <w:sz w:val="21"/>
                </w:rPr>
                <w:t> </w:t>
              </w:r>
              <w:r>
                <w:rPr>
                  <w:color w:val="111111"/>
                  <w:spacing w:val="-2"/>
                  <w:sz w:val="21"/>
                </w:rPr>
                <w:t>Hulpus</w:t>
              </w:r>
            </w:hyperlink>
            <w:r>
              <w:rPr>
                <w:rFonts w:ascii="Arial MT"/>
                <w:color w:val="111111"/>
                <w:spacing w:val="-2"/>
                <w:sz w:val="24"/>
                <w:shd w:fill="F0F0F0" w:color="auto" w:val="clear"/>
              </w:rPr>
              <w:t>.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7"/>
              <w:ind w:left="94" w:right="42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The tremendous</w:t>
            </w:r>
            <w:r>
              <w:rPr>
                <w:color w:val="333333"/>
                <w:spacing w:val="-50"/>
                <w:sz w:val="21"/>
              </w:rPr>
              <w:t> </w:t>
            </w:r>
            <w:r>
              <w:rPr>
                <w:color w:val="333333"/>
                <w:sz w:val="21"/>
              </w:rPr>
              <w:t>growth</w:t>
            </w:r>
            <w:r>
              <w:rPr>
                <w:color w:val="333333"/>
                <w:spacing w:val="-2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</w:p>
          <w:p>
            <w:pPr>
              <w:pStyle w:val="TableParagraph"/>
              <w:ind w:left="94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educational</w:t>
            </w:r>
            <w:r>
              <w:rPr>
                <w:color w:val="333333"/>
                <w:spacing w:val="-47"/>
                <w:w w:val="95"/>
                <w:sz w:val="21"/>
              </w:rPr>
              <w:t> </w:t>
            </w:r>
            <w:r>
              <w:rPr>
                <w:color w:val="333333"/>
                <w:w w:val="95"/>
                <w:sz w:val="21"/>
              </w:rPr>
              <w:t>institutions’</w:t>
            </w:r>
          </w:p>
          <w:p>
            <w:pPr>
              <w:pStyle w:val="TableParagraph"/>
              <w:ind w:left="94" w:right="560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electronic </w:t>
            </w:r>
            <w:r>
              <w:rPr>
                <w:color w:val="333333"/>
                <w:spacing w:val="-1"/>
                <w:sz w:val="21"/>
              </w:rPr>
              <w:t>data</w:t>
            </w:r>
            <w:r>
              <w:rPr>
                <w:color w:val="333333"/>
                <w:spacing w:val="-50"/>
                <w:sz w:val="21"/>
              </w:rPr>
              <w:t> </w:t>
            </w:r>
            <w:r>
              <w:rPr>
                <w:color w:val="333333"/>
                <w:sz w:val="21"/>
              </w:rPr>
              <w:t>provides the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opportunity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to</w:t>
            </w:r>
          </w:p>
          <w:p>
            <w:pPr>
              <w:pStyle w:val="TableParagraph"/>
              <w:ind w:left="94" w:right="165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extract</w:t>
            </w:r>
            <w:r>
              <w:rPr>
                <w:color w:val="333333"/>
                <w:spacing w:val="5"/>
                <w:w w:val="95"/>
                <w:sz w:val="21"/>
              </w:rPr>
              <w:t> </w:t>
            </w:r>
            <w:r>
              <w:rPr>
                <w:color w:val="333333"/>
                <w:w w:val="95"/>
                <w:sz w:val="21"/>
              </w:rPr>
              <w:t>information</w:t>
            </w:r>
            <w:r>
              <w:rPr>
                <w:color w:val="333333"/>
                <w:spacing w:val="-47"/>
                <w:w w:val="95"/>
                <w:sz w:val="21"/>
              </w:rPr>
              <w:t> </w:t>
            </w:r>
            <w:r>
              <w:rPr>
                <w:color w:val="333333"/>
                <w:sz w:val="21"/>
              </w:rPr>
              <w:t>that</w:t>
            </w:r>
            <w:r>
              <w:rPr>
                <w:color w:val="333333"/>
                <w:spacing w:val="-10"/>
                <w:sz w:val="21"/>
              </w:rPr>
              <w:t> </w:t>
            </w:r>
            <w:r>
              <w:rPr>
                <w:color w:val="333333"/>
                <w:sz w:val="21"/>
              </w:rPr>
              <w:t>can</w:t>
            </w:r>
            <w:r>
              <w:rPr>
                <w:color w:val="333333"/>
                <w:spacing w:val="-9"/>
                <w:sz w:val="21"/>
              </w:rPr>
              <w:t> </w:t>
            </w:r>
            <w:r>
              <w:rPr>
                <w:color w:val="333333"/>
                <w:sz w:val="21"/>
              </w:rPr>
              <w:t>be</w:t>
            </w:r>
            <w:r>
              <w:rPr>
                <w:color w:val="333333"/>
                <w:spacing w:val="-9"/>
                <w:sz w:val="21"/>
              </w:rPr>
              <w:t> </w:t>
            </w:r>
            <w:r>
              <w:rPr>
                <w:color w:val="333333"/>
                <w:sz w:val="21"/>
              </w:rPr>
              <w:t>used</w:t>
            </w:r>
            <w:r>
              <w:rPr>
                <w:color w:val="333333"/>
                <w:spacing w:val="-9"/>
                <w:sz w:val="21"/>
              </w:rPr>
              <w:t> </w:t>
            </w:r>
            <w:r>
              <w:rPr>
                <w:color w:val="333333"/>
                <w:sz w:val="21"/>
              </w:rPr>
              <w:t>to</w:t>
            </w:r>
            <w:r>
              <w:rPr>
                <w:color w:val="333333"/>
                <w:spacing w:val="-49"/>
                <w:sz w:val="21"/>
              </w:rPr>
              <w:t> </w:t>
            </w:r>
            <w:r>
              <w:rPr>
                <w:color w:val="333333"/>
                <w:sz w:val="21"/>
              </w:rPr>
              <w:t>predict students’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overall</w:t>
            </w:r>
            <w:r>
              <w:rPr>
                <w:color w:val="333333"/>
                <w:spacing w:val="-5"/>
                <w:sz w:val="21"/>
              </w:rPr>
              <w:t> </w:t>
            </w:r>
            <w:r>
              <w:rPr>
                <w:color w:val="333333"/>
                <w:sz w:val="21"/>
              </w:rPr>
              <w:t>success,</w:t>
            </w:r>
          </w:p>
          <w:p>
            <w:pPr>
              <w:pStyle w:val="TableParagraph"/>
              <w:ind w:left="94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predict</w:t>
            </w:r>
            <w:r>
              <w:rPr>
                <w:color w:val="333333"/>
                <w:spacing w:val="20"/>
                <w:w w:val="95"/>
                <w:sz w:val="21"/>
              </w:rPr>
              <w:t> </w:t>
            </w:r>
            <w:r>
              <w:rPr>
                <w:color w:val="333333"/>
                <w:w w:val="95"/>
                <w:sz w:val="21"/>
              </w:rPr>
              <w:t>students’</w:t>
            </w:r>
            <w:r>
              <w:rPr>
                <w:color w:val="333333"/>
                <w:spacing w:val="-46"/>
                <w:w w:val="95"/>
                <w:sz w:val="21"/>
              </w:rPr>
              <w:t> </w:t>
            </w:r>
            <w:r>
              <w:rPr>
                <w:color w:val="333333"/>
                <w:sz w:val="21"/>
              </w:rPr>
              <w:t>dropout rate,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evaluate</w:t>
            </w:r>
            <w:r>
              <w:rPr>
                <w:color w:val="333333"/>
                <w:spacing w:val="-4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</w:p>
          <w:p>
            <w:pPr>
              <w:pStyle w:val="TableParagraph"/>
              <w:ind w:left="94" w:right="492"/>
              <w:rPr>
                <w:sz w:val="21"/>
              </w:rPr>
            </w:pPr>
            <w:r>
              <w:rPr>
                <w:color w:val="333333"/>
                <w:sz w:val="21"/>
              </w:rPr>
              <w:t>performance of</w:t>
            </w:r>
            <w:r>
              <w:rPr>
                <w:color w:val="333333"/>
                <w:spacing w:val="-50"/>
                <w:sz w:val="21"/>
              </w:rPr>
              <w:t> </w:t>
            </w:r>
            <w:r>
              <w:rPr>
                <w:color w:val="333333"/>
                <w:sz w:val="21"/>
              </w:rPr>
              <w:t>teachers</w:t>
            </w:r>
            <w:r>
              <w:rPr>
                <w:color w:val="333333"/>
                <w:spacing w:val="-4"/>
                <w:sz w:val="21"/>
              </w:rPr>
              <w:t> </w:t>
            </w:r>
            <w:r>
              <w:rPr>
                <w:color w:val="333333"/>
                <w:sz w:val="21"/>
              </w:rPr>
              <w:t>and</w:t>
            </w:r>
          </w:p>
          <w:p>
            <w:pPr>
              <w:pStyle w:val="TableParagraph"/>
              <w:ind w:left="94" w:right="93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instructors,</w:t>
            </w:r>
            <w:r>
              <w:rPr>
                <w:color w:val="333333"/>
                <w:spacing w:val="1"/>
                <w:w w:val="95"/>
                <w:sz w:val="21"/>
              </w:rPr>
              <w:t> </w:t>
            </w:r>
            <w:r>
              <w:rPr>
                <w:color w:val="333333"/>
                <w:w w:val="95"/>
                <w:sz w:val="21"/>
              </w:rPr>
              <w:t>improve</w:t>
            </w:r>
            <w:r>
              <w:rPr>
                <w:color w:val="333333"/>
                <w:spacing w:val="-47"/>
                <w:w w:val="95"/>
                <w:sz w:val="21"/>
              </w:rPr>
              <w:t> </w:t>
            </w:r>
            <w:r>
              <w:rPr>
                <w:color w:val="333333"/>
                <w:sz w:val="21"/>
              </w:rPr>
              <w:t>the learning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material according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to students’ needs,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and</w:t>
            </w:r>
            <w:r>
              <w:rPr>
                <w:color w:val="333333"/>
                <w:spacing w:val="-3"/>
                <w:sz w:val="21"/>
              </w:rPr>
              <w:t> </w:t>
            </w:r>
            <w:r>
              <w:rPr>
                <w:color w:val="333333"/>
                <w:sz w:val="21"/>
              </w:rPr>
              <w:t>much</w:t>
            </w:r>
            <w:r>
              <w:rPr>
                <w:color w:val="333333"/>
                <w:spacing w:val="-3"/>
                <w:sz w:val="21"/>
              </w:rPr>
              <w:t> </w:t>
            </w:r>
            <w:r>
              <w:rPr>
                <w:color w:val="333333"/>
                <w:sz w:val="21"/>
              </w:rPr>
              <w:t>more.</w:t>
            </w:r>
          </w:p>
        </w:tc>
        <w:tc>
          <w:tcPr>
            <w:tcW w:w="2100" w:type="dxa"/>
          </w:tcPr>
          <w:p>
            <w:pPr>
              <w:pStyle w:val="TableParagraph"/>
              <w:spacing w:before="107"/>
              <w:ind w:left="99" w:right="94"/>
              <w:rPr>
                <w:sz w:val="24"/>
              </w:rPr>
            </w:pPr>
            <w:r>
              <w:rPr>
                <w:color w:val="4D5056"/>
                <w:sz w:val="24"/>
              </w:rPr>
              <w:t>While predictive</w:t>
            </w:r>
            <w:r>
              <w:rPr>
                <w:color w:val="4D5056"/>
                <w:spacing w:val="1"/>
                <w:sz w:val="24"/>
              </w:rPr>
              <w:t> </w:t>
            </w:r>
            <w:r>
              <w:rPr>
                <w:color w:val="4D5056"/>
                <w:sz w:val="24"/>
              </w:rPr>
              <w:t>analytics tools</w:t>
            </w:r>
            <w:r>
              <w:rPr>
                <w:color w:val="4D5056"/>
                <w:spacing w:val="1"/>
                <w:sz w:val="24"/>
              </w:rPr>
              <w:t> </w:t>
            </w:r>
            <w:r>
              <w:rPr>
                <w:color w:val="4D5056"/>
                <w:sz w:val="24"/>
              </w:rPr>
              <w:t>can</w:t>
            </w:r>
            <w:r>
              <w:rPr>
                <w:color w:val="4D5056"/>
                <w:spacing w:val="-9"/>
                <w:sz w:val="24"/>
              </w:rPr>
              <w:t> </w:t>
            </w:r>
            <w:r>
              <w:rPr>
                <w:color w:val="4D5056"/>
                <w:sz w:val="24"/>
              </w:rPr>
              <w:t>be</w:t>
            </w:r>
            <w:r>
              <w:rPr>
                <w:color w:val="4D5056"/>
                <w:spacing w:val="-9"/>
                <w:sz w:val="24"/>
              </w:rPr>
              <w:t> </w:t>
            </w:r>
            <w:r>
              <w:rPr>
                <w:color w:val="4D5056"/>
                <w:sz w:val="24"/>
              </w:rPr>
              <w:t>useful</w:t>
            </w:r>
            <w:r>
              <w:rPr>
                <w:color w:val="4D5056"/>
                <w:spacing w:val="-8"/>
                <w:sz w:val="24"/>
              </w:rPr>
              <w:t> </w:t>
            </w:r>
            <w:r>
              <w:rPr>
                <w:color w:val="4D5056"/>
                <w:sz w:val="24"/>
              </w:rPr>
              <w:t>in</w:t>
            </w:r>
            <w:r>
              <w:rPr>
                <w:color w:val="4D5056"/>
                <w:spacing w:val="-9"/>
                <w:sz w:val="24"/>
              </w:rPr>
              <w:t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-56"/>
                <w:sz w:val="24"/>
              </w:rPr>
              <w:t> </w:t>
            </w:r>
            <w:r>
              <w:rPr>
                <w:color w:val="4D5056"/>
                <w:sz w:val="24"/>
              </w:rPr>
              <w:t>business’s</w:t>
            </w:r>
            <w:r>
              <w:rPr>
                <w:color w:val="4D5056"/>
                <w:spacing w:val="1"/>
                <w:sz w:val="24"/>
              </w:rPr>
              <w:t> </w:t>
            </w:r>
            <w:r>
              <w:rPr>
                <w:color w:val="4D5056"/>
                <w:sz w:val="24"/>
              </w:rPr>
              <w:t>arsenal, there are</w:t>
            </w:r>
            <w:r>
              <w:rPr>
                <w:color w:val="4D5056"/>
                <w:spacing w:val="-57"/>
                <w:sz w:val="24"/>
              </w:rPr>
              <w:t> </w:t>
            </w:r>
            <w:r>
              <w:rPr>
                <w:color w:val="4D5056"/>
                <w:sz w:val="24"/>
              </w:rPr>
              <w:t>a few drawbacks</w:t>
            </w:r>
            <w:r>
              <w:rPr>
                <w:color w:val="4D5056"/>
                <w:spacing w:val="-57"/>
                <w:sz w:val="24"/>
              </w:rPr>
              <w:t> </w:t>
            </w:r>
            <w:r>
              <w:rPr>
                <w:color w:val="4D5056"/>
                <w:sz w:val="24"/>
              </w:rPr>
              <w:t>organization</w:t>
            </w:r>
            <w:r>
              <w:rPr>
                <w:color w:val="4D5056"/>
                <w:spacing w:val="1"/>
                <w:sz w:val="24"/>
              </w:rPr>
              <w:t> </w:t>
            </w:r>
            <w:r>
              <w:rPr>
                <w:color w:val="4D5056"/>
                <w:sz w:val="24"/>
              </w:rPr>
              <w:t>leaders</w:t>
            </w:r>
            <w:r>
              <w:rPr>
                <w:color w:val="4D5056"/>
                <w:spacing w:val="-4"/>
                <w:sz w:val="24"/>
              </w:rPr>
              <w:t> </w:t>
            </w:r>
            <w:r>
              <w:rPr>
                <w:color w:val="4D5056"/>
                <w:sz w:val="24"/>
              </w:rPr>
              <w:t>need</w:t>
            </w:r>
            <w:r>
              <w:rPr>
                <w:color w:val="4D5056"/>
                <w:spacing w:val="-3"/>
                <w:sz w:val="24"/>
              </w:rPr>
              <w:t> </w:t>
            </w:r>
            <w:r>
              <w:rPr>
                <w:color w:val="4D5056"/>
                <w:sz w:val="24"/>
              </w:rPr>
              <w:t>to</w:t>
            </w: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color w:val="4D5056"/>
                <w:sz w:val="24"/>
              </w:rPr>
              <w:t>be</w:t>
            </w:r>
            <w:r>
              <w:rPr>
                <w:color w:val="4D5056"/>
                <w:spacing w:val="-3"/>
                <w:sz w:val="24"/>
              </w:rPr>
              <w:t> </w:t>
            </w:r>
            <w:r>
              <w:rPr>
                <w:color w:val="4D5056"/>
                <w:sz w:val="24"/>
              </w:rPr>
              <w:t>aware</w:t>
            </w:r>
            <w:r>
              <w:rPr>
                <w:color w:val="4D5056"/>
                <w:spacing w:val="-2"/>
                <w:sz w:val="24"/>
              </w:rPr>
              <w:t> </w:t>
            </w:r>
            <w:r>
              <w:rPr>
                <w:color w:val="4D5056"/>
                <w:sz w:val="24"/>
              </w:rPr>
              <w:t>of.</w:t>
            </w:r>
          </w:p>
        </w:tc>
      </w:tr>
    </w:tbl>
    <w:sectPr>
      <w:pgSz w:w="11920" w:h="16840"/>
      <w:pgMar w:top="1440" w:bottom="280" w:left="5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hanging="1204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esearchgate.net/profile/Sarah-Alturki" TargetMode="External"/><Relationship Id="rId6" Type="http://schemas.openxmlformats.org/officeDocument/2006/relationships/hyperlink" Target="https://www.researchgate.net/profile/Ioana-Hulpu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Admit Eligibility Predictor</dc:title>
  <dcterms:created xsi:type="dcterms:W3CDTF">2022-09-30T03:24:48Z</dcterms:created>
  <dcterms:modified xsi:type="dcterms:W3CDTF">2022-09-30T03:24:48Z</dcterms:modified>
</cp:coreProperties>
</file>