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BD459" w14:textId="34938687" w:rsidR="00A037C5" w:rsidRDefault="00A037C5" w:rsidP="00A037C5">
      <w:pPr>
        <w:jc w:val="center"/>
        <w:rPr>
          <w:rFonts w:ascii="Arial" w:hAnsi="Arial" w:cs="Arial"/>
          <w:b/>
          <w:bCs/>
          <w:sz w:val="24"/>
          <w:szCs w:val="24"/>
        </w:rPr>
      </w:pPr>
      <w:r w:rsidRPr="00A037C5">
        <w:rPr>
          <w:rFonts w:ascii="Arial" w:hAnsi="Arial" w:cs="Arial"/>
          <w:b/>
          <w:bCs/>
          <w:sz w:val="24"/>
          <w:szCs w:val="24"/>
        </w:rPr>
        <w:t>Seismic Surveillance: An In-Depth Analysis of Earthquake Trends and Patterns in the Indian Subcontinent</w:t>
      </w:r>
    </w:p>
    <w:p w14:paraId="09A298A6" w14:textId="77777777" w:rsidR="00A037C5" w:rsidRPr="00A037C5" w:rsidRDefault="00A037C5" w:rsidP="00A037C5">
      <w:pPr>
        <w:jc w:val="both"/>
        <w:rPr>
          <w:rFonts w:ascii="Arial" w:hAnsi="Arial" w:cs="Arial"/>
          <w:b/>
          <w:bCs/>
          <w:sz w:val="24"/>
          <w:szCs w:val="24"/>
        </w:rPr>
      </w:pPr>
    </w:p>
    <w:p w14:paraId="385AA39B" w14:textId="076337AE" w:rsidR="00A037C5" w:rsidRPr="00A037C5" w:rsidRDefault="00A037C5" w:rsidP="00A037C5">
      <w:pPr>
        <w:jc w:val="both"/>
        <w:rPr>
          <w:rFonts w:ascii="Arial" w:hAnsi="Arial" w:cs="Arial"/>
          <w:b/>
          <w:bCs/>
          <w:sz w:val="24"/>
          <w:szCs w:val="24"/>
        </w:rPr>
      </w:pPr>
      <w:r w:rsidRPr="00A037C5">
        <w:rPr>
          <w:rFonts w:ascii="Arial" w:hAnsi="Arial" w:cs="Arial"/>
          <w:b/>
          <w:bCs/>
          <w:sz w:val="24"/>
          <w:szCs w:val="24"/>
        </w:rPr>
        <w:t>Introduction:</w:t>
      </w:r>
    </w:p>
    <w:p w14:paraId="08433A38"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Earthquake analysis is a field that delves into the intricate dynamics of seismic activity, seeking to unravel the mysteries of Earth's tectonic processes, particularly in the context of the Indian Subcontinent. This scientific endeavour holds profound implications, transcending disciplinary boundaries and contributing significantly to the broader goal of safeguarding lives, infrastructure, and ecosystems in the face of seismic risks. The Indian Subcontinent, nestled within the complex interactions of tectonic plates, experiences seismic activity of varying degrees. A study of seismic data within this region offers a unique opportunity to gain valuable insights into earthquake patterns and behaviours, ultimately enhancing disaster preparedness and mitigation efforts.</w:t>
      </w:r>
    </w:p>
    <w:p w14:paraId="161D36B6" w14:textId="77777777" w:rsidR="00A037C5" w:rsidRPr="00A037C5" w:rsidRDefault="00A037C5" w:rsidP="00A037C5">
      <w:pPr>
        <w:jc w:val="both"/>
        <w:rPr>
          <w:rFonts w:ascii="Arial" w:hAnsi="Arial" w:cs="Arial"/>
          <w:sz w:val="24"/>
          <w:szCs w:val="24"/>
        </w:rPr>
      </w:pPr>
    </w:p>
    <w:p w14:paraId="79C898B7" w14:textId="77777777" w:rsidR="00A037C5" w:rsidRPr="00A037C5" w:rsidRDefault="00A037C5" w:rsidP="00A037C5">
      <w:pPr>
        <w:jc w:val="both"/>
        <w:rPr>
          <w:rFonts w:ascii="Arial" w:hAnsi="Arial" w:cs="Arial"/>
          <w:b/>
          <w:bCs/>
          <w:sz w:val="24"/>
          <w:szCs w:val="24"/>
        </w:rPr>
      </w:pPr>
      <w:r w:rsidRPr="00A037C5">
        <w:rPr>
          <w:rFonts w:ascii="Arial" w:hAnsi="Arial" w:cs="Arial"/>
          <w:b/>
          <w:bCs/>
          <w:sz w:val="24"/>
          <w:szCs w:val="24"/>
        </w:rPr>
        <w:t>Problem Statement:</w:t>
      </w:r>
    </w:p>
    <w:p w14:paraId="1F9791F4"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Nestled within the seismic embrace of tectonic convergence, the Indian Subcontinent hosts a diverse tapestry of geological features and seismic intricacies. The challenge revolves around systematically dissecting the seismic data troves, discerning underlying patterns, and uncovering potential correlations between seismic events and various geological attributes. Addressing this challenge is a pivotal quest that drives a collective effort to bolster disaster resilience.</w:t>
      </w:r>
    </w:p>
    <w:p w14:paraId="14C6FFA8" w14:textId="77777777" w:rsidR="00A037C5" w:rsidRPr="00A037C5" w:rsidRDefault="00A037C5" w:rsidP="00A037C5">
      <w:pPr>
        <w:jc w:val="both"/>
        <w:rPr>
          <w:rFonts w:ascii="Arial" w:hAnsi="Arial" w:cs="Arial"/>
          <w:sz w:val="24"/>
          <w:szCs w:val="24"/>
        </w:rPr>
      </w:pPr>
    </w:p>
    <w:p w14:paraId="314A847B" w14:textId="77777777" w:rsidR="00A037C5" w:rsidRPr="00A037C5" w:rsidRDefault="00A037C5" w:rsidP="00A037C5">
      <w:pPr>
        <w:jc w:val="both"/>
        <w:rPr>
          <w:rFonts w:ascii="Arial" w:hAnsi="Arial" w:cs="Arial"/>
          <w:b/>
          <w:bCs/>
          <w:sz w:val="24"/>
          <w:szCs w:val="24"/>
        </w:rPr>
      </w:pPr>
      <w:r w:rsidRPr="00A037C5">
        <w:rPr>
          <w:rFonts w:ascii="Arial" w:hAnsi="Arial" w:cs="Arial"/>
          <w:b/>
          <w:bCs/>
          <w:sz w:val="24"/>
          <w:szCs w:val="24"/>
        </w:rPr>
        <w:t>Objectives:</w:t>
      </w:r>
    </w:p>
    <w:p w14:paraId="12C94238"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The primary goals of this project encompass:</w:t>
      </w:r>
    </w:p>
    <w:p w14:paraId="4DFE2886"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1. In-depth analysis of historical earthquake data within the Indian Subcontinent, scrutinizing attributes such as magnitude, depth, spatial distribution, and temporal trends.</w:t>
      </w:r>
    </w:p>
    <w:p w14:paraId="2A656FC7"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2. Identify recurrent spatial and temporal patterns in seismic activity, focusing on regions of heightened seismic vulnerability.</w:t>
      </w:r>
    </w:p>
    <w:p w14:paraId="107DE9A1"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3. Exploration of reasonable associations between geological characteristics, including fault lines, plate boundaries, and earthquake occurrences.</w:t>
      </w:r>
    </w:p>
    <w:p w14:paraId="49789224"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4. Harnessing the potential of data visualization tools to convey research findings.</w:t>
      </w:r>
    </w:p>
    <w:p w14:paraId="318B41F3" w14:textId="77777777" w:rsidR="00A037C5" w:rsidRPr="00A037C5" w:rsidRDefault="00A037C5" w:rsidP="00A037C5">
      <w:pPr>
        <w:jc w:val="both"/>
        <w:rPr>
          <w:rFonts w:ascii="Arial" w:hAnsi="Arial" w:cs="Arial"/>
          <w:sz w:val="24"/>
          <w:szCs w:val="24"/>
        </w:rPr>
      </w:pPr>
    </w:p>
    <w:p w14:paraId="466DDD12" w14:textId="77777777" w:rsidR="00A037C5" w:rsidRPr="00A037C5" w:rsidRDefault="00A037C5" w:rsidP="00A037C5">
      <w:pPr>
        <w:jc w:val="both"/>
        <w:rPr>
          <w:rFonts w:ascii="Arial" w:hAnsi="Arial" w:cs="Arial"/>
          <w:b/>
          <w:bCs/>
          <w:sz w:val="24"/>
          <w:szCs w:val="24"/>
        </w:rPr>
      </w:pPr>
      <w:r w:rsidRPr="00A037C5">
        <w:rPr>
          <w:rFonts w:ascii="Arial" w:hAnsi="Arial" w:cs="Arial"/>
          <w:b/>
          <w:bCs/>
          <w:sz w:val="24"/>
          <w:szCs w:val="24"/>
        </w:rPr>
        <w:t>Scope of the Project:</w:t>
      </w:r>
    </w:p>
    <w:p w14:paraId="7FC6D48D"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 xml:space="preserve">This endeavour encapsulates an exhaustive examination of seismic data exclusively within the geographic confines of the Indian Subcontinent. It entails data acquisition, meticulous preprocessing, and an intricate analytical journey through historical </w:t>
      </w:r>
      <w:r w:rsidRPr="00A037C5">
        <w:rPr>
          <w:rFonts w:ascii="Arial" w:hAnsi="Arial" w:cs="Arial"/>
          <w:sz w:val="24"/>
          <w:szCs w:val="24"/>
        </w:rPr>
        <w:lastRenderedPageBreak/>
        <w:t>seismic records. The project is firmly rooted in the retrospective analysis of seismic events and does not encompass real-time monitoring. The deployment of advanced analytical tools, such as SQL, Python, and Power BI, is foreseen for seismic dataset extraction, refinement, and visualization.</w:t>
      </w:r>
    </w:p>
    <w:p w14:paraId="09D51D56" w14:textId="77777777" w:rsidR="00A037C5" w:rsidRPr="00A037C5" w:rsidRDefault="00A037C5" w:rsidP="00A037C5">
      <w:pPr>
        <w:jc w:val="both"/>
        <w:rPr>
          <w:rFonts w:ascii="Arial" w:hAnsi="Arial" w:cs="Arial"/>
          <w:sz w:val="24"/>
          <w:szCs w:val="24"/>
        </w:rPr>
      </w:pPr>
    </w:p>
    <w:p w14:paraId="4FD32650" w14:textId="77777777" w:rsidR="00A037C5" w:rsidRPr="00A037C5" w:rsidRDefault="00A037C5" w:rsidP="00A037C5">
      <w:pPr>
        <w:jc w:val="both"/>
        <w:rPr>
          <w:rFonts w:ascii="Arial" w:hAnsi="Arial" w:cs="Arial"/>
          <w:b/>
          <w:bCs/>
          <w:sz w:val="24"/>
          <w:szCs w:val="24"/>
        </w:rPr>
      </w:pPr>
      <w:r w:rsidRPr="00A037C5">
        <w:rPr>
          <w:rFonts w:ascii="Arial" w:hAnsi="Arial" w:cs="Arial"/>
          <w:b/>
          <w:bCs/>
          <w:sz w:val="24"/>
          <w:szCs w:val="24"/>
        </w:rPr>
        <w:t>Significance of the Project:</w:t>
      </w:r>
    </w:p>
    <w:p w14:paraId="72719C22"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The profound significance of this initiative transcends disciplinary boundaries, resonating across society, science, and environmental conservation. By peering into the seismic annals of the Indian Subcontinent, this analysis has the potential to:</w:t>
      </w:r>
    </w:p>
    <w:p w14:paraId="0B7FB2B9"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1. Forge robust disaster preparedness by highlighting high-risk zones and informing tailored mitigation strategies.</w:t>
      </w:r>
    </w:p>
    <w:p w14:paraId="3CF82C1D"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2. Foster judicious urban planning and resilient infrastructure development in regions prone to seismic activity.</w:t>
      </w:r>
    </w:p>
    <w:p w14:paraId="17C12443"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3. Propel public awareness and education, empowering communities with insights into earthquake risks and adaptive measures.</w:t>
      </w:r>
    </w:p>
    <w:p w14:paraId="6FBB3589" w14:textId="6798DC01" w:rsidR="00E86D78" w:rsidRDefault="00A037C5" w:rsidP="00A037C5">
      <w:pPr>
        <w:jc w:val="both"/>
        <w:rPr>
          <w:rFonts w:ascii="Arial" w:hAnsi="Arial" w:cs="Arial"/>
          <w:sz w:val="24"/>
          <w:szCs w:val="24"/>
        </w:rPr>
      </w:pPr>
      <w:r w:rsidRPr="00A037C5">
        <w:rPr>
          <w:rFonts w:ascii="Arial" w:hAnsi="Arial" w:cs="Arial"/>
          <w:sz w:val="24"/>
          <w:szCs w:val="24"/>
        </w:rPr>
        <w:t>4. Furnish critical insights for stakeholders, whether researchers, policy architects, or decision-makers, fostering informed and agile responses.</w:t>
      </w:r>
    </w:p>
    <w:p w14:paraId="0828FF74" w14:textId="77777777" w:rsidR="00AE3C0C" w:rsidRDefault="00AE3C0C" w:rsidP="00A037C5">
      <w:pPr>
        <w:jc w:val="both"/>
        <w:rPr>
          <w:rFonts w:ascii="Arial" w:hAnsi="Arial" w:cs="Arial"/>
          <w:sz w:val="24"/>
          <w:szCs w:val="24"/>
        </w:rPr>
      </w:pPr>
    </w:p>
    <w:p w14:paraId="5813C90C" w14:textId="3E197516" w:rsidR="00AE3C0C" w:rsidRPr="00AE3C0C" w:rsidRDefault="00AE3C0C" w:rsidP="00A037C5">
      <w:pPr>
        <w:jc w:val="both"/>
        <w:rPr>
          <w:rFonts w:ascii="Arial" w:hAnsi="Arial" w:cs="Arial"/>
          <w:b/>
          <w:bCs/>
          <w:sz w:val="24"/>
          <w:szCs w:val="24"/>
        </w:rPr>
      </w:pPr>
      <w:r w:rsidRPr="00AE3C0C">
        <w:rPr>
          <w:rFonts w:ascii="Arial" w:hAnsi="Arial" w:cs="Arial"/>
          <w:b/>
          <w:bCs/>
          <w:sz w:val="24"/>
          <w:szCs w:val="24"/>
        </w:rPr>
        <w:t>Tools Used</w:t>
      </w:r>
    </w:p>
    <w:p w14:paraId="2E72F31A" w14:textId="284A3006" w:rsidR="00AE3C0C" w:rsidRPr="00AE3C0C" w:rsidRDefault="00AE3C0C" w:rsidP="00AE3C0C">
      <w:pPr>
        <w:pStyle w:val="ListParagraph"/>
        <w:numPr>
          <w:ilvl w:val="0"/>
          <w:numId w:val="1"/>
        </w:numPr>
        <w:jc w:val="both"/>
        <w:rPr>
          <w:rFonts w:ascii="Arial" w:hAnsi="Arial" w:cs="Arial"/>
          <w:sz w:val="24"/>
          <w:szCs w:val="24"/>
        </w:rPr>
      </w:pPr>
      <w:r w:rsidRPr="00AE3C0C">
        <w:rPr>
          <w:rFonts w:ascii="Arial" w:hAnsi="Arial" w:cs="Arial"/>
          <w:sz w:val="24"/>
          <w:szCs w:val="24"/>
        </w:rPr>
        <w:t>Excel</w:t>
      </w:r>
    </w:p>
    <w:p w14:paraId="2CB2B5BD" w14:textId="20A77EE6" w:rsidR="00AE3C0C" w:rsidRPr="00AE3C0C" w:rsidRDefault="00AE3C0C" w:rsidP="00AE3C0C">
      <w:pPr>
        <w:pStyle w:val="ListParagraph"/>
        <w:numPr>
          <w:ilvl w:val="0"/>
          <w:numId w:val="1"/>
        </w:numPr>
        <w:jc w:val="both"/>
        <w:rPr>
          <w:rFonts w:ascii="Arial" w:hAnsi="Arial" w:cs="Arial"/>
          <w:sz w:val="24"/>
          <w:szCs w:val="24"/>
        </w:rPr>
      </w:pPr>
      <w:r w:rsidRPr="00AE3C0C">
        <w:rPr>
          <w:rFonts w:ascii="Arial" w:hAnsi="Arial" w:cs="Arial"/>
          <w:sz w:val="24"/>
          <w:szCs w:val="24"/>
        </w:rPr>
        <w:t>SQL- MySQL</w:t>
      </w:r>
    </w:p>
    <w:p w14:paraId="4C9B693A" w14:textId="14E6854D" w:rsidR="00AE3C0C" w:rsidRPr="00AE3C0C" w:rsidRDefault="00AE3C0C" w:rsidP="00AE3C0C">
      <w:pPr>
        <w:pStyle w:val="ListParagraph"/>
        <w:numPr>
          <w:ilvl w:val="0"/>
          <w:numId w:val="1"/>
        </w:numPr>
        <w:jc w:val="both"/>
        <w:rPr>
          <w:rFonts w:ascii="Arial" w:hAnsi="Arial" w:cs="Arial"/>
          <w:sz w:val="24"/>
          <w:szCs w:val="24"/>
        </w:rPr>
      </w:pPr>
      <w:r w:rsidRPr="00AE3C0C">
        <w:rPr>
          <w:rFonts w:ascii="Arial" w:hAnsi="Arial" w:cs="Arial"/>
          <w:sz w:val="24"/>
          <w:szCs w:val="24"/>
        </w:rPr>
        <w:t>Python</w:t>
      </w:r>
    </w:p>
    <w:p w14:paraId="614636A5" w14:textId="572C958F" w:rsidR="00AE3C0C" w:rsidRPr="00AE3C0C" w:rsidRDefault="00AE3C0C" w:rsidP="00AE3C0C">
      <w:pPr>
        <w:pStyle w:val="ListParagraph"/>
        <w:numPr>
          <w:ilvl w:val="0"/>
          <w:numId w:val="1"/>
        </w:numPr>
        <w:jc w:val="both"/>
        <w:rPr>
          <w:rFonts w:ascii="Arial" w:hAnsi="Arial" w:cs="Arial"/>
          <w:sz w:val="24"/>
          <w:szCs w:val="24"/>
        </w:rPr>
      </w:pPr>
      <w:r w:rsidRPr="00AE3C0C">
        <w:rPr>
          <w:rFonts w:ascii="Arial" w:hAnsi="Arial" w:cs="Arial"/>
          <w:sz w:val="24"/>
          <w:szCs w:val="24"/>
        </w:rPr>
        <w:t>Power BI</w:t>
      </w:r>
    </w:p>
    <w:sectPr w:rsidR="00AE3C0C" w:rsidRPr="00AE3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329E"/>
    <w:multiLevelType w:val="hybridMultilevel"/>
    <w:tmpl w:val="368E5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6620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C5"/>
    <w:rsid w:val="000C430D"/>
    <w:rsid w:val="009175BE"/>
    <w:rsid w:val="00A037C5"/>
    <w:rsid w:val="00AE3C0C"/>
    <w:rsid w:val="00AE51BF"/>
    <w:rsid w:val="00B67145"/>
    <w:rsid w:val="00E86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6A5DC"/>
  <w15:chartTrackingRefBased/>
  <w15:docId w15:val="{74AE0B69-E1DE-4905-A53A-E263F9F2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440</Words>
  <Characters>2938</Characters>
  <Application>Microsoft Office Word</Application>
  <DocSecurity>0</DocSecurity>
  <Lines>61</Lines>
  <Paragraphs>24</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Nandhidhashri M</dc:creator>
  <cp:keywords/>
  <dc:description/>
  <cp:lastModifiedBy>Nandhidhashri M</cp:lastModifiedBy>
  <cp:revision>3</cp:revision>
  <dcterms:created xsi:type="dcterms:W3CDTF">2023-11-15T18:54:00Z</dcterms:created>
  <dcterms:modified xsi:type="dcterms:W3CDTF">2023-11-15T19:23:00Z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bcd9ae33-ff52-4a51-bc9e-26a59bfa29f8</vt:lpwstr>
  </property>
</Properties>
</file>