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Travel Policy</w:t>
      </w:r>
    </w:p>
    <w:p>
      <w:pPr>
        <w:pStyle w:val="Heading2"/>
      </w:pPr>
      <w:r>
        <w:t xml:space="preserve">1. Scope</w:t>
      </w:r>
    </w:p>
    <w:p>
      <w:r>
        <w:t xml:space="preserve">Applies to all employees travelling for work. Acme Corp is a fictional company used for testing.</w:t>
      </w:r>
    </w:p>
    <w:p>
      <w:pPr>
        <w:pStyle w:val="Heading2"/>
      </w:pPr>
      <w:r>
        <w:t xml:space="preserve">2. Hotel limits</w:t>
      </w:r>
    </w:p>
    <w:p>
      <w:r>
        <w:t xml:space="preserve">Hotel stays are reimbursed up to 4000 rupees per night in metro cities and 2500 rupees elsewhere.</w:t>
      </w:r>
    </w:p>
    <w:p>
      <w:pPr>
        <w:pStyle w:val="Heading2"/>
      </w:pPr>
      <w:r>
        <w:t xml:space="preserve">3. Per diem</w:t>
      </w:r>
    </w:p>
    <w:p>
      <w:r>
        <w:t xml:space="preserve">A daily allowance of 800 rupees covers meals during business travel. Receipts are not required.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2026-10-06T01:34:17.302Z</dcterms:created>
  <dcterms:modified xsi:type="dcterms:W3CDTF">2026-10-06T01:34:17.303Z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