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color w:val="1F3864"/>
          <w:sz w:val="44"/>
          <w:szCs w:val="44"/>
        </w:rPr>
        <w:t xml:space="preserve">Seasonal Agriculture Performance Analysis</w:t>
      </w:r>
    </w:p>
    <w:p>
      <w:pPr>
        <w:spacing w:after="800"/>
        <w:jc w:val="center"/>
      </w:pPr>
      <w:r>
        <w:rPr>
          <w:rFonts w:ascii="Calibri" w:cs="Calibri" w:eastAsia="Calibri" w:hAnsi="Calibri"/>
          <w:sz w:val="28"/>
          <w:szCs w:val="28"/>
        </w:rPr>
        <w:t xml:space="preserve">VOIS AICTE Batch 1 (2026–2027) — Major Project Report</w:t>
      </w:r>
    </w:p>
    <w:p>
      <w:pPr>
        <w:spacing w:after="100"/>
        <w:jc w:val="center"/>
      </w:pPr>
      <w:r>
        <w:rPr>
          <w:rFonts w:ascii="Calibri" w:cs="Calibri" w:eastAsia="Calibri" w:hAnsi="Calibri"/>
          <w:sz w:val="24"/>
          <w:szCs w:val="24"/>
        </w:rPr>
        <w:t xml:space="preserve">Prepared by: Muthumenen M</w:t>
      </w:r>
    </w:p>
    <w:p>
      <w:pPr>
        <w:spacing w:after="60"/>
        <w:jc w:val="center"/>
      </w:pPr>
      <w:r>
        <w:rPr>
          <w:rFonts w:ascii="Calibri" w:cs="Calibri" w:eastAsia="Calibri" w:hAnsi="Calibri"/>
          <w:sz w:val="22"/>
          <w:szCs w:val="22"/>
        </w:rPr>
        <w:t xml:space="preserve">B.Tech — Artificial Intelligence and Data Science</w:t>
      </w:r>
    </w:p>
    <w:p>
      <w:pPr>
        <w:spacing w:after="600"/>
        <w:jc w:val="center"/>
      </w:pPr>
      <w:r>
        <w:rPr>
          <w:rFonts w:ascii="Calibri" w:cs="Calibri" w:eastAsia="Calibri" w:hAnsi="Calibri"/>
          <w:sz w:val="22"/>
          <w:szCs w:val="22"/>
        </w:rPr>
        <w:t xml:space="preserve">Dhanalakshmi Srinivasan University, Tamil Nadu, India</w:t>
      </w:r>
    </w:p>
    <w:p>
      <w:pPr>
        <w:jc w:val="center"/>
      </w:pPr>
      <w:r>
        <w:rPr>
          <w:rFonts w:ascii="Calibri" w:cs="Calibri" w:eastAsia="Calibri" w:hAnsi="Calibri"/>
          <w:i/>
          <w:iCs/>
          <w:sz w:val="20"/>
          <w:szCs w:val="20"/>
        </w:rPr>
        <w:t xml:space="preserve">Dataset: seasonal_agriculture_performance_dataset.xlsx  |  4,000 farm records  |  28 columns</w:t>
      </w:r>
    </w:p>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60"/>
        <w:jc w:val="left"/>
      </w:pPr>
      <w:r>
        <w:rPr>
          <w:rFonts w:ascii="Calibri" w:cs="Calibri" w:eastAsia="Calibri" w:hAnsi="Calibri"/>
          <w:b w:val="false"/>
          <w:bCs w:val="false"/>
          <w:i w:val="false"/>
          <w:iCs w:val="false"/>
          <w:sz w:val="22"/>
          <w:szCs w:val="22"/>
        </w:rPr>
        <w:t xml:space="preserve">The dataset analyzed in this project represents agricultural activity across three cropping seasons (Kharif, Rabi and Zaid), eight Indian states, ten districts, eight crops and four irrigation methods. It records environmental conditions, resource usage, crop outcomes and economic performance for 4,000 individual farm records, providing an opportunity to study how agricultural performance changes across seasons and to identify meaningful, evidence-based patterns.</w:t>
      </w:r>
    </w:p>
    <w:p>
      <w:pPr>
        <w:pStyle w:val="Heading1"/>
        <w:spacing w:after="150" w:before="300"/>
      </w:pPr>
      <w:r>
        <w:t xml:space="preserve">2. Problem Statement</w:t>
      </w:r>
    </w:p>
    <w:p>
      <w:pPr>
        <w:spacing w:after="160"/>
        <w:jc w:val="left"/>
      </w:pPr>
      <w:r>
        <w:rPr>
          <w:rFonts w:ascii="Calibri" w:cs="Calibri" w:eastAsia="Calibri" w:hAnsi="Calibri"/>
          <w:b w:val="false"/>
          <w:bCs w:val="false"/>
          <w:i w:val="false"/>
          <w:iCs w:val="false"/>
          <w:sz w:val="22"/>
          <w:szCs w:val="22"/>
        </w:rPr>
        <w:t xml:space="preserve">Agricultural activities are influenced by seasonal variation in environmental conditions, farming practices, resource availability and market conditions, so performance may differ meaningfully between seasons. Raw agricultural data alone does not make these seasonal differences clear. This project analyzes the given dataset to investigate seasonal differences in agricultural performance by identifying patterns, trends, relationships and variations supported by the data.</w:t>
      </w:r>
    </w:p>
    <w:p>
      <w:pPr>
        <w:pStyle w:val="Heading1"/>
        <w:spacing w:after="150" w:before="300"/>
      </w:pPr>
      <w:r>
        <w:t xml:space="preserve">3. Objectives</w:t>
      </w:r>
    </w:p>
    <w:p>
      <w:pPr>
        <w:pStyle w:val="ListParagraph"/>
        <w:numPr>
          <w:ilvl w:val="0"/>
          <w:numId w:val="1"/>
        </w:numPr>
        <w:spacing w:after="80"/>
      </w:pPr>
      <w:r>
        <w:rPr>
          <w:rFonts w:ascii="Calibri" w:cs="Calibri" w:eastAsia="Calibri" w:hAnsi="Calibri"/>
          <w:sz w:val="22"/>
          <w:szCs w:val="22"/>
        </w:rPr>
        <w:t xml:space="preserve">Explore and understand the dataset structure and quality.</w:t>
      </w:r>
    </w:p>
    <w:p>
      <w:pPr>
        <w:pStyle w:val="ListParagraph"/>
        <w:numPr>
          <w:ilvl w:val="0"/>
          <w:numId w:val="1"/>
        </w:numPr>
        <w:spacing w:after="80"/>
      </w:pPr>
      <w:r>
        <w:rPr>
          <w:rFonts w:ascii="Calibri" w:cs="Calibri" w:eastAsia="Calibri" w:hAnsi="Calibri"/>
          <w:sz w:val="22"/>
          <w:szCs w:val="22"/>
        </w:rPr>
        <w:t xml:space="preserve">Clean and prepare the data for analysis, documenting every treatment applied.</w:t>
      </w:r>
    </w:p>
    <w:p>
      <w:pPr>
        <w:pStyle w:val="ListParagraph"/>
        <w:numPr>
          <w:ilvl w:val="0"/>
          <w:numId w:val="1"/>
        </w:numPr>
        <w:spacing w:after="80"/>
      </w:pPr>
      <w:r>
        <w:rPr>
          <w:rFonts w:ascii="Calibri" w:cs="Calibri" w:eastAsia="Calibri" w:hAnsi="Calibri"/>
          <w:sz w:val="22"/>
          <w:szCs w:val="22"/>
        </w:rPr>
        <w:t xml:space="preserve">Examine how agricultural performance varies across seasons.</w:t>
      </w:r>
    </w:p>
    <w:p>
      <w:pPr>
        <w:pStyle w:val="ListParagraph"/>
        <w:numPr>
          <w:ilvl w:val="0"/>
          <w:numId w:val="1"/>
        </w:numPr>
        <w:spacing w:after="80"/>
      </w:pPr>
      <w:r>
        <w:rPr>
          <w:rFonts w:ascii="Calibri" w:cs="Calibri" w:eastAsia="Calibri" w:hAnsi="Calibri"/>
          <w:sz w:val="22"/>
          <w:szCs w:val="22"/>
        </w:rPr>
        <w:t xml:space="preserve">Identify important seasonal patterns, trends and relationships with environmental conditions.</w:t>
      </w:r>
    </w:p>
    <w:p>
      <w:pPr>
        <w:pStyle w:val="ListParagraph"/>
        <w:numPr>
          <w:ilvl w:val="0"/>
          <w:numId w:val="1"/>
        </w:numPr>
        <w:spacing w:after="80"/>
      </w:pPr>
      <w:r>
        <w:rPr>
          <w:rFonts w:ascii="Calibri" w:cs="Calibri" w:eastAsia="Calibri" w:hAnsi="Calibri"/>
          <w:sz w:val="22"/>
          <w:szCs w:val="22"/>
        </w:rPr>
        <w:t xml:space="preserve">Compare relevant groups (crop, state, irrigation method) within seasons.</w:t>
      </w:r>
    </w:p>
    <w:p>
      <w:pPr>
        <w:pStyle w:val="ListParagraph"/>
        <w:numPr>
          <w:ilvl w:val="0"/>
          <w:numId w:val="1"/>
        </w:numPr>
        <w:spacing w:after="80"/>
      </w:pPr>
      <w:r>
        <w:rPr>
          <w:rFonts w:ascii="Calibri" w:cs="Calibri" w:eastAsia="Calibri" w:hAnsi="Calibri"/>
          <w:sz w:val="22"/>
          <w:szCs w:val="22"/>
        </w:rPr>
        <w:t xml:space="preserve">Apply appropriate statistical tests (alpha = 0.05) and visualizations.</w:t>
      </w:r>
    </w:p>
    <w:p>
      <w:pPr>
        <w:pStyle w:val="ListParagraph"/>
        <w:numPr>
          <w:ilvl w:val="0"/>
          <w:numId w:val="1"/>
        </w:numPr>
        <w:spacing w:after="80"/>
      </w:pPr>
      <w:r>
        <w:rPr>
          <w:rFonts w:ascii="Calibri" w:cs="Calibri" w:eastAsia="Calibri" w:hAnsi="Calibri"/>
          <w:sz w:val="22"/>
          <w:szCs w:val="22"/>
        </w:rPr>
        <w:t xml:space="preserve">Develop evidence-based conclusions and data-driven recommendations for seasonal planning.</w:t>
      </w:r>
    </w:p>
    <w:p>
      <w:pPr>
        <w:pStyle w:val="Heading1"/>
        <w:spacing w:after="150" w:before="300"/>
      </w:pPr>
      <w:r>
        <w:t xml:space="preserve">4. Dataset Description</w:t>
      </w:r>
    </w:p>
    <w:p>
      <w:pPr>
        <w:spacing w:after="160"/>
        <w:jc w:val="left"/>
      </w:pPr>
      <w:r>
        <w:rPr>
          <w:rFonts w:ascii="Calibri" w:cs="Calibri" w:eastAsia="Calibri" w:hAnsi="Calibri"/>
          <w:b w:val="false"/>
          <w:bCs w:val="false"/>
          <w:i w:val="false"/>
          <w:iCs w:val="false"/>
          <w:sz w:val="22"/>
          <w:szCs w:val="22"/>
        </w:rPr>
        <w:t xml:space="preserve">The cleaned dataset used for analysis contains 4,000 records and 28 columns (28 original columns plus 4 derived economic metrics). Categorical variables include State (8 values), District (10), Crop (8), Season (3: Kharif, Rabi, Zaid) and Irrigation Method (4). Numeric columns span environmental conditions, resource inputs, yield/production, and economic results.</w:t>
      </w:r>
    </w:p>
    <w:p>
      <w:pPr>
        <w:pStyle w:val="Heading1"/>
        <w:spacing w:after="150" w:before="300"/>
      </w:pPr>
      <w:r>
        <w:t xml:space="preserve">5. Methodology</w:t>
      </w:r>
    </w:p>
    <w:p>
      <w:pPr>
        <w:spacing w:after="160"/>
        <w:jc w:val="left"/>
      </w:pPr>
      <w:r>
        <w:rPr>
          <w:rFonts w:ascii="Calibri" w:cs="Calibri" w:eastAsia="Calibri" w:hAnsi="Calibri"/>
          <w:b w:val="false"/>
          <w:bCs w:val="false"/>
          <w:i w:val="false"/>
          <w:iCs w:val="false"/>
          <w:sz w:val="22"/>
          <w:szCs w:val="22"/>
        </w:rPr>
        <w:t xml:space="preserve">The analysis followed a standard data-analytics workflow: (1) initial inspection and data-quality audit, (2) documented cleaning and preprocessing, (3) exploratory data analysis, (4) the core seasonal performance comparison, (5) crop-wise and regional breakdowns, (6) environmental and resource-usage relationship analysis, (7) irrigation and economic performance analysis, (8) water-efficiency and disease/pest-risk analysis, (9) formal statistical testing at alpha = 0.05, (10) outlier/anomaly review, and (11) an advanced composite-scoring and regression exercise. Every figure and table in this report is generated directly from the cleaned dataset (`df_clean`) using the same code as the accompanying Jupyter Notebook, so the two are numerically consistent.</w:t>
      </w:r>
    </w:p>
    <w:p>
      <w:pPr>
        <w:pStyle w:val="Heading1"/>
        <w:spacing w:after="150" w:before="300"/>
      </w:pPr>
      <w:r>
        <w:t xml:space="preserve">6. Data Preprocessing</w:t>
      </w:r>
    </w:p>
    <w:p>
      <w:pPr>
        <w:spacing w:after="160"/>
        <w:jc w:val="left"/>
      </w:pPr>
      <w:r>
        <w:rPr>
          <w:rFonts w:ascii="Calibri" w:cs="Calibri" w:eastAsia="Calibri" w:hAnsi="Calibri"/>
          <w:b w:val="false"/>
          <w:bCs w:val="false"/>
          <w:i w:val="false"/>
          <w:iCs w:val="false"/>
          <w:sz w:val="22"/>
          <w:szCs w:val="22"/>
        </w:rPr>
        <w:t xml:space="preserve">The raw dataset had no duplicate rows and no formatting/whitespace issues in its categorical columns. Missing values were found only in three numeric columns: Rainfall_mm (48 records), Soil_Moisture_pct (40) and Yield_Tonnes_Ha (32) — together under 1.5% of the dataset. Rainfall and soil moisture were imputed using the median for their own Season group, since both vary strongly by season; yield was imputed using the median for its own Crop group, since yield varies by roughly two orders of magnitude between crops (notably Sugarcane).</w:t>
      </w:r>
    </w:p>
    <w:p>
      <w:pPr>
        <w:spacing w:after="160"/>
        <w:jc w:val="left"/>
      </w:pPr>
      <w:r>
        <w:rPr>
          <w:rFonts w:ascii="Calibri" w:cs="Calibri" w:eastAsia="Calibri" w:hAnsi="Calibri"/>
          <w:b w:val="false"/>
          <w:bCs w:val="false"/>
          <w:i w:val="false"/>
          <w:iCs w:val="false"/>
          <w:sz w:val="22"/>
          <w:szCs w:val="22"/>
        </w:rPr>
        <w:t xml:space="preserve">Extreme values in Yield_Tonnes_Ha (up to 101 t/ha) were investigated rather than removed: 97.04% of the 304 flagged records are Sugarcane, a crop that genuinely yields far more per hectare than grains or pulses. These were retained as legitimate values. The Revenue − Total Cost = Profit identity was verified to hold exactly across all records, and the Revenue/Cost/Profit fields required no correction.</w:t>
      </w:r>
    </w:p>
    <w:p>
      <w:pPr>
        <w:spacing w:after="160"/>
        <w:jc w:val="left"/>
      </w:pPr>
      <w:r>
        <w:rPr>
          <w:rFonts w:ascii="Calibri" w:cs="Calibri" w:eastAsia="Calibri" w:hAnsi="Calibri"/>
          <w:b w:val="false"/>
          <w:bCs w:val="false"/>
          <w:i w:val="false"/>
          <w:iCs w:val="false"/>
          <w:sz w:val="22"/>
          <w:szCs w:val="22"/>
        </w:rPr>
        <w:t xml:space="preserve">One data-quality characteristic worth noting: the District field does not map uniquely to a single State (several district names recur under more than one state), indicating State and District were populated independently rather than as a true geographic hierarchy. Regional analysis in this report is therefore presented at the State level.</w:t>
      </w:r>
    </w:p>
    <w:p>
      <w:pPr>
        <w:pStyle w:val="Heading1"/>
        <w:spacing w:after="150" w:before="300"/>
      </w:pPr>
      <w:r>
        <w:t xml:space="preserve">7. Exploratory Data Analysis</w:t>
      </w:r>
    </w:p>
    <w:p>
      <w:pPr>
        <w:spacing w:after="2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43175"/>
                    </a:xfrm>
                    <a:prstGeom prst="rect">
                      <a:avLst/>
                    </a:prstGeom>
                  </pic:spPr>
                </pic:pic>
              </a:graphicData>
            </a:graphic>
          </wp:inline>
        </w:drawing>
      </w:r>
    </w:p>
    <w:p>
      <w:pPr>
        <w:spacing w:after="160"/>
        <w:jc w:val="left"/>
      </w:pPr>
      <w:r>
        <w:rPr>
          <w:rFonts w:ascii="Calibri" w:cs="Calibri" w:eastAsia="Calibri" w:hAnsi="Calibri"/>
          <w:b w:val="false"/>
          <w:bCs w:val="false"/>
          <w:i/>
          <w:iCs/>
          <w:sz w:val="22"/>
          <w:szCs w:val="22"/>
        </w:rPr>
        <w:t xml:space="preserve">Kharif is the most represented season (44%), followed by Rabi (41%) and Zaid (15%) — consistent with Zaid being a shorter, irrigation-dependent cropping window in practice.</w:t>
      </w:r>
    </w:p>
    <w:p>
      <w:pPr>
        <w:spacing w:after="20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81225"/>
                    </a:xfrm>
                    <a:prstGeom prst="rect">
                      <a:avLst/>
                    </a:prstGeom>
                  </pic:spPr>
                </pic:pic>
              </a:graphicData>
            </a:graphic>
          </wp:inline>
        </w:drawing>
      </w:r>
    </w:p>
    <w:p>
      <w:pPr>
        <w:spacing w:after="160"/>
        <w:jc w:val="left"/>
      </w:pPr>
      <w:r>
        <w:rPr>
          <w:rFonts w:ascii="Calibri" w:cs="Calibri" w:eastAsia="Calibri" w:hAnsi="Calibri"/>
          <w:b w:val="false"/>
          <w:bCs w:val="false"/>
          <w:i/>
          <w:iCs/>
          <w:sz w:val="22"/>
          <w:szCs w:val="22"/>
        </w:rPr>
        <w:t xml:space="preserve">Yield and production are strongly right-skewed due to the Sugarcane crop group; once Sugarcane is excluded the remaining distribution is much closer to symmetric.</w:t>
      </w:r>
    </w:p>
    <w:p>
      <w:pPr>
        <w:pStyle w:val="Heading1"/>
        <w:spacing w:after="150" w:before="300"/>
      </w:pPr>
      <w:r>
        <w:t xml:space="preserve">8. Seasonal Performance Analysis</w:t>
      </w:r>
    </w:p>
    <w:p>
      <w:pPr>
        <w:spacing w:after="160"/>
        <w:jc w:val="left"/>
      </w:pPr>
      <w:r>
        <w:rPr>
          <w:rFonts w:ascii="Calibri" w:cs="Calibri" w:eastAsia="Calibri" w:hAnsi="Calibri"/>
          <w:b w:val="false"/>
          <w:bCs w:val="false"/>
          <w:i w:val="false"/>
          <w:iCs w:val="false"/>
          <w:sz w:val="22"/>
          <w:szCs w:val="22"/>
        </w:rPr>
        <w:t xml:space="preserve">The table below summarizes the core seasonal metrics computed from the cleaned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vAlign w:val="center"/>
          </w:tcPr>
          <w:p>
            <w:r>
              <w:rPr>
                <w:rFonts w:ascii="Calibri" w:cs="Calibri" w:eastAsia="Calibri" w:hAnsi="Calibri"/>
                <w:b/>
                <w:bCs/>
                <w:color w:val="FFFFFF"/>
                <w:sz w:val="20"/>
                <w:szCs w:val="20"/>
              </w:rPr>
              <w:t xml:space="preserve">Metric</w:t>
            </w:r>
          </w:p>
        </w:tc>
        <w:tc>
          <w:tcPr>
            <w:tcW w:type="dxa" w:w="2250"/>
            <w:shd w:fill="1F3864" w:val="clear"/>
            <w:vAlign w:val="center"/>
          </w:tcPr>
          <w:p>
            <w:r>
              <w:rPr>
                <w:rFonts w:ascii="Calibri" w:cs="Calibri" w:eastAsia="Calibri" w:hAnsi="Calibri"/>
                <w:b/>
                <w:bCs/>
                <w:color w:val="FFFFFF"/>
                <w:sz w:val="20"/>
                <w:szCs w:val="20"/>
              </w:rPr>
              <w:t xml:space="preserve">Kharif</w:t>
            </w:r>
          </w:p>
        </w:tc>
        <w:tc>
          <w:tcPr>
            <w:tcW w:type="dxa" w:w="2250"/>
            <w:shd w:fill="1F3864" w:val="clear"/>
            <w:vAlign w:val="center"/>
          </w:tcPr>
          <w:p>
            <w:r>
              <w:rPr>
                <w:rFonts w:ascii="Calibri" w:cs="Calibri" w:eastAsia="Calibri" w:hAnsi="Calibri"/>
                <w:b/>
                <w:bCs/>
                <w:color w:val="FFFFFF"/>
                <w:sz w:val="20"/>
                <w:szCs w:val="20"/>
              </w:rPr>
              <w:t xml:space="preserve">Rabi</w:t>
            </w:r>
          </w:p>
        </w:tc>
        <w:tc>
          <w:tcPr>
            <w:tcW w:type="dxa" w:w="2250"/>
            <w:shd w:fill="1F3864" w:val="clear"/>
            <w:vAlign w:val="center"/>
          </w:tcPr>
          <w:p>
            <w:r>
              <w:rPr>
                <w:rFonts w:ascii="Calibri" w:cs="Calibri" w:eastAsia="Calibri" w:hAnsi="Calibri"/>
                <w:b/>
                <w:bCs/>
                <w:color w:val="FFFFFF"/>
                <w:sz w:val="20"/>
                <w:szCs w:val="20"/>
              </w:rPr>
              <w:t xml:space="preserve">Zaid</w:t>
            </w:r>
          </w:p>
        </w:tc>
      </w:tr>
      <w:tr>
        <w:tc>
          <w:tcPr>
            <w:tcW w:type="dxa" w:w="2250"/>
            <w:vAlign w:val="center"/>
          </w:tcPr>
          <w:p>
            <w:r>
              <w:rPr>
                <w:rFonts w:ascii="Calibri" w:cs="Calibri" w:eastAsia="Calibri" w:hAnsi="Calibri"/>
                <w:b w:val="false"/>
                <w:bCs w:val="false"/>
                <w:color w:val="000000"/>
                <w:sz w:val="20"/>
                <w:szCs w:val="20"/>
              </w:rPr>
              <w:t xml:space="preserve">Number of farms</w:t>
            </w:r>
          </w:p>
        </w:tc>
        <w:tc>
          <w:tcPr>
            <w:tcW w:type="dxa" w:w="2250"/>
            <w:vAlign w:val="center"/>
          </w:tcPr>
          <w:p>
            <w:r>
              <w:rPr>
                <w:rFonts w:ascii="Calibri" w:cs="Calibri" w:eastAsia="Calibri" w:hAnsi="Calibri"/>
                <w:b w:val="false"/>
                <w:bCs w:val="false"/>
                <w:color w:val="000000"/>
                <w:sz w:val="20"/>
                <w:szCs w:val="20"/>
              </w:rPr>
              <w:t xml:space="preserve">1779</w:t>
            </w:r>
          </w:p>
        </w:tc>
        <w:tc>
          <w:tcPr>
            <w:tcW w:type="dxa" w:w="2250"/>
            <w:vAlign w:val="center"/>
          </w:tcPr>
          <w:p>
            <w:r>
              <w:rPr>
                <w:rFonts w:ascii="Calibri" w:cs="Calibri" w:eastAsia="Calibri" w:hAnsi="Calibri"/>
                <w:b w:val="false"/>
                <w:bCs w:val="false"/>
                <w:color w:val="000000"/>
                <w:sz w:val="20"/>
                <w:szCs w:val="20"/>
              </w:rPr>
              <w:t xml:space="preserve">1627</w:t>
            </w:r>
          </w:p>
        </w:tc>
        <w:tc>
          <w:tcPr>
            <w:tcW w:type="dxa" w:w="2250"/>
            <w:vAlign w:val="center"/>
          </w:tcPr>
          <w:p>
            <w:r>
              <w:rPr>
                <w:rFonts w:ascii="Calibri" w:cs="Calibri" w:eastAsia="Calibri" w:hAnsi="Calibri"/>
                <w:b w:val="false"/>
                <w:bCs w:val="false"/>
                <w:color w:val="000000"/>
                <w:sz w:val="20"/>
                <w:szCs w:val="20"/>
              </w:rPr>
              <w:t xml:space="preserve">594</w:t>
            </w:r>
          </w:p>
        </w:tc>
      </w:tr>
      <w:tr>
        <w:tc>
          <w:tcPr>
            <w:tcW w:type="dxa" w:w="2250"/>
            <w:shd w:fill="F2F2F2" w:val="clear"/>
            <w:vAlign w:val="center"/>
          </w:tcPr>
          <w:p>
            <w:r>
              <w:rPr>
                <w:rFonts w:ascii="Calibri" w:cs="Calibri" w:eastAsia="Calibri" w:hAnsi="Calibri"/>
                <w:b w:val="false"/>
                <w:bCs w:val="false"/>
                <w:color w:val="000000"/>
                <w:sz w:val="20"/>
                <w:szCs w:val="20"/>
              </w:rPr>
              <w:t xml:space="preserve">Avg. rainfall (mm)</w:t>
            </w:r>
          </w:p>
        </w:tc>
        <w:tc>
          <w:tcPr>
            <w:tcW w:type="dxa" w:w="2250"/>
            <w:shd w:fill="F2F2F2" w:val="clear"/>
            <w:vAlign w:val="center"/>
          </w:tcPr>
          <w:p>
            <w:r>
              <w:rPr>
                <w:rFonts w:ascii="Calibri" w:cs="Calibri" w:eastAsia="Calibri" w:hAnsi="Calibri"/>
                <w:b w:val="false"/>
                <w:bCs w:val="false"/>
                <w:color w:val="000000"/>
                <w:sz w:val="20"/>
                <w:szCs w:val="20"/>
              </w:rPr>
              <w:t xml:space="preserve">852</w:t>
            </w:r>
          </w:p>
        </w:tc>
        <w:tc>
          <w:tcPr>
            <w:tcW w:type="dxa" w:w="2250"/>
            <w:shd w:fill="F2F2F2" w:val="clear"/>
            <w:vAlign w:val="center"/>
          </w:tcPr>
          <w:p>
            <w:r>
              <w:rPr>
                <w:rFonts w:ascii="Calibri" w:cs="Calibri" w:eastAsia="Calibri" w:hAnsi="Calibri"/>
                <w:b w:val="false"/>
                <w:bCs w:val="false"/>
                <w:color w:val="000000"/>
                <w:sz w:val="20"/>
                <w:szCs w:val="20"/>
              </w:rPr>
              <w:t xml:space="preserve">436</w:t>
            </w:r>
          </w:p>
        </w:tc>
        <w:tc>
          <w:tcPr>
            <w:tcW w:type="dxa" w:w="2250"/>
            <w:shd w:fill="F2F2F2" w:val="clear"/>
            <w:vAlign w:val="center"/>
          </w:tcPr>
          <w:p>
            <w:r>
              <w:rPr>
                <w:rFonts w:ascii="Calibri" w:cs="Calibri" w:eastAsia="Calibri" w:hAnsi="Calibri"/>
                <w:b w:val="false"/>
                <w:bCs w:val="false"/>
                <w:color w:val="000000"/>
                <w:sz w:val="20"/>
                <w:szCs w:val="20"/>
              </w:rPr>
              <w:t xml:space="preserve">299</w:t>
            </w:r>
          </w:p>
        </w:tc>
      </w:tr>
      <w:tr>
        <w:tc>
          <w:tcPr>
            <w:tcW w:type="dxa" w:w="2250"/>
            <w:vAlign w:val="center"/>
          </w:tcPr>
          <w:p>
            <w:r>
              <w:rPr>
                <w:rFonts w:ascii="Calibri" w:cs="Calibri" w:eastAsia="Calibri" w:hAnsi="Calibri"/>
                <w:b w:val="false"/>
                <w:bCs w:val="false"/>
                <w:color w:val="000000"/>
                <w:sz w:val="20"/>
                <w:szCs w:val="20"/>
              </w:rPr>
              <w:t xml:space="preserve">Avg. temperature (°C)</w:t>
            </w:r>
          </w:p>
        </w:tc>
        <w:tc>
          <w:tcPr>
            <w:tcW w:type="dxa" w:w="2250"/>
            <w:vAlign w:val="center"/>
          </w:tcPr>
          <w:p>
            <w:r>
              <w:rPr>
                <w:rFonts w:ascii="Calibri" w:cs="Calibri" w:eastAsia="Calibri" w:hAnsi="Calibri"/>
                <w:b w:val="false"/>
                <w:bCs w:val="false"/>
                <w:color w:val="000000"/>
                <w:sz w:val="20"/>
                <w:szCs w:val="20"/>
              </w:rPr>
              <w:t xml:space="preserve">28.45</w:t>
            </w:r>
          </w:p>
        </w:tc>
        <w:tc>
          <w:tcPr>
            <w:tcW w:type="dxa" w:w="2250"/>
            <w:vAlign w:val="center"/>
          </w:tcPr>
          <w:p>
            <w:r>
              <w:rPr>
                <w:rFonts w:ascii="Calibri" w:cs="Calibri" w:eastAsia="Calibri" w:hAnsi="Calibri"/>
                <w:b w:val="false"/>
                <w:bCs w:val="false"/>
                <w:color w:val="000000"/>
                <w:sz w:val="20"/>
                <w:szCs w:val="20"/>
              </w:rPr>
              <w:t xml:space="preserve">23.49</w:t>
            </w:r>
          </w:p>
        </w:tc>
        <w:tc>
          <w:tcPr>
            <w:tcW w:type="dxa" w:w="2250"/>
            <w:vAlign w:val="center"/>
          </w:tcPr>
          <w:p>
            <w:r>
              <w:rPr>
                <w:rFonts w:ascii="Calibri" w:cs="Calibri" w:eastAsia="Calibri" w:hAnsi="Calibri"/>
                <w:b w:val="false"/>
                <w:bCs w:val="false"/>
                <w:color w:val="000000"/>
                <w:sz w:val="20"/>
                <w:szCs w:val="20"/>
              </w:rPr>
              <w:t xml:space="preserve">31.04</w:t>
            </w:r>
          </w:p>
        </w:tc>
      </w:tr>
      <w:tr>
        <w:tc>
          <w:tcPr>
            <w:tcW w:type="dxa" w:w="2250"/>
            <w:shd w:fill="F2F2F2" w:val="clear"/>
            <w:vAlign w:val="center"/>
          </w:tcPr>
          <w:p>
            <w:r>
              <w:rPr>
                <w:rFonts w:ascii="Calibri" w:cs="Calibri" w:eastAsia="Calibri" w:hAnsi="Calibri"/>
                <w:b w:val="false"/>
                <w:bCs w:val="false"/>
                <w:color w:val="000000"/>
                <w:sz w:val="20"/>
                <w:szCs w:val="20"/>
              </w:rPr>
              <w:t xml:space="preserve">Avg. humidity (%)</w:t>
            </w:r>
          </w:p>
        </w:tc>
        <w:tc>
          <w:tcPr>
            <w:tcW w:type="dxa" w:w="2250"/>
            <w:shd w:fill="F2F2F2" w:val="clear"/>
            <w:vAlign w:val="center"/>
          </w:tcPr>
          <w:p>
            <w:r>
              <w:rPr>
                <w:rFonts w:ascii="Calibri" w:cs="Calibri" w:eastAsia="Calibri" w:hAnsi="Calibri"/>
                <w:b w:val="false"/>
                <w:bCs w:val="false"/>
                <w:color w:val="000000"/>
                <w:sz w:val="20"/>
                <w:szCs w:val="20"/>
              </w:rPr>
              <w:t xml:space="preserve">71.81</w:t>
            </w:r>
          </w:p>
        </w:tc>
        <w:tc>
          <w:tcPr>
            <w:tcW w:type="dxa" w:w="2250"/>
            <w:shd w:fill="F2F2F2" w:val="clear"/>
            <w:vAlign w:val="center"/>
          </w:tcPr>
          <w:p>
            <w:r>
              <w:rPr>
                <w:rFonts w:ascii="Calibri" w:cs="Calibri" w:eastAsia="Calibri" w:hAnsi="Calibri"/>
                <w:b w:val="false"/>
                <w:bCs w:val="false"/>
                <w:color w:val="000000"/>
                <w:sz w:val="20"/>
                <w:szCs w:val="20"/>
              </w:rPr>
              <w:t xml:space="preserve">57.89</w:t>
            </w:r>
          </w:p>
        </w:tc>
        <w:tc>
          <w:tcPr>
            <w:tcW w:type="dxa" w:w="2250"/>
            <w:shd w:fill="F2F2F2" w:val="clear"/>
            <w:vAlign w:val="center"/>
          </w:tcPr>
          <w:p>
            <w:r>
              <w:rPr>
                <w:rFonts w:ascii="Calibri" w:cs="Calibri" w:eastAsia="Calibri" w:hAnsi="Calibri"/>
                <w:b w:val="false"/>
                <w:bCs w:val="false"/>
                <w:color w:val="000000"/>
                <w:sz w:val="20"/>
                <w:szCs w:val="20"/>
              </w:rPr>
              <w:t xml:space="preserve">52.01</w:t>
            </w:r>
          </w:p>
        </w:tc>
      </w:tr>
      <w:tr>
        <w:tc>
          <w:tcPr>
            <w:tcW w:type="dxa" w:w="2250"/>
            <w:vAlign w:val="center"/>
          </w:tcPr>
          <w:p>
            <w:r>
              <w:rPr>
                <w:rFonts w:ascii="Calibri" w:cs="Calibri" w:eastAsia="Calibri" w:hAnsi="Calibri"/>
                <w:b w:val="false"/>
                <w:bCs w:val="false"/>
                <w:color w:val="000000"/>
                <w:sz w:val="20"/>
                <w:szCs w:val="20"/>
              </w:rPr>
              <w:t xml:space="preserve">Avg. yield (t/ha)</w:t>
            </w:r>
          </w:p>
        </w:tc>
        <w:tc>
          <w:tcPr>
            <w:tcW w:type="dxa" w:w="2250"/>
            <w:vAlign w:val="center"/>
          </w:tcPr>
          <w:p>
            <w:r>
              <w:rPr>
                <w:rFonts w:ascii="Calibri" w:cs="Calibri" w:eastAsia="Calibri" w:hAnsi="Calibri"/>
                <w:b w:val="false"/>
                <w:bCs w:val="false"/>
                <w:color w:val="000000"/>
                <w:sz w:val="20"/>
                <w:szCs w:val="20"/>
              </w:rPr>
              <w:t xml:space="preserve">5.63</w:t>
            </w:r>
          </w:p>
        </w:tc>
        <w:tc>
          <w:tcPr>
            <w:tcW w:type="dxa" w:w="2250"/>
            <w:vAlign w:val="center"/>
          </w:tcPr>
          <w:p>
            <w:r>
              <w:rPr>
                <w:rFonts w:ascii="Calibri" w:cs="Calibri" w:eastAsia="Calibri" w:hAnsi="Calibri"/>
                <w:b w:val="false"/>
                <w:bCs w:val="false"/>
                <w:color w:val="000000"/>
                <w:sz w:val="20"/>
                <w:szCs w:val="20"/>
              </w:rPr>
              <w:t xml:space="preserve">5.1</w:t>
            </w:r>
          </w:p>
        </w:tc>
        <w:tc>
          <w:tcPr>
            <w:tcW w:type="dxa" w:w="2250"/>
            <w:vAlign w:val="center"/>
          </w:tcPr>
          <w:p>
            <w:r>
              <w:rPr>
                <w:rFonts w:ascii="Calibri" w:cs="Calibri" w:eastAsia="Calibri" w:hAnsi="Calibri"/>
                <w:b w:val="false"/>
                <w:bCs w:val="false"/>
                <w:color w:val="000000"/>
                <w:sz w:val="20"/>
                <w:szCs w:val="20"/>
              </w:rPr>
              <w:t xml:space="preserve">4.64</w:t>
            </w:r>
          </w:p>
        </w:tc>
      </w:tr>
      <w:tr>
        <w:tc>
          <w:tcPr>
            <w:tcW w:type="dxa" w:w="2250"/>
            <w:shd w:fill="F2F2F2" w:val="clear"/>
            <w:vAlign w:val="center"/>
          </w:tcPr>
          <w:p>
            <w:r>
              <w:rPr>
                <w:rFonts w:ascii="Calibri" w:cs="Calibri" w:eastAsia="Calibri" w:hAnsi="Calibri"/>
                <w:b w:val="false"/>
                <w:bCs w:val="false"/>
                <w:color w:val="000000"/>
                <w:sz w:val="20"/>
                <w:szCs w:val="20"/>
              </w:rPr>
              <w:t xml:space="preserve">Total production (t)</w:t>
            </w:r>
          </w:p>
        </w:tc>
        <w:tc>
          <w:tcPr>
            <w:tcW w:type="dxa" w:w="2250"/>
            <w:shd w:fill="F2F2F2" w:val="clear"/>
            <w:vAlign w:val="center"/>
          </w:tcPr>
          <w:p>
            <w:r>
              <w:rPr>
                <w:rFonts w:ascii="Calibri" w:cs="Calibri" w:eastAsia="Calibri" w:hAnsi="Calibri"/>
                <w:b w:val="false"/>
                <w:bCs w:val="false"/>
                <w:color w:val="000000"/>
                <w:sz w:val="20"/>
                <w:szCs w:val="20"/>
              </w:rPr>
              <w:t xml:space="preserve">82,388</w:t>
            </w:r>
          </w:p>
        </w:tc>
        <w:tc>
          <w:tcPr>
            <w:tcW w:type="dxa" w:w="2250"/>
            <w:shd w:fill="F2F2F2" w:val="clear"/>
            <w:vAlign w:val="center"/>
          </w:tcPr>
          <w:p>
            <w:r>
              <w:rPr>
                <w:rFonts w:ascii="Calibri" w:cs="Calibri" w:eastAsia="Calibri" w:hAnsi="Calibri"/>
                <w:b w:val="false"/>
                <w:bCs w:val="false"/>
                <w:color w:val="000000"/>
                <w:sz w:val="20"/>
                <w:szCs w:val="20"/>
              </w:rPr>
              <w:t xml:space="preserve">67,499</w:t>
            </w:r>
          </w:p>
        </w:tc>
        <w:tc>
          <w:tcPr>
            <w:tcW w:type="dxa" w:w="2250"/>
            <w:shd w:fill="F2F2F2" w:val="clear"/>
            <w:vAlign w:val="center"/>
          </w:tcPr>
          <w:p>
            <w:r>
              <w:rPr>
                <w:rFonts w:ascii="Calibri" w:cs="Calibri" w:eastAsia="Calibri" w:hAnsi="Calibri"/>
                <w:b w:val="false"/>
                <w:bCs w:val="false"/>
                <w:color w:val="000000"/>
                <w:sz w:val="20"/>
                <w:szCs w:val="20"/>
              </w:rPr>
              <w:t xml:space="preserve">23,098</w:t>
            </w:r>
          </w:p>
        </w:tc>
      </w:tr>
      <w:tr>
        <w:tc>
          <w:tcPr>
            <w:tcW w:type="dxa" w:w="2250"/>
            <w:vAlign w:val="center"/>
          </w:tcPr>
          <w:p>
            <w:r>
              <w:rPr>
                <w:rFonts w:ascii="Calibri" w:cs="Calibri" w:eastAsia="Calibri" w:hAnsi="Calibri"/>
                <w:b w:val="false"/>
                <w:bCs w:val="false"/>
                <w:color w:val="000000"/>
                <w:sz w:val="20"/>
                <w:szCs w:val="20"/>
              </w:rPr>
              <w:t xml:space="preserve">Avg. profit (INR)</w:t>
            </w:r>
          </w:p>
        </w:tc>
        <w:tc>
          <w:tcPr>
            <w:tcW w:type="dxa" w:w="2250"/>
            <w:vAlign w:val="center"/>
          </w:tcPr>
          <w:p>
            <w:r>
              <w:rPr>
                <w:rFonts w:ascii="Calibri" w:cs="Calibri" w:eastAsia="Calibri" w:hAnsi="Calibri"/>
                <w:b w:val="false"/>
                <w:bCs w:val="false"/>
                <w:color w:val="000000"/>
                <w:sz w:val="20"/>
                <w:szCs w:val="20"/>
              </w:rPr>
              <w:t xml:space="preserve">178,915</w:t>
            </w:r>
          </w:p>
        </w:tc>
        <w:tc>
          <w:tcPr>
            <w:tcW w:type="dxa" w:w="2250"/>
            <w:vAlign w:val="center"/>
          </w:tcPr>
          <w:p>
            <w:r>
              <w:rPr>
                <w:rFonts w:ascii="Calibri" w:cs="Calibri" w:eastAsia="Calibri" w:hAnsi="Calibri"/>
                <w:b w:val="false"/>
                <w:bCs w:val="false"/>
                <w:color w:val="000000"/>
                <w:sz w:val="20"/>
                <w:szCs w:val="20"/>
              </w:rPr>
              <w:t xml:space="preserve">87,689</w:t>
            </w:r>
          </w:p>
        </w:tc>
        <w:tc>
          <w:tcPr>
            <w:tcW w:type="dxa" w:w="2250"/>
            <w:vAlign w:val="center"/>
          </w:tcPr>
          <w:p>
            <w:r>
              <w:rPr>
                <w:rFonts w:ascii="Calibri" w:cs="Calibri" w:eastAsia="Calibri" w:hAnsi="Calibri"/>
                <w:b w:val="false"/>
                <w:bCs w:val="false"/>
                <w:color w:val="000000"/>
                <w:sz w:val="20"/>
                <w:szCs w:val="20"/>
              </w:rPr>
              <w:t xml:space="preserve">-24,805</w:t>
            </w:r>
          </w:p>
        </w:tc>
      </w:tr>
      <w:tr>
        <w:tc>
          <w:tcPr>
            <w:tcW w:type="dxa" w:w="2250"/>
            <w:shd w:fill="F2F2F2" w:val="clear"/>
            <w:vAlign w:val="center"/>
          </w:tcPr>
          <w:p>
            <w:r>
              <w:rPr>
                <w:rFonts w:ascii="Calibri" w:cs="Calibri" w:eastAsia="Calibri" w:hAnsi="Calibri"/>
                <w:b w:val="false"/>
                <w:bCs w:val="false"/>
                <w:color w:val="000000"/>
                <w:sz w:val="20"/>
                <w:szCs w:val="20"/>
              </w:rPr>
              <w:t xml:space="preserve">Avg. water efficiency (t/1000m3)</w:t>
            </w:r>
          </w:p>
        </w:tc>
        <w:tc>
          <w:tcPr>
            <w:tcW w:type="dxa" w:w="2250"/>
            <w:shd w:fill="F2F2F2" w:val="clear"/>
            <w:vAlign w:val="center"/>
          </w:tcPr>
          <w:p>
            <w:r>
              <w:rPr>
                <w:rFonts w:ascii="Calibri" w:cs="Calibri" w:eastAsia="Calibri" w:hAnsi="Calibri"/>
                <w:b w:val="false"/>
                <w:bCs w:val="false"/>
                <w:color w:val="000000"/>
                <w:sz w:val="20"/>
                <w:szCs w:val="20"/>
              </w:rPr>
              <w:t xml:space="preserve">5.89</w:t>
            </w:r>
          </w:p>
        </w:tc>
        <w:tc>
          <w:tcPr>
            <w:tcW w:type="dxa" w:w="2250"/>
            <w:shd w:fill="F2F2F2" w:val="clear"/>
            <w:vAlign w:val="center"/>
          </w:tcPr>
          <w:p>
            <w:r>
              <w:rPr>
                <w:rFonts w:ascii="Calibri" w:cs="Calibri" w:eastAsia="Calibri" w:hAnsi="Calibri"/>
                <w:b w:val="false"/>
                <w:bCs w:val="false"/>
                <w:color w:val="000000"/>
                <w:sz w:val="20"/>
                <w:szCs w:val="20"/>
              </w:rPr>
              <w:t xml:space="preserve">5.19</w:t>
            </w:r>
          </w:p>
        </w:tc>
        <w:tc>
          <w:tcPr>
            <w:tcW w:type="dxa" w:w="2250"/>
            <w:shd w:fill="F2F2F2" w:val="clear"/>
            <w:vAlign w:val="center"/>
          </w:tcPr>
          <w:p>
            <w:r>
              <w:rPr>
                <w:rFonts w:ascii="Calibri" w:cs="Calibri" w:eastAsia="Calibri" w:hAnsi="Calibri"/>
                <w:b w:val="false"/>
                <w:bCs w:val="false"/>
                <w:color w:val="000000"/>
                <w:sz w:val="20"/>
                <w:szCs w:val="20"/>
              </w:rPr>
              <w:t xml:space="preserve">4.41</w:t>
            </w:r>
          </w:p>
        </w:tc>
      </w:tr>
      <w:tr>
        <w:tc>
          <w:tcPr>
            <w:tcW w:type="dxa" w:w="2250"/>
            <w:vAlign w:val="center"/>
          </w:tcPr>
          <w:p>
            <w:r>
              <w:rPr>
                <w:rFonts w:ascii="Calibri" w:cs="Calibri" w:eastAsia="Calibri" w:hAnsi="Calibri"/>
                <w:b w:val="false"/>
                <w:bCs w:val="false"/>
                <w:color w:val="000000"/>
                <w:sz w:val="20"/>
                <w:szCs w:val="20"/>
              </w:rPr>
              <w:t xml:space="preserve">Avg. disease/pest risk (%)</w:t>
            </w:r>
          </w:p>
        </w:tc>
        <w:tc>
          <w:tcPr>
            <w:tcW w:type="dxa" w:w="2250"/>
            <w:vAlign w:val="center"/>
          </w:tcPr>
          <w:p>
            <w:r>
              <w:rPr>
                <w:rFonts w:ascii="Calibri" w:cs="Calibri" w:eastAsia="Calibri" w:hAnsi="Calibri"/>
                <w:b w:val="false"/>
                <w:bCs w:val="false"/>
                <w:color w:val="000000"/>
                <w:sz w:val="20"/>
                <w:szCs w:val="20"/>
              </w:rPr>
              <w:t xml:space="preserve">54.47</w:t>
            </w:r>
          </w:p>
        </w:tc>
        <w:tc>
          <w:tcPr>
            <w:tcW w:type="dxa" w:w="2250"/>
            <w:vAlign w:val="center"/>
          </w:tcPr>
          <w:p>
            <w:r>
              <w:rPr>
                <w:rFonts w:ascii="Calibri" w:cs="Calibri" w:eastAsia="Calibri" w:hAnsi="Calibri"/>
                <w:b w:val="false"/>
                <w:bCs w:val="false"/>
                <w:color w:val="000000"/>
                <w:sz w:val="20"/>
                <w:szCs w:val="20"/>
              </w:rPr>
              <w:t xml:space="preserve">40.48</w:t>
            </w:r>
          </w:p>
        </w:tc>
        <w:tc>
          <w:tcPr>
            <w:tcW w:type="dxa" w:w="2250"/>
            <w:vAlign w:val="center"/>
          </w:tcPr>
          <w:p>
            <w:r>
              <w:rPr>
                <w:rFonts w:ascii="Calibri" w:cs="Calibri" w:eastAsia="Calibri" w:hAnsi="Calibri"/>
                <w:b w:val="false"/>
                <w:bCs w:val="false"/>
                <w:color w:val="000000"/>
                <w:sz w:val="20"/>
                <w:szCs w:val="20"/>
              </w:rPr>
              <w:t xml:space="preserve">38.22</w:t>
            </w:r>
          </w:p>
        </w:tc>
      </w:tr>
    </w:tbl>
    <w:p>
      <w:pPr>
        <w:spacing w:after="150"/>
      </w:pPr>
    </w:p>
    <w:p>
      <w:pPr>
        <w:spacing w:after="20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p>
    <w:p>
      <w:pPr>
        <w:spacing w:after="20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905000"/>
                    </a:xfrm>
                    <a:prstGeom prst="rect">
                      <a:avLst/>
                    </a:prstGeom>
                  </pic:spPr>
                </pic:pic>
              </a:graphicData>
            </a:graphic>
          </wp:inline>
        </w:drawing>
      </w:r>
    </w:p>
    <w:p>
      <w:pPr>
        <w:pStyle w:val="Heading1"/>
        <w:spacing w:after="150" w:before="300"/>
      </w:pPr>
      <w:r>
        <w:t xml:space="preserve">9. Crop-wise Seasonal Analysis</w:t>
      </w:r>
    </w:p>
    <w:p>
      <w:pPr>
        <w:spacing w:after="160"/>
        <w:jc w:val="left"/>
      </w:pPr>
      <w:r>
        <w:rPr>
          <w:rFonts w:ascii="Calibri" w:cs="Calibri" w:eastAsia="Calibri" w:hAnsi="Calibri"/>
          <w:b w:val="false"/>
          <w:bCs w:val="false"/>
          <w:i w:val="false"/>
          <w:iCs w:val="false"/>
          <w:sz w:val="22"/>
          <w:szCs w:val="22"/>
        </w:rPr>
        <w:t xml:space="preserve">Sugarcane in Kharif is the single best-performing Season x Crop combination by average yield (53.46 t/ha); Pulses in Zaid is the lowest (0.66 t/ha). By average profit, Sugarcane in Kharif performs best (INR 10,00,791), while Rice in Zaid performs worst (INR -2,27,239).</w:t>
      </w:r>
    </w:p>
    <w:p>
      <w:pPr>
        <w:spacing w:after="200"/>
        <w:jc w:val="center"/>
      </w:pPr>
      <w:r>
        <w:drawing>
          <wp:inline distT="0" distB="0" distL="0" distR="0">
            <wp:extent cx="4572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590925"/>
                    </a:xfrm>
                    <a:prstGeom prst="rect">
                      <a:avLst/>
                    </a:prstGeom>
                  </pic:spPr>
                </pic:pic>
              </a:graphicData>
            </a:graphic>
          </wp:inline>
        </w:drawing>
      </w:r>
    </w:p>
    <w:p>
      <w:pPr>
        <w:spacing w:after="200"/>
        <w:jc w:val="center"/>
      </w:pPr>
      <w:r>
        <w:drawing>
          <wp:inline distT="0" distB="0" distL="0" distR="0">
            <wp:extent cx="4572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590925"/>
                    </a:xfrm>
                    <a:prstGeom prst="rect">
                      <a:avLst/>
                    </a:prstGeom>
                  </pic:spPr>
                </pic:pic>
              </a:graphicData>
            </a:graphic>
          </wp:inline>
        </w:drawing>
      </w:r>
    </w:p>
    <w:p>
      <w:pPr>
        <w:pStyle w:val="Heading1"/>
        <w:spacing w:after="150" w:before="300"/>
      </w:pPr>
      <w:r>
        <w:t xml:space="preserve">10. Regional Analysis</w:t>
      </w:r>
    </w:p>
    <w:p>
      <w:pPr>
        <w:spacing w:after="160"/>
        <w:jc w:val="left"/>
      </w:pPr>
      <w:r>
        <w:rPr>
          <w:rFonts w:ascii="Calibri" w:cs="Calibri" w:eastAsia="Calibri" w:hAnsi="Calibri"/>
          <w:b w:val="false"/>
          <w:bCs w:val="false"/>
          <w:i w:val="false"/>
          <w:iCs w:val="false"/>
          <w:sz w:val="22"/>
          <w:szCs w:val="22"/>
        </w:rPr>
        <w:t xml:space="preserve">Because District does not map uniquely to State in this dataset, regional analysis is reported at the State level. Seasonal yield rankings are broadly consistent across states: Telangana shows the most consistent seasonal pattern (coefficient of variation 13.46%), while Maharashtra shows the least consistent pattern (41.93%).</w:t>
      </w:r>
    </w:p>
    <w:p>
      <w:pPr>
        <w:spacing w:after="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pStyle w:val="Heading1"/>
        <w:spacing w:after="150" w:before="300"/>
      </w:pPr>
      <w:r>
        <w:t xml:space="preserve">11. Environmental Analysis</w:t>
      </w:r>
    </w:p>
    <w:p>
      <w:pPr>
        <w:spacing w:after="160"/>
        <w:jc w:val="left"/>
      </w:pPr>
      <w:r>
        <w:rPr>
          <w:rFonts w:ascii="Calibri" w:cs="Calibri" w:eastAsia="Calibri" w:hAnsi="Calibri"/>
          <w:b w:val="false"/>
          <w:bCs w:val="false"/>
          <w:i w:val="false"/>
          <w:iCs w:val="false"/>
          <w:sz w:val="22"/>
          <w:szCs w:val="22"/>
        </w:rPr>
        <w:t xml:space="preserve">Correlation coefficients between environmental variables and outcomes were generally weak in magnitude (mostly |r| &lt; 0.2), meaning no single environmental variable strongly predicts yield or profit on its own — crop choice plays a much larger role (see Section 16). Correlation does not establish causation; these results describe association only.</w:t>
      </w:r>
    </w:p>
    <w:p>
      <w:pPr>
        <w:spacing w:after="20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67150"/>
                    </a:xfrm>
                    <a:prstGeom prst="rect">
                      <a:avLst/>
                    </a:prstGeom>
                  </pic:spPr>
                </pic:pic>
              </a:graphicData>
            </a:graphic>
          </wp:inline>
        </w:drawing>
      </w:r>
    </w:p>
    <w:p>
      <w:pPr>
        <w:spacing w:after="200"/>
        <w:jc w:val="center"/>
      </w:pPr>
      <w:r>
        <w:drawing>
          <wp:inline distT="0" distB="0" distL="0" distR="0">
            <wp:extent cx="5334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38300"/>
                    </a:xfrm>
                    <a:prstGeom prst="rect">
                      <a:avLst/>
                    </a:prstGeom>
                  </pic:spPr>
                </pic:pic>
              </a:graphicData>
            </a:graphic>
          </wp:inline>
        </w:drawing>
      </w:r>
    </w:p>
    <w:p>
      <w:pPr>
        <w:pStyle w:val="Heading1"/>
        <w:spacing w:after="150" w:before="300"/>
      </w:pPr>
      <w:r>
        <w:t xml:space="preserve">12. Resource Usage Analysis</w:t>
      </w:r>
    </w:p>
    <w:p>
      <w:pPr>
        <w:spacing w:after="160"/>
        <w:jc w:val="left"/>
      </w:pPr>
      <w:r>
        <w:rPr>
          <w:rFonts w:ascii="Calibri" w:cs="Calibri" w:eastAsia="Calibri" w:hAnsi="Calibri"/>
          <w:b w:val="false"/>
          <w:bCs w:val="false"/>
          <w:i w:val="false"/>
          <w:iCs w:val="false"/>
          <w:sz w:val="22"/>
          <w:szCs w:val="22"/>
        </w:rPr>
        <w:t xml:space="preserve">Fertilizer, pesticide, and water usage were broadly similar across the three seasons, and none showed a strong correlation with yield, profit, or disease/pest risk — resource quantity alone is not a strong predictor of outcome in this dataset.</w:t>
      </w:r>
    </w:p>
    <w:p>
      <w:pPr>
        <w:pStyle w:val="Heading1"/>
        <w:spacing w:after="150" w:before="300"/>
      </w:pPr>
      <w:r>
        <w:t xml:space="preserve">13. Irrigation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1F3864" w:val="clear"/>
            <w:vAlign w:val="center"/>
          </w:tcPr>
          <w:p>
            <w:r>
              <w:rPr>
                <w:rFonts w:ascii="Calibri" w:cs="Calibri" w:eastAsia="Calibri" w:hAnsi="Calibri"/>
                <w:b/>
                <w:bCs/>
                <w:color w:val="FFFFFF"/>
                <w:sz w:val="20"/>
                <w:szCs w:val="20"/>
              </w:rPr>
              <w:t xml:space="preserve">Irrigation Method</w:t>
            </w:r>
          </w:p>
        </w:tc>
        <w:tc>
          <w:tcPr>
            <w:tcW w:type="dxa" w:w="1500"/>
            <w:shd w:fill="1F3864" w:val="clear"/>
            <w:vAlign w:val="center"/>
          </w:tcPr>
          <w:p>
            <w:r>
              <w:rPr>
                <w:rFonts w:ascii="Calibri" w:cs="Calibri" w:eastAsia="Calibri" w:hAnsi="Calibri"/>
                <w:b/>
                <w:bCs/>
                <w:color w:val="FFFFFF"/>
                <w:sz w:val="20"/>
                <w:szCs w:val="20"/>
              </w:rPr>
              <w:t xml:space="preserve">Farms</w:t>
            </w:r>
          </w:p>
        </w:tc>
        <w:tc>
          <w:tcPr>
            <w:tcW w:type="dxa" w:w="1500"/>
            <w:shd w:fill="1F3864" w:val="clear"/>
            <w:vAlign w:val="center"/>
          </w:tcPr>
          <w:p>
            <w:r>
              <w:rPr>
                <w:rFonts w:ascii="Calibri" w:cs="Calibri" w:eastAsia="Calibri" w:hAnsi="Calibri"/>
                <w:b/>
                <w:bCs/>
                <w:color w:val="FFFFFF"/>
                <w:sz w:val="20"/>
                <w:szCs w:val="20"/>
              </w:rPr>
              <w:t xml:space="preserve">Avg. Yield (t/ha)</w:t>
            </w:r>
          </w:p>
        </w:tc>
        <w:tc>
          <w:tcPr>
            <w:tcW w:type="dxa" w:w="1500"/>
            <w:shd w:fill="1F3864" w:val="clear"/>
            <w:vAlign w:val="center"/>
          </w:tcPr>
          <w:p>
            <w:r>
              <w:rPr>
                <w:rFonts w:ascii="Calibri" w:cs="Calibri" w:eastAsia="Calibri" w:hAnsi="Calibri"/>
                <w:b/>
                <w:bCs/>
                <w:color w:val="FFFFFF"/>
                <w:sz w:val="20"/>
                <w:szCs w:val="20"/>
              </w:rPr>
              <w:t xml:space="preserve">Avg. Profit (INR)</w:t>
            </w:r>
          </w:p>
        </w:tc>
        <w:tc>
          <w:tcPr>
            <w:tcW w:type="dxa" w:w="1500"/>
            <w:shd w:fill="1F3864" w:val="clear"/>
            <w:vAlign w:val="center"/>
          </w:tcPr>
          <w:p>
            <w:r>
              <w:rPr>
                <w:rFonts w:ascii="Calibri" w:cs="Calibri" w:eastAsia="Calibri" w:hAnsi="Calibri"/>
                <w:b/>
                <w:bCs/>
                <w:color w:val="FFFFFF"/>
                <w:sz w:val="20"/>
                <w:szCs w:val="20"/>
              </w:rPr>
              <w:t xml:space="preserve">Avg. Water Efficiency</w:t>
            </w:r>
          </w:p>
        </w:tc>
        <w:tc>
          <w:tcPr>
            <w:tcW w:type="dxa" w:w="1500"/>
            <w:shd w:fill="1F3864" w:val="clear"/>
            <w:vAlign w:val="center"/>
          </w:tcPr>
          <w:p>
            <w:r>
              <w:rPr>
                <w:rFonts w:ascii="Calibri" w:cs="Calibri" w:eastAsia="Calibri" w:hAnsi="Calibri"/>
                <w:b/>
                <w:bCs/>
                <w:color w:val="FFFFFF"/>
                <w:sz w:val="20"/>
                <w:szCs w:val="20"/>
              </w:rPr>
              <w:t xml:space="preserve">Avg. Disease Risk (%)</w:t>
            </w:r>
          </w:p>
        </w:tc>
      </w:tr>
      <w:tr>
        <w:tc>
          <w:tcPr>
            <w:tcW w:type="dxa" w:w="1500"/>
            <w:vAlign w:val="center"/>
          </w:tcPr>
          <w:p>
            <w:r>
              <w:rPr>
                <w:rFonts w:ascii="Calibri" w:cs="Calibri" w:eastAsia="Calibri" w:hAnsi="Calibri"/>
                <w:b w:val="false"/>
                <w:bCs w:val="false"/>
                <w:color w:val="000000"/>
                <w:sz w:val="20"/>
                <w:szCs w:val="20"/>
              </w:rPr>
              <w:t xml:space="preserve">Drip</w:t>
            </w:r>
          </w:p>
        </w:tc>
        <w:tc>
          <w:tcPr>
            <w:tcW w:type="dxa" w:w="1500"/>
            <w:vAlign w:val="center"/>
          </w:tcPr>
          <w:p>
            <w:r>
              <w:rPr>
                <w:rFonts w:ascii="Calibri" w:cs="Calibri" w:eastAsia="Calibri" w:hAnsi="Calibri"/>
                <w:b w:val="false"/>
                <w:bCs w:val="false"/>
                <w:color w:val="000000"/>
                <w:sz w:val="20"/>
                <w:szCs w:val="20"/>
              </w:rPr>
              <w:t xml:space="preserve">915</w:t>
            </w:r>
          </w:p>
        </w:tc>
        <w:tc>
          <w:tcPr>
            <w:tcW w:type="dxa" w:w="1500"/>
            <w:vAlign w:val="center"/>
          </w:tcPr>
          <w:p>
            <w:r>
              <w:rPr>
                <w:rFonts w:ascii="Calibri" w:cs="Calibri" w:eastAsia="Calibri" w:hAnsi="Calibri"/>
                <w:b w:val="false"/>
                <w:bCs w:val="false"/>
                <w:color w:val="000000"/>
                <w:sz w:val="20"/>
                <w:szCs w:val="20"/>
              </w:rPr>
              <w:t xml:space="preserve">6.68</w:t>
            </w:r>
          </w:p>
        </w:tc>
        <w:tc>
          <w:tcPr>
            <w:tcW w:type="dxa" w:w="1500"/>
            <w:vAlign w:val="center"/>
          </w:tcPr>
          <w:p>
            <w:r>
              <w:rPr>
                <w:rFonts w:ascii="Calibri" w:cs="Calibri" w:eastAsia="Calibri" w:hAnsi="Calibri"/>
                <w:b w:val="false"/>
                <w:bCs w:val="false"/>
                <w:color w:val="000000"/>
                <w:sz w:val="20"/>
                <w:szCs w:val="20"/>
              </w:rPr>
              <w:t xml:space="preserve">219,626</w:t>
            </w:r>
          </w:p>
        </w:tc>
        <w:tc>
          <w:tcPr>
            <w:tcW w:type="dxa" w:w="1500"/>
            <w:vAlign w:val="center"/>
          </w:tcPr>
          <w:p>
            <w:r>
              <w:rPr>
                <w:rFonts w:ascii="Calibri" w:cs="Calibri" w:eastAsia="Calibri" w:hAnsi="Calibri"/>
                <w:b w:val="false"/>
                <w:bCs w:val="false"/>
                <w:color w:val="000000"/>
                <w:sz w:val="20"/>
                <w:szCs w:val="20"/>
              </w:rPr>
              <w:t xml:space="preserve">6.27</w:t>
            </w:r>
          </w:p>
        </w:tc>
        <w:tc>
          <w:tcPr>
            <w:tcW w:type="dxa" w:w="1500"/>
            <w:vAlign w:val="center"/>
          </w:tcPr>
          <w:p>
            <w:r>
              <w:rPr>
                <w:rFonts w:ascii="Calibri" w:cs="Calibri" w:eastAsia="Calibri" w:hAnsi="Calibri"/>
                <w:b w:val="false"/>
                <w:bCs w:val="false"/>
                <w:color w:val="000000"/>
                <w:sz w:val="20"/>
                <w:szCs w:val="20"/>
              </w:rPr>
              <w:t xml:space="preserve">45.79</w:t>
            </w:r>
          </w:p>
        </w:tc>
      </w:tr>
      <w:tr>
        <w:tc>
          <w:tcPr>
            <w:tcW w:type="dxa" w:w="1500"/>
            <w:shd w:fill="F2F2F2" w:val="clear"/>
            <w:vAlign w:val="center"/>
          </w:tcPr>
          <w:p>
            <w:r>
              <w:rPr>
                <w:rFonts w:ascii="Calibri" w:cs="Calibri" w:eastAsia="Calibri" w:hAnsi="Calibri"/>
                <w:b w:val="false"/>
                <w:bCs w:val="false"/>
                <w:color w:val="000000"/>
                <w:sz w:val="20"/>
                <w:szCs w:val="20"/>
              </w:rPr>
              <w:t xml:space="preserve">Flood</w:t>
            </w:r>
          </w:p>
        </w:tc>
        <w:tc>
          <w:tcPr>
            <w:tcW w:type="dxa" w:w="1500"/>
            <w:shd w:fill="F2F2F2" w:val="clear"/>
            <w:vAlign w:val="center"/>
          </w:tcPr>
          <w:p>
            <w:r>
              <w:rPr>
                <w:rFonts w:ascii="Calibri" w:cs="Calibri" w:eastAsia="Calibri" w:hAnsi="Calibri"/>
                <w:b w:val="false"/>
                <w:bCs w:val="false"/>
                <w:color w:val="000000"/>
                <w:sz w:val="20"/>
                <w:szCs w:val="20"/>
              </w:rPr>
              <w:t xml:space="preserve">1310</w:t>
            </w:r>
          </w:p>
        </w:tc>
        <w:tc>
          <w:tcPr>
            <w:tcW w:type="dxa" w:w="1500"/>
            <w:shd w:fill="F2F2F2" w:val="clear"/>
            <w:vAlign w:val="center"/>
          </w:tcPr>
          <w:p>
            <w:r>
              <w:rPr>
                <w:rFonts w:ascii="Calibri" w:cs="Calibri" w:eastAsia="Calibri" w:hAnsi="Calibri"/>
                <w:b w:val="false"/>
                <w:bCs w:val="false"/>
                <w:color w:val="000000"/>
                <w:sz w:val="20"/>
                <w:szCs w:val="20"/>
              </w:rPr>
              <w:t xml:space="preserve">4.86</w:t>
            </w:r>
          </w:p>
        </w:tc>
        <w:tc>
          <w:tcPr>
            <w:tcW w:type="dxa" w:w="1500"/>
            <w:shd w:fill="F2F2F2" w:val="clear"/>
            <w:vAlign w:val="center"/>
          </w:tcPr>
          <w:p>
            <w:r>
              <w:rPr>
                <w:rFonts w:ascii="Calibri" w:cs="Calibri" w:eastAsia="Calibri" w:hAnsi="Calibri"/>
                <w:b w:val="false"/>
                <w:bCs w:val="false"/>
                <w:color w:val="000000"/>
                <w:sz w:val="20"/>
                <w:szCs w:val="20"/>
              </w:rPr>
              <w:t xml:space="preserve">73,354</w:t>
            </w:r>
          </w:p>
        </w:tc>
        <w:tc>
          <w:tcPr>
            <w:tcW w:type="dxa" w:w="1500"/>
            <w:shd w:fill="F2F2F2" w:val="clear"/>
            <w:vAlign w:val="center"/>
          </w:tcPr>
          <w:p>
            <w:r>
              <w:rPr>
                <w:rFonts w:ascii="Calibri" w:cs="Calibri" w:eastAsia="Calibri" w:hAnsi="Calibri"/>
                <w:b w:val="false"/>
                <w:bCs w:val="false"/>
                <w:color w:val="000000"/>
                <w:sz w:val="20"/>
                <w:szCs w:val="20"/>
              </w:rPr>
              <w:t xml:space="preserve">3.44</w:t>
            </w:r>
          </w:p>
        </w:tc>
        <w:tc>
          <w:tcPr>
            <w:tcW w:type="dxa" w:w="1500"/>
            <w:shd w:fill="F2F2F2" w:val="clear"/>
            <w:vAlign w:val="center"/>
          </w:tcPr>
          <w:p>
            <w:r>
              <w:rPr>
                <w:rFonts w:ascii="Calibri" w:cs="Calibri" w:eastAsia="Calibri" w:hAnsi="Calibri"/>
                <w:b w:val="false"/>
                <w:bCs w:val="false"/>
                <w:color w:val="000000"/>
                <w:sz w:val="20"/>
                <w:szCs w:val="20"/>
              </w:rPr>
              <w:t xml:space="preserve">46.6</w:t>
            </w:r>
          </w:p>
        </w:tc>
      </w:tr>
      <w:tr>
        <w:tc>
          <w:tcPr>
            <w:tcW w:type="dxa" w:w="1500"/>
            <w:vAlign w:val="center"/>
          </w:tcPr>
          <w:p>
            <w:r>
              <w:rPr>
                <w:rFonts w:ascii="Calibri" w:cs="Calibri" w:eastAsia="Calibri" w:hAnsi="Calibri"/>
                <w:b w:val="false"/>
                <w:bCs w:val="false"/>
                <w:color w:val="000000"/>
                <w:sz w:val="20"/>
                <w:szCs w:val="20"/>
              </w:rPr>
              <w:t xml:space="preserve">Rainfed</w:t>
            </w:r>
          </w:p>
        </w:tc>
        <w:tc>
          <w:tcPr>
            <w:tcW w:type="dxa" w:w="1500"/>
            <w:vAlign w:val="center"/>
          </w:tcPr>
          <w:p>
            <w:r>
              <w:rPr>
                <w:rFonts w:ascii="Calibri" w:cs="Calibri" w:eastAsia="Calibri" w:hAnsi="Calibri"/>
                <w:b w:val="false"/>
                <w:bCs w:val="false"/>
                <w:color w:val="000000"/>
                <w:sz w:val="20"/>
                <w:szCs w:val="20"/>
              </w:rPr>
              <w:t xml:space="preserve">1041</w:t>
            </w:r>
          </w:p>
        </w:tc>
        <w:tc>
          <w:tcPr>
            <w:tcW w:type="dxa" w:w="1500"/>
            <w:vAlign w:val="center"/>
          </w:tcPr>
          <w:p>
            <w:r>
              <w:rPr>
                <w:rFonts w:ascii="Calibri" w:cs="Calibri" w:eastAsia="Calibri" w:hAnsi="Calibri"/>
                <w:b w:val="false"/>
                <w:bCs w:val="false"/>
                <w:color w:val="000000"/>
                <w:sz w:val="20"/>
                <w:szCs w:val="20"/>
              </w:rPr>
              <w:t xml:space="preserve">4.6</w:t>
            </w:r>
          </w:p>
        </w:tc>
        <w:tc>
          <w:tcPr>
            <w:tcW w:type="dxa" w:w="1500"/>
            <w:vAlign w:val="center"/>
          </w:tcPr>
          <w:p>
            <w:r>
              <w:rPr>
                <w:rFonts w:ascii="Calibri" w:cs="Calibri" w:eastAsia="Calibri" w:hAnsi="Calibri"/>
                <w:b w:val="false"/>
                <w:bCs w:val="false"/>
                <w:color w:val="000000"/>
                <w:sz w:val="20"/>
                <w:szCs w:val="20"/>
              </w:rPr>
              <w:t xml:space="preserve">79,050</w:t>
            </w:r>
          </w:p>
        </w:tc>
        <w:tc>
          <w:tcPr>
            <w:tcW w:type="dxa" w:w="1500"/>
            <w:vAlign w:val="center"/>
          </w:tcPr>
          <w:p>
            <w:r>
              <w:rPr>
                <w:rFonts w:ascii="Calibri" w:cs="Calibri" w:eastAsia="Calibri" w:hAnsi="Calibri"/>
                <w:b w:val="false"/>
                <w:bCs w:val="false"/>
                <w:color w:val="000000"/>
                <w:sz w:val="20"/>
                <w:szCs w:val="20"/>
              </w:rPr>
              <w:t xml:space="preserve">7.56</w:t>
            </w:r>
          </w:p>
        </w:tc>
        <w:tc>
          <w:tcPr>
            <w:tcW w:type="dxa" w:w="1500"/>
            <w:vAlign w:val="center"/>
          </w:tcPr>
          <w:p>
            <w:r>
              <w:rPr>
                <w:rFonts w:ascii="Calibri" w:cs="Calibri" w:eastAsia="Calibri" w:hAnsi="Calibri"/>
                <w:b w:val="false"/>
                <w:bCs w:val="false"/>
                <w:color w:val="000000"/>
                <w:sz w:val="20"/>
                <w:szCs w:val="20"/>
              </w:rPr>
              <w:t xml:space="preserve">46.49</w:t>
            </w:r>
          </w:p>
        </w:tc>
      </w:tr>
      <w:tr>
        <w:tc>
          <w:tcPr>
            <w:tcW w:type="dxa" w:w="1500"/>
            <w:shd w:fill="F2F2F2" w:val="clear"/>
            <w:vAlign w:val="center"/>
          </w:tcPr>
          <w:p>
            <w:r>
              <w:rPr>
                <w:rFonts w:ascii="Calibri" w:cs="Calibri" w:eastAsia="Calibri" w:hAnsi="Calibri"/>
                <w:b w:val="false"/>
                <w:bCs w:val="false"/>
                <w:color w:val="000000"/>
                <w:sz w:val="20"/>
                <w:szCs w:val="20"/>
              </w:rPr>
              <w:t xml:space="preserve">Sprinkler</w:t>
            </w:r>
          </w:p>
        </w:tc>
        <w:tc>
          <w:tcPr>
            <w:tcW w:type="dxa" w:w="1500"/>
            <w:shd w:fill="F2F2F2" w:val="clear"/>
            <w:vAlign w:val="center"/>
          </w:tcPr>
          <w:p>
            <w:r>
              <w:rPr>
                <w:rFonts w:ascii="Calibri" w:cs="Calibri" w:eastAsia="Calibri" w:hAnsi="Calibri"/>
                <w:b w:val="false"/>
                <w:bCs w:val="false"/>
                <w:color w:val="000000"/>
                <w:sz w:val="20"/>
                <w:szCs w:val="20"/>
              </w:rPr>
              <w:t xml:space="preserve">734</w:t>
            </w:r>
          </w:p>
        </w:tc>
        <w:tc>
          <w:tcPr>
            <w:tcW w:type="dxa" w:w="1500"/>
            <w:shd w:fill="F2F2F2" w:val="clear"/>
            <w:vAlign w:val="center"/>
          </w:tcPr>
          <w:p>
            <w:r>
              <w:rPr>
                <w:rFonts w:ascii="Calibri" w:cs="Calibri" w:eastAsia="Calibri" w:hAnsi="Calibri"/>
                <w:b w:val="false"/>
                <w:bCs w:val="false"/>
                <w:color w:val="000000"/>
                <w:sz w:val="20"/>
                <w:szCs w:val="20"/>
              </w:rPr>
              <w:t xml:space="preserve">5.16</w:t>
            </w:r>
          </w:p>
        </w:tc>
        <w:tc>
          <w:tcPr>
            <w:tcW w:type="dxa" w:w="1500"/>
            <w:shd w:fill="F2F2F2" w:val="clear"/>
            <w:vAlign w:val="center"/>
          </w:tcPr>
          <w:p>
            <w:r>
              <w:rPr>
                <w:rFonts w:ascii="Calibri" w:cs="Calibri" w:eastAsia="Calibri" w:hAnsi="Calibri"/>
                <w:b w:val="false"/>
                <w:bCs w:val="false"/>
                <w:color w:val="000000"/>
                <w:sz w:val="20"/>
                <w:szCs w:val="20"/>
              </w:rPr>
              <w:t xml:space="preserve">91,121</w:t>
            </w:r>
          </w:p>
        </w:tc>
        <w:tc>
          <w:tcPr>
            <w:tcW w:type="dxa" w:w="1500"/>
            <w:shd w:fill="F2F2F2" w:val="clear"/>
            <w:vAlign w:val="center"/>
          </w:tcPr>
          <w:p>
            <w:r>
              <w:rPr>
                <w:rFonts w:ascii="Calibri" w:cs="Calibri" w:eastAsia="Calibri" w:hAnsi="Calibri"/>
                <w:b w:val="false"/>
                <w:bCs w:val="false"/>
                <w:color w:val="000000"/>
                <w:sz w:val="20"/>
                <w:szCs w:val="20"/>
              </w:rPr>
              <w:t xml:space="preserve">4.67</w:t>
            </w:r>
          </w:p>
        </w:tc>
        <w:tc>
          <w:tcPr>
            <w:tcW w:type="dxa" w:w="1500"/>
            <w:shd w:fill="F2F2F2" w:val="clear"/>
            <w:vAlign w:val="center"/>
          </w:tcPr>
          <w:p>
            <w:r>
              <w:rPr>
                <w:rFonts w:ascii="Calibri" w:cs="Calibri" w:eastAsia="Calibri" w:hAnsi="Calibri"/>
                <w:b w:val="false"/>
                <w:bCs w:val="false"/>
                <w:color w:val="000000"/>
                <w:sz w:val="20"/>
                <w:szCs w:val="20"/>
              </w:rPr>
              <w:t xml:space="preserve">46.48</w:t>
            </w:r>
          </w:p>
        </w:tc>
      </w:tr>
    </w:tbl>
    <w:p>
      <w:pPr>
        <w:spacing w:after="150"/>
      </w:pPr>
    </w:p>
    <w:p>
      <w:pPr>
        <w:spacing w:after="160"/>
        <w:jc w:val="left"/>
      </w:pPr>
      <w:r>
        <w:rPr>
          <w:rFonts w:ascii="Calibri" w:cs="Calibri" w:eastAsia="Calibri" w:hAnsi="Calibri"/>
          <w:b w:val="false"/>
          <w:bCs w:val="false"/>
          <w:i w:val="false"/>
          <w:iCs w:val="false"/>
          <w:sz w:val="22"/>
          <w:szCs w:val="22"/>
        </w:rPr>
        <w:t xml:space="preserve">A Kruskal-Wallis test found a statistically significant difference in water efficiency across irrigation methods (H = 573.863, p &lt; 0.001). This is an observational association — irrigation choice may also reflect crop or regional water availability — not proof that switching methods alone causes the difference.</w:t>
      </w:r>
    </w:p>
    <w:p>
      <w:pPr>
        <w:spacing w:after="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866900"/>
                    </a:xfrm>
                    <a:prstGeom prst="rect">
                      <a:avLst/>
                    </a:prstGeom>
                  </pic:spPr>
                </pic:pic>
              </a:graphicData>
            </a:graphic>
          </wp:inline>
        </w:drawing>
      </w:r>
    </w:p>
    <w:p>
      <w:pPr>
        <w:pStyle w:val="Heading1"/>
        <w:spacing w:after="150" w:before="300"/>
      </w:pPr>
      <w:r>
        <w:t xml:space="preserve">14. Economic Performance Analysis</w:t>
      </w:r>
    </w:p>
    <w:p>
      <w:pPr>
        <w:spacing w:after="160"/>
        <w:jc w:val="left"/>
      </w:pPr>
      <w:r>
        <w:rPr>
          <w:rFonts w:ascii="Calibri" w:cs="Calibri" w:eastAsia="Calibri" w:hAnsi="Calibri"/>
          <w:b w:val="false"/>
          <w:bCs w:val="false"/>
          <w:i w:val="false"/>
          <w:iCs w:val="false"/>
          <w:sz w:val="22"/>
          <w:szCs w:val="22"/>
        </w:rPr>
        <w:t xml:space="preserve">Profit_per_Ha, Revenue_per_Ha and Cost_per_Ha are derived as the corresponding total divided by Farm_Area_Hectares; Profit_Margin_pct is Profit_INR / Revenue_INR x 100. The Revenue − Total Cost = Profit identity was verified to hold exactly for every record, so no reconciliation was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vAlign w:val="center"/>
          </w:tcPr>
          <w:p>
            <w:r>
              <w:rPr>
                <w:rFonts w:ascii="Calibri" w:cs="Calibri" w:eastAsia="Calibri" w:hAnsi="Calibri"/>
                <w:b/>
                <w:bCs/>
                <w:color w:val="FFFFFF"/>
                <w:sz w:val="20"/>
                <w:szCs w:val="20"/>
              </w:rPr>
              <w:t xml:space="preserve">Metric</w:t>
            </w:r>
          </w:p>
        </w:tc>
        <w:tc>
          <w:tcPr>
            <w:tcW w:type="dxa" w:w="2250"/>
            <w:shd w:fill="1F3864" w:val="clear"/>
            <w:vAlign w:val="center"/>
          </w:tcPr>
          <w:p>
            <w:r>
              <w:rPr>
                <w:rFonts w:ascii="Calibri" w:cs="Calibri" w:eastAsia="Calibri" w:hAnsi="Calibri"/>
                <w:b/>
                <w:bCs/>
                <w:color w:val="FFFFFF"/>
                <w:sz w:val="20"/>
                <w:szCs w:val="20"/>
              </w:rPr>
              <w:t xml:space="preserve">Kharif</w:t>
            </w:r>
          </w:p>
        </w:tc>
        <w:tc>
          <w:tcPr>
            <w:tcW w:type="dxa" w:w="2250"/>
            <w:shd w:fill="1F3864" w:val="clear"/>
            <w:vAlign w:val="center"/>
          </w:tcPr>
          <w:p>
            <w:r>
              <w:rPr>
                <w:rFonts w:ascii="Calibri" w:cs="Calibri" w:eastAsia="Calibri" w:hAnsi="Calibri"/>
                <w:b/>
                <w:bCs/>
                <w:color w:val="FFFFFF"/>
                <w:sz w:val="20"/>
                <w:szCs w:val="20"/>
              </w:rPr>
              <w:t xml:space="preserve">Rabi</w:t>
            </w:r>
          </w:p>
        </w:tc>
        <w:tc>
          <w:tcPr>
            <w:tcW w:type="dxa" w:w="2250"/>
            <w:shd w:fill="1F3864" w:val="clear"/>
            <w:vAlign w:val="center"/>
          </w:tcPr>
          <w:p>
            <w:r>
              <w:rPr>
                <w:rFonts w:ascii="Calibri" w:cs="Calibri" w:eastAsia="Calibri" w:hAnsi="Calibri"/>
                <w:b/>
                <w:bCs/>
                <w:color w:val="FFFFFF"/>
                <w:sz w:val="20"/>
                <w:szCs w:val="20"/>
              </w:rPr>
              <w:t xml:space="preserve">Zaid</w:t>
            </w:r>
          </w:p>
        </w:tc>
      </w:tr>
      <w:tr>
        <w:tc>
          <w:tcPr>
            <w:tcW w:type="dxa" w:w="2250"/>
            <w:vAlign w:val="center"/>
          </w:tcPr>
          <w:p>
            <w:r>
              <w:rPr>
                <w:rFonts w:ascii="Calibri" w:cs="Calibri" w:eastAsia="Calibri" w:hAnsi="Calibri"/>
                <w:b w:val="false"/>
                <w:bCs w:val="false"/>
                <w:color w:val="000000"/>
                <w:sz w:val="20"/>
                <w:szCs w:val="20"/>
              </w:rPr>
              <w:t xml:space="preserve">Avg. revenue (INR)</w:t>
            </w:r>
          </w:p>
        </w:tc>
        <w:tc>
          <w:tcPr>
            <w:tcW w:type="dxa" w:w="2250"/>
            <w:vAlign w:val="center"/>
          </w:tcPr>
          <w:p>
            <w:r>
              <w:rPr>
                <w:rFonts w:ascii="Calibri" w:cs="Calibri" w:eastAsia="Calibri" w:hAnsi="Calibri"/>
                <w:b w:val="false"/>
                <w:bCs w:val="false"/>
                <w:color w:val="000000"/>
                <w:sz w:val="20"/>
                <w:szCs w:val="20"/>
              </w:rPr>
              <w:t xml:space="preserve">710,719</w:t>
            </w:r>
          </w:p>
        </w:tc>
        <w:tc>
          <w:tcPr>
            <w:tcW w:type="dxa" w:w="2250"/>
            <w:vAlign w:val="center"/>
          </w:tcPr>
          <w:p>
            <w:r>
              <w:rPr>
                <w:rFonts w:ascii="Calibri" w:cs="Calibri" w:eastAsia="Calibri" w:hAnsi="Calibri"/>
                <w:b w:val="false"/>
                <w:bCs w:val="false"/>
                <w:color w:val="000000"/>
                <w:sz w:val="20"/>
                <w:szCs w:val="20"/>
              </w:rPr>
              <w:t xml:space="preserve">601,526</w:t>
            </w:r>
          </w:p>
        </w:tc>
        <w:tc>
          <w:tcPr>
            <w:tcW w:type="dxa" w:w="2250"/>
            <w:vAlign w:val="center"/>
          </w:tcPr>
          <w:p>
            <w:r>
              <w:rPr>
                <w:rFonts w:ascii="Calibri" w:cs="Calibri" w:eastAsia="Calibri" w:hAnsi="Calibri"/>
                <w:b w:val="false"/>
                <w:bCs w:val="false"/>
                <w:color w:val="000000"/>
                <w:sz w:val="20"/>
                <w:szCs w:val="20"/>
              </w:rPr>
              <w:t xml:space="preserve">519,172</w:t>
            </w:r>
          </w:p>
        </w:tc>
      </w:tr>
      <w:tr>
        <w:tc>
          <w:tcPr>
            <w:tcW w:type="dxa" w:w="2250"/>
            <w:shd w:fill="F2F2F2" w:val="clear"/>
            <w:vAlign w:val="center"/>
          </w:tcPr>
          <w:p>
            <w:r>
              <w:rPr>
                <w:rFonts w:ascii="Calibri" w:cs="Calibri" w:eastAsia="Calibri" w:hAnsi="Calibri"/>
                <w:b w:val="false"/>
                <w:bCs w:val="false"/>
                <w:color w:val="000000"/>
                <w:sz w:val="20"/>
                <w:szCs w:val="20"/>
              </w:rPr>
              <w:t xml:space="preserve">Avg. cost (INR)</w:t>
            </w:r>
          </w:p>
        </w:tc>
        <w:tc>
          <w:tcPr>
            <w:tcW w:type="dxa" w:w="2250"/>
            <w:shd w:fill="F2F2F2" w:val="clear"/>
            <w:vAlign w:val="center"/>
          </w:tcPr>
          <w:p>
            <w:r>
              <w:rPr>
                <w:rFonts w:ascii="Calibri" w:cs="Calibri" w:eastAsia="Calibri" w:hAnsi="Calibri"/>
                <w:b w:val="false"/>
                <w:bCs w:val="false"/>
                <w:color w:val="000000"/>
                <w:sz w:val="20"/>
                <w:szCs w:val="20"/>
              </w:rPr>
              <w:t xml:space="preserve">531,804</w:t>
            </w:r>
          </w:p>
        </w:tc>
        <w:tc>
          <w:tcPr>
            <w:tcW w:type="dxa" w:w="2250"/>
            <w:shd w:fill="F2F2F2" w:val="clear"/>
            <w:vAlign w:val="center"/>
          </w:tcPr>
          <w:p>
            <w:r>
              <w:rPr>
                <w:rFonts w:ascii="Calibri" w:cs="Calibri" w:eastAsia="Calibri" w:hAnsi="Calibri"/>
                <w:b w:val="false"/>
                <w:bCs w:val="false"/>
                <w:color w:val="000000"/>
                <w:sz w:val="20"/>
                <w:szCs w:val="20"/>
              </w:rPr>
              <w:t xml:space="preserve">513,837</w:t>
            </w:r>
          </w:p>
        </w:tc>
        <w:tc>
          <w:tcPr>
            <w:tcW w:type="dxa" w:w="2250"/>
            <w:shd w:fill="F2F2F2" w:val="clear"/>
            <w:vAlign w:val="center"/>
          </w:tcPr>
          <w:p>
            <w:r>
              <w:rPr>
                <w:rFonts w:ascii="Calibri" w:cs="Calibri" w:eastAsia="Calibri" w:hAnsi="Calibri"/>
                <w:b w:val="false"/>
                <w:bCs w:val="false"/>
                <w:color w:val="000000"/>
                <w:sz w:val="20"/>
                <w:szCs w:val="20"/>
              </w:rPr>
              <w:t xml:space="preserve">543,977</w:t>
            </w:r>
          </w:p>
        </w:tc>
      </w:tr>
      <w:tr>
        <w:tc>
          <w:tcPr>
            <w:tcW w:type="dxa" w:w="2250"/>
            <w:vAlign w:val="center"/>
          </w:tcPr>
          <w:p>
            <w:r>
              <w:rPr>
                <w:rFonts w:ascii="Calibri" w:cs="Calibri" w:eastAsia="Calibri" w:hAnsi="Calibri"/>
                <w:b w:val="false"/>
                <w:bCs w:val="false"/>
                <w:color w:val="000000"/>
                <w:sz w:val="20"/>
                <w:szCs w:val="20"/>
              </w:rPr>
              <w:t xml:space="preserve">Avg. profit (INR)</w:t>
            </w:r>
          </w:p>
        </w:tc>
        <w:tc>
          <w:tcPr>
            <w:tcW w:type="dxa" w:w="2250"/>
            <w:vAlign w:val="center"/>
          </w:tcPr>
          <w:p>
            <w:r>
              <w:rPr>
                <w:rFonts w:ascii="Calibri" w:cs="Calibri" w:eastAsia="Calibri" w:hAnsi="Calibri"/>
                <w:b w:val="false"/>
                <w:bCs w:val="false"/>
                <w:color w:val="000000"/>
                <w:sz w:val="20"/>
                <w:szCs w:val="20"/>
              </w:rPr>
              <w:t xml:space="preserve">178,915</w:t>
            </w:r>
          </w:p>
        </w:tc>
        <w:tc>
          <w:tcPr>
            <w:tcW w:type="dxa" w:w="2250"/>
            <w:vAlign w:val="center"/>
          </w:tcPr>
          <w:p>
            <w:r>
              <w:rPr>
                <w:rFonts w:ascii="Calibri" w:cs="Calibri" w:eastAsia="Calibri" w:hAnsi="Calibri"/>
                <w:b w:val="false"/>
                <w:bCs w:val="false"/>
                <w:color w:val="000000"/>
                <w:sz w:val="20"/>
                <w:szCs w:val="20"/>
              </w:rPr>
              <w:t xml:space="preserve">87,689</w:t>
            </w:r>
          </w:p>
        </w:tc>
        <w:tc>
          <w:tcPr>
            <w:tcW w:type="dxa" w:w="2250"/>
            <w:vAlign w:val="center"/>
          </w:tcPr>
          <w:p>
            <w:r>
              <w:rPr>
                <w:rFonts w:ascii="Calibri" w:cs="Calibri" w:eastAsia="Calibri" w:hAnsi="Calibri"/>
                <w:b w:val="false"/>
                <w:bCs w:val="false"/>
                <w:color w:val="000000"/>
                <w:sz w:val="20"/>
                <w:szCs w:val="20"/>
              </w:rPr>
              <w:t xml:space="preserve">-24,805</w:t>
            </w:r>
          </w:p>
        </w:tc>
      </w:tr>
      <w:tr>
        <w:tc>
          <w:tcPr>
            <w:tcW w:type="dxa" w:w="2250"/>
            <w:shd w:fill="F2F2F2" w:val="clear"/>
            <w:vAlign w:val="center"/>
          </w:tcPr>
          <w:p>
            <w:r>
              <w:rPr>
                <w:rFonts w:ascii="Calibri" w:cs="Calibri" w:eastAsia="Calibri" w:hAnsi="Calibri"/>
                <w:b w:val="false"/>
                <w:bCs w:val="false"/>
                <w:color w:val="000000"/>
                <w:sz w:val="20"/>
                <w:szCs w:val="20"/>
              </w:rPr>
              <w:t xml:space="preserve">Avg. profit per hectare (INR)</w:t>
            </w:r>
          </w:p>
        </w:tc>
        <w:tc>
          <w:tcPr>
            <w:tcW w:type="dxa" w:w="2250"/>
            <w:shd w:fill="F2F2F2" w:val="clear"/>
            <w:vAlign w:val="center"/>
          </w:tcPr>
          <w:p>
            <w:r>
              <w:rPr>
                <w:rFonts w:ascii="Calibri" w:cs="Calibri" w:eastAsia="Calibri" w:hAnsi="Calibri"/>
                <w:b w:val="false"/>
                <w:bCs w:val="false"/>
                <w:color w:val="000000"/>
                <w:sz w:val="20"/>
                <w:szCs w:val="20"/>
              </w:rPr>
              <w:t xml:space="preserve">21,882</w:t>
            </w:r>
          </w:p>
        </w:tc>
        <w:tc>
          <w:tcPr>
            <w:tcW w:type="dxa" w:w="2250"/>
            <w:shd w:fill="F2F2F2" w:val="clear"/>
            <w:vAlign w:val="center"/>
          </w:tcPr>
          <w:p>
            <w:r>
              <w:rPr>
                <w:rFonts w:ascii="Calibri" w:cs="Calibri" w:eastAsia="Calibri" w:hAnsi="Calibri"/>
                <w:b w:val="false"/>
                <w:bCs w:val="false"/>
                <w:color w:val="000000"/>
                <w:sz w:val="20"/>
                <w:szCs w:val="20"/>
              </w:rPr>
              <w:t xml:space="preserve">10,362</w:t>
            </w:r>
          </w:p>
        </w:tc>
        <w:tc>
          <w:tcPr>
            <w:tcW w:type="dxa" w:w="2250"/>
            <w:shd w:fill="F2F2F2" w:val="clear"/>
            <w:vAlign w:val="center"/>
          </w:tcPr>
          <w:p>
            <w:r>
              <w:rPr>
                <w:rFonts w:ascii="Calibri" w:cs="Calibri" w:eastAsia="Calibri" w:hAnsi="Calibri"/>
                <w:b w:val="false"/>
                <w:bCs w:val="false"/>
                <w:color w:val="000000"/>
                <w:sz w:val="20"/>
                <w:szCs w:val="20"/>
              </w:rPr>
              <w:t xml:space="preserve">-2,637</w:t>
            </w:r>
          </w:p>
        </w:tc>
      </w:tr>
      <w:tr>
        <w:tc>
          <w:tcPr>
            <w:tcW w:type="dxa" w:w="2250"/>
            <w:vAlign w:val="center"/>
          </w:tcPr>
          <w:p>
            <w:r>
              <w:rPr>
                <w:rFonts w:ascii="Calibri" w:cs="Calibri" w:eastAsia="Calibri" w:hAnsi="Calibri"/>
                <w:b w:val="false"/>
                <w:bCs w:val="false"/>
                <w:color w:val="000000"/>
                <w:sz w:val="20"/>
                <w:szCs w:val="20"/>
              </w:rPr>
              <w:t xml:space="preserve">Share of loss-making farms (%)</w:t>
            </w:r>
          </w:p>
        </w:tc>
        <w:tc>
          <w:tcPr>
            <w:tcW w:type="dxa" w:w="2250"/>
            <w:vAlign w:val="center"/>
          </w:tcPr>
          <w:p>
            <w:r>
              <w:rPr>
                <w:rFonts w:ascii="Calibri" w:cs="Calibri" w:eastAsia="Calibri" w:hAnsi="Calibri"/>
                <w:b w:val="false"/>
                <w:bCs w:val="false"/>
                <w:color w:val="000000"/>
                <w:sz w:val="20"/>
                <w:szCs w:val="20"/>
              </w:rPr>
              <w:t xml:space="preserve">42.21</w:t>
            </w:r>
          </w:p>
        </w:tc>
        <w:tc>
          <w:tcPr>
            <w:tcW w:type="dxa" w:w="2250"/>
            <w:vAlign w:val="center"/>
          </w:tcPr>
          <w:p>
            <w:r>
              <w:rPr>
                <w:rFonts w:ascii="Calibri" w:cs="Calibri" w:eastAsia="Calibri" w:hAnsi="Calibri"/>
                <w:b w:val="false"/>
                <w:bCs w:val="false"/>
                <w:color w:val="000000"/>
                <w:sz w:val="20"/>
                <w:szCs w:val="20"/>
              </w:rPr>
              <w:t xml:space="preserve">51.14</w:t>
            </w:r>
          </w:p>
        </w:tc>
        <w:tc>
          <w:tcPr>
            <w:tcW w:type="dxa" w:w="2250"/>
            <w:vAlign w:val="center"/>
          </w:tcPr>
          <w:p>
            <w:r>
              <w:rPr>
                <w:rFonts w:ascii="Calibri" w:cs="Calibri" w:eastAsia="Calibri" w:hAnsi="Calibri"/>
                <w:b w:val="false"/>
                <w:bCs w:val="false"/>
                <w:color w:val="000000"/>
                <w:sz w:val="20"/>
                <w:szCs w:val="20"/>
              </w:rPr>
              <w:t xml:space="preserve">64.48</w:t>
            </w:r>
          </w:p>
        </w:tc>
      </w:tr>
      <w:tr>
        <w:tc>
          <w:tcPr>
            <w:tcW w:type="dxa" w:w="2250"/>
            <w:shd w:fill="F2F2F2" w:val="clear"/>
            <w:vAlign w:val="center"/>
          </w:tcPr>
          <w:p>
            <w:r>
              <w:rPr>
                <w:rFonts w:ascii="Calibri" w:cs="Calibri" w:eastAsia="Calibri" w:hAnsi="Calibri"/>
                <w:b w:val="false"/>
                <w:bCs w:val="false"/>
                <w:color w:val="000000"/>
                <w:sz w:val="20"/>
                <w:szCs w:val="20"/>
              </w:rPr>
              <w:t xml:space="preserve">Total profit (INR)</w:t>
            </w:r>
          </w:p>
        </w:tc>
        <w:tc>
          <w:tcPr>
            <w:tcW w:type="dxa" w:w="2250"/>
            <w:shd w:fill="F2F2F2" w:val="clear"/>
            <w:vAlign w:val="center"/>
          </w:tcPr>
          <w:p>
            <w:r>
              <w:rPr>
                <w:rFonts w:ascii="Calibri" w:cs="Calibri" w:eastAsia="Calibri" w:hAnsi="Calibri"/>
                <w:b w:val="false"/>
                <w:bCs w:val="false"/>
                <w:color w:val="000000"/>
                <w:sz w:val="20"/>
                <w:szCs w:val="20"/>
              </w:rPr>
              <w:t xml:space="preserve">318,289,158</w:t>
            </w:r>
          </w:p>
        </w:tc>
        <w:tc>
          <w:tcPr>
            <w:tcW w:type="dxa" w:w="2250"/>
            <w:shd w:fill="F2F2F2" w:val="clear"/>
            <w:vAlign w:val="center"/>
          </w:tcPr>
          <w:p>
            <w:r>
              <w:rPr>
                <w:rFonts w:ascii="Calibri" w:cs="Calibri" w:eastAsia="Calibri" w:hAnsi="Calibri"/>
                <w:b w:val="false"/>
                <w:bCs w:val="false"/>
                <w:color w:val="000000"/>
                <w:sz w:val="20"/>
                <w:szCs w:val="20"/>
              </w:rPr>
              <w:t xml:space="preserve">142,670,768</w:t>
            </w:r>
          </w:p>
        </w:tc>
        <w:tc>
          <w:tcPr>
            <w:tcW w:type="dxa" w:w="2250"/>
            <w:shd w:fill="F2F2F2" w:val="clear"/>
            <w:vAlign w:val="center"/>
          </w:tcPr>
          <w:p>
            <w:r>
              <w:rPr>
                <w:rFonts w:ascii="Calibri" w:cs="Calibri" w:eastAsia="Calibri" w:hAnsi="Calibri"/>
                <w:b w:val="false"/>
                <w:bCs w:val="false"/>
                <w:color w:val="000000"/>
                <w:sz w:val="20"/>
                <w:szCs w:val="20"/>
              </w:rPr>
              <w:t xml:space="preserve">-14,734,066</w:t>
            </w:r>
          </w:p>
        </w:tc>
      </w:tr>
    </w:tbl>
    <w:p>
      <w:pPr>
        <w:spacing w:after="150"/>
      </w:pPr>
    </w:p>
    <w:p>
      <w:pPr>
        <w:spacing w:after="160"/>
        <w:jc w:val="left"/>
      </w:pPr>
      <w:r>
        <w:rPr>
          <w:rFonts w:ascii="Calibri" w:cs="Calibri" w:eastAsia="Calibri" w:hAnsi="Calibri"/>
          <w:b w:val="false"/>
          <w:bCs w:val="false"/>
          <w:i w:val="false"/>
          <w:iCs w:val="false"/>
          <w:sz w:val="22"/>
          <w:szCs w:val="22"/>
        </w:rPr>
        <w:t xml:space="preserve">Overall, 49.15% of all farm records operate at a loss. Zaid shows both the lowest average profit and the highest share of loss-making farms among the three seasons.</w:t>
      </w:r>
    </w:p>
    <w:p>
      <w:pPr>
        <w:spacing w:after="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771775"/>
                    </a:xfrm>
                    <a:prstGeom prst="rect">
                      <a:avLst/>
                    </a:prstGeom>
                  </pic:spPr>
                </pic:pic>
              </a:graphicData>
            </a:graphic>
          </wp:inline>
        </w:drawing>
      </w:r>
    </w:p>
    <w:p>
      <w:pPr>
        <w:pStyle w:val="Heading1"/>
        <w:spacing w:after="150" w:before="300"/>
      </w:pPr>
      <w:r>
        <w:t xml:space="preserve">15. Water Efficiency Analysis</w:t>
      </w:r>
    </w:p>
    <w:p>
      <w:pPr>
        <w:spacing w:after="160"/>
        <w:jc w:val="left"/>
      </w:pPr>
      <w:r>
        <w:rPr>
          <w:rFonts w:ascii="Calibri" w:cs="Calibri" w:eastAsia="Calibri" w:hAnsi="Calibri"/>
          <w:b w:val="false"/>
          <w:bCs w:val="false"/>
          <w:i w:val="false"/>
          <w:iCs w:val="false"/>
          <w:sz w:val="22"/>
          <w:szCs w:val="22"/>
        </w:rPr>
        <w:t xml:space="preserve">Average water efficiency by season: Kharif 5.89, Rabi 5.19, Zaid 4.41 (tonnes per 1000 m3). Sugarcane shows the highest water efficiency by crop, consistent with its much higher yield per hectare, even though it also uses more water in absolute terms.</w:t>
      </w:r>
    </w:p>
    <w:p>
      <w:pPr>
        <w:spacing w:after="2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819400"/>
                    </a:xfrm>
                    <a:prstGeom prst="rect">
                      <a:avLst/>
                    </a:prstGeom>
                  </pic:spPr>
                </pic:pic>
              </a:graphicData>
            </a:graphic>
          </wp:inline>
        </w:drawing>
      </w:r>
    </w:p>
    <w:p>
      <w:pPr>
        <w:pStyle w:val="Heading1"/>
        <w:spacing w:after="150" w:before="300"/>
      </w:pPr>
      <w:r>
        <w:t xml:space="preserve">16. Disease and Pest Risk Analysis</w:t>
      </w:r>
    </w:p>
    <w:p>
      <w:pPr>
        <w:spacing w:after="160"/>
        <w:jc w:val="left"/>
      </w:pPr>
      <w:r>
        <w:rPr>
          <w:rFonts w:ascii="Calibri" w:cs="Calibri" w:eastAsia="Calibri" w:hAnsi="Calibri"/>
          <w:b w:val="false"/>
          <w:bCs w:val="false"/>
          <w:i w:val="false"/>
          <w:iCs w:val="false"/>
          <w:sz w:val="22"/>
          <w:szCs w:val="22"/>
        </w:rPr>
        <w:t xml:space="preserve">Kharif shows the highest average disease/pest risk (54.47%), coinciding with its higher humidity. Humidity correlates more strongly with disease/pest risk than pesticide usage does — consistent with pesticide application being a response to anticipated risk rather than a simple driver of realized risk.</w:t>
      </w:r>
    </w:p>
    <w:p>
      <w:pPr>
        <w:spacing w:after="20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771775"/>
                    </a:xfrm>
                    <a:prstGeom prst="rect">
                      <a:avLst/>
                    </a:prstGeom>
                  </pic:spPr>
                </pic:pic>
              </a:graphicData>
            </a:graphic>
          </wp:inline>
        </w:drawing>
      </w:r>
    </w:p>
    <w:p>
      <w:pPr>
        <w:pStyle w:val="Heading1"/>
        <w:spacing w:after="150" w:before="300"/>
      </w:pPr>
      <w:r>
        <w:t xml:space="preserve">17. Statistical Analysis (alpha = 0.05)</w:t>
      </w:r>
    </w:p>
    <w:p>
      <w:pPr>
        <w:spacing w:after="160"/>
        <w:jc w:val="left"/>
      </w:pPr>
      <w:r>
        <w:rPr>
          <w:rFonts w:ascii="Calibri" w:cs="Calibri" w:eastAsia="Calibri" w:hAnsi="Calibri"/>
          <w:b w:val="false"/>
          <w:bCs w:val="false"/>
          <w:i w:val="false"/>
          <w:iCs w:val="false"/>
          <w:sz w:val="22"/>
          <w:szCs w:val="22"/>
        </w:rPr>
        <w:t xml:space="preserve">Both one-way ANOVA and the non-parametric Kruskal-Wallis test were used to compare each outcome across seasons, since some outcomes (notably yield) are heavily right-skewed. Where the two disagree, Kruskal-Wallis is treated as the primary result because ANOVA's normality assumption is violated by the skew.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vAlign w:val="center"/>
          </w:tcPr>
          <w:p>
            <w:r>
              <w:rPr>
                <w:rFonts w:ascii="Calibri" w:cs="Calibri" w:eastAsia="Calibri" w:hAnsi="Calibri"/>
                <w:b/>
                <w:bCs/>
                <w:color w:val="FFFFFF"/>
                <w:sz w:val="20"/>
                <w:szCs w:val="20"/>
              </w:rPr>
              <w:t xml:space="preserve">Metric</w:t>
            </w:r>
          </w:p>
        </w:tc>
        <w:tc>
          <w:tcPr>
            <w:tcW w:type="dxa" w:w="2250"/>
            <w:shd w:fill="1F3864" w:val="clear"/>
            <w:vAlign w:val="center"/>
          </w:tcPr>
          <w:p>
            <w:r>
              <w:rPr>
                <w:rFonts w:ascii="Calibri" w:cs="Calibri" w:eastAsia="Calibri" w:hAnsi="Calibri"/>
                <w:b/>
                <w:bCs/>
                <w:color w:val="FFFFFF"/>
                <w:sz w:val="20"/>
                <w:szCs w:val="20"/>
              </w:rPr>
              <w:t xml:space="preserve">ANOVA p</w:t>
            </w:r>
          </w:p>
        </w:tc>
        <w:tc>
          <w:tcPr>
            <w:tcW w:type="dxa" w:w="2250"/>
            <w:shd w:fill="1F3864" w:val="clear"/>
            <w:vAlign w:val="center"/>
          </w:tcPr>
          <w:p>
            <w:r>
              <w:rPr>
                <w:rFonts w:ascii="Calibri" w:cs="Calibri" w:eastAsia="Calibri" w:hAnsi="Calibri"/>
                <w:b/>
                <w:bCs/>
                <w:color w:val="FFFFFF"/>
                <w:sz w:val="20"/>
                <w:szCs w:val="20"/>
              </w:rPr>
              <w:t xml:space="preserve">Kruskal-Wallis p</w:t>
            </w:r>
          </w:p>
        </w:tc>
        <w:tc>
          <w:tcPr>
            <w:tcW w:type="dxa" w:w="2250"/>
            <w:shd w:fill="1F3864" w:val="clear"/>
            <w:vAlign w:val="center"/>
          </w:tcPr>
          <w:p>
            <w:r>
              <w:rPr>
                <w:rFonts w:ascii="Calibri" w:cs="Calibri" w:eastAsia="Calibri" w:hAnsi="Calibri"/>
                <w:b/>
                <w:bCs/>
                <w:color w:val="FFFFFF"/>
                <w:sz w:val="20"/>
                <w:szCs w:val="20"/>
              </w:rPr>
              <w:t xml:space="preserve">Significant?</w:t>
            </w:r>
          </w:p>
        </w:tc>
      </w:tr>
      <w:tr>
        <w:tc>
          <w:tcPr>
            <w:tcW w:type="dxa" w:w="2250"/>
            <w:vAlign w:val="center"/>
          </w:tcPr>
          <w:p>
            <w:r>
              <w:rPr>
                <w:rFonts w:ascii="Calibri" w:cs="Calibri" w:eastAsia="Calibri" w:hAnsi="Calibri"/>
                <w:b w:val="false"/>
                <w:bCs w:val="false"/>
                <w:color w:val="000000"/>
                <w:sz w:val="20"/>
                <w:szCs w:val="20"/>
              </w:rPr>
              <w:t xml:space="preserve">Yield_Tonnes_Ha</w:t>
            </w:r>
          </w:p>
        </w:tc>
        <w:tc>
          <w:tcPr>
            <w:tcW w:type="dxa" w:w="2250"/>
            <w:vAlign w:val="center"/>
          </w:tcPr>
          <w:p>
            <w:r>
              <w:rPr>
                <w:rFonts w:ascii="Calibri" w:cs="Calibri" w:eastAsia="Calibri" w:hAnsi="Calibri"/>
                <w:b w:val="false"/>
                <w:bCs w:val="false"/>
                <w:color w:val="000000"/>
                <w:sz w:val="20"/>
                <w:szCs w:val="20"/>
              </w:rPr>
              <w:t xml:space="preserve">0.2369</w:t>
            </w:r>
          </w:p>
        </w:tc>
        <w:tc>
          <w:tcPr>
            <w:tcW w:type="dxa" w:w="2250"/>
            <w:vAlign w:val="center"/>
          </w:tcPr>
          <w:p>
            <w:r>
              <w:rPr>
                <w:rFonts w:ascii="Calibri" w:cs="Calibri" w:eastAsia="Calibri" w:hAnsi="Calibri"/>
                <w:b w:val="false"/>
                <w:bCs w:val="false"/>
                <w:color w:val="000000"/>
                <w:sz w:val="20"/>
                <w:szCs w:val="20"/>
              </w:rPr>
              <w:t xml:space="preserve">&lt; 0.001</w:t>
            </w:r>
          </w:p>
        </w:tc>
        <w:tc>
          <w:tcPr>
            <w:tcW w:type="dxa" w:w="2250"/>
            <w:vAlign w:val="center"/>
          </w:tcPr>
          <w:p>
            <w:r>
              <w:rPr>
                <w:rFonts w:ascii="Calibri" w:cs="Calibri" w:eastAsia="Calibri" w:hAnsi="Calibri"/>
                <w:b w:val="false"/>
                <w:bCs w:val="false"/>
                <w:color w:val="000000"/>
                <w:sz w:val="20"/>
                <w:szCs w:val="20"/>
              </w:rPr>
              <w:t xml:space="preserve">Yes</w:t>
            </w:r>
          </w:p>
        </w:tc>
      </w:tr>
      <w:tr>
        <w:tc>
          <w:tcPr>
            <w:tcW w:type="dxa" w:w="2250"/>
            <w:shd w:fill="F2F2F2" w:val="clear"/>
            <w:vAlign w:val="center"/>
          </w:tcPr>
          <w:p>
            <w:r>
              <w:rPr>
                <w:rFonts w:ascii="Calibri" w:cs="Calibri" w:eastAsia="Calibri" w:hAnsi="Calibri"/>
                <w:b w:val="false"/>
                <w:bCs w:val="false"/>
                <w:color w:val="000000"/>
                <w:sz w:val="20"/>
                <w:szCs w:val="20"/>
              </w:rPr>
              <w:t xml:space="preserve">Profit_INR</w:t>
            </w:r>
          </w:p>
        </w:tc>
        <w:tc>
          <w:tcPr>
            <w:tcW w:type="dxa" w:w="2250"/>
            <w:shd w:fill="F2F2F2" w:val="clear"/>
            <w:vAlign w:val="center"/>
          </w:tcPr>
          <w:p>
            <w:r>
              <w:rPr>
                <w:rFonts w:ascii="Calibri" w:cs="Calibri" w:eastAsia="Calibri" w:hAnsi="Calibri"/>
                <w:b w:val="false"/>
                <w:bCs w:val="false"/>
                <w:color w:val="000000"/>
                <w:sz w:val="20"/>
                <w:szCs w:val="20"/>
              </w:rPr>
              <w:t xml:space="preserve">&lt; 0.001</w:t>
            </w:r>
          </w:p>
        </w:tc>
        <w:tc>
          <w:tcPr>
            <w:tcW w:type="dxa" w:w="2250"/>
            <w:shd w:fill="F2F2F2" w:val="clear"/>
            <w:vAlign w:val="center"/>
          </w:tcPr>
          <w:p>
            <w:r>
              <w:rPr>
                <w:rFonts w:ascii="Calibri" w:cs="Calibri" w:eastAsia="Calibri" w:hAnsi="Calibri"/>
                <w:b w:val="false"/>
                <w:bCs w:val="false"/>
                <w:color w:val="000000"/>
                <w:sz w:val="20"/>
                <w:szCs w:val="20"/>
              </w:rPr>
              <w:t xml:space="preserve">&lt; 0.001</w:t>
            </w:r>
          </w:p>
        </w:tc>
        <w:tc>
          <w:tcPr>
            <w:tcW w:type="dxa" w:w="2250"/>
            <w:shd w:fill="F2F2F2" w:val="clear"/>
            <w:vAlign w:val="center"/>
          </w:tcPr>
          <w:p>
            <w:r>
              <w:rPr>
                <w:rFonts w:ascii="Calibri" w:cs="Calibri" w:eastAsia="Calibri" w:hAnsi="Calibri"/>
                <w:b w:val="false"/>
                <w:bCs w:val="false"/>
                <w:color w:val="000000"/>
                <w:sz w:val="20"/>
                <w:szCs w:val="20"/>
              </w:rPr>
              <w:t xml:space="preserve">Yes</w:t>
            </w:r>
          </w:p>
        </w:tc>
      </w:tr>
      <w:tr>
        <w:tc>
          <w:tcPr>
            <w:tcW w:type="dxa" w:w="2250"/>
            <w:vAlign w:val="center"/>
          </w:tcPr>
          <w:p>
            <w:r>
              <w:rPr>
                <w:rFonts w:ascii="Calibri" w:cs="Calibri" w:eastAsia="Calibri" w:hAnsi="Calibri"/>
                <w:b w:val="false"/>
                <w:bCs w:val="false"/>
                <w:color w:val="000000"/>
                <w:sz w:val="20"/>
                <w:szCs w:val="20"/>
              </w:rPr>
              <w:t xml:space="preserve">Water_Efficiency_t_per_1000m3</w:t>
            </w:r>
          </w:p>
        </w:tc>
        <w:tc>
          <w:tcPr>
            <w:tcW w:type="dxa" w:w="2250"/>
            <w:vAlign w:val="center"/>
          </w:tcPr>
          <w:p>
            <w:r>
              <w:rPr>
                <w:rFonts w:ascii="Calibri" w:cs="Calibri" w:eastAsia="Calibri" w:hAnsi="Calibri"/>
                <w:b w:val="false"/>
                <w:bCs w:val="false"/>
                <w:color w:val="000000"/>
                <w:sz w:val="20"/>
                <w:szCs w:val="20"/>
              </w:rPr>
              <w:t xml:space="preserve">&lt; 0.001</w:t>
            </w:r>
          </w:p>
        </w:tc>
        <w:tc>
          <w:tcPr>
            <w:tcW w:type="dxa" w:w="2250"/>
            <w:vAlign w:val="center"/>
          </w:tcPr>
          <w:p>
            <w:r>
              <w:rPr>
                <w:rFonts w:ascii="Calibri" w:cs="Calibri" w:eastAsia="Calibri" w:hAnsi="Calibri"/>
                <w:b w:val="false"/>
                <w:bCs w:val="false"/>
                <w:color w:val="000000"/>
                <w:sz w:val="20"/>
                <w:szCs w:val="20"/>
              </w:rPr>
              <w:t xml:space="preserve">&lt; 0.001</w:t>
            </w:r>
          </w:p>
        </w:tc>
        <w:tc>
          <w:tcPr>
            <w:tcW w:type="dxa" w:w="2250"/>
            <w:vAlign w:val="center"/>
          </w:tcPr>
          <w:p>
            <w:r>
              <w:rPr>
                <w:rFonts w:ascii="Calibri" w:cs="Calibri" w:eastAsia="Calibri" w:hAnsi="Calibri"/>
                <w:b w:val="false"/>
                <w:bCs w:val="false"/>
                <w:color w:val="000000"/>
                <w:sz w:val="20"/>
                <w:szCs w:val="20"/>
              </w:rPr>
              <w:t xml:space="preserve">Yes</w:t>
            </w:r>
          </w:p>
        </w:tc>
      </w:tr>
      <w:tr>
        <w:tc>
          <w:tcPr>
            <w:tcW w:type="dxa" w:w="2250"/>
            <w:shd w:fill="F2F2F2" w:val="clear"/>
            <w:vAlign w:val="center"/>
          </w:tcPr>
          <w:p>
            <w:r>
              <w:rPr>
                <w:rFonts w:ascii="Calibri" w:cs="Calibri" w:eastAsia="Calibri" w:hAnsi="Calibri"/>
                <w:b w:val="false"/>
                <w:bCs w:val="false"/>
                <w:color w:val="000000"/>
                <w:sz w:val="20"/>
                <w:szCs w:val="20"/>
              </w:rPr>
              <w:t xml:space="preserve">Disease_Pest_Risk_pct</w:t>
            </w:r>
          </w:p>
        </w:tc>
        <w:tc>
          <w:tcPr>
            <w:tcW w:type="dxa" w:w="2250"/>
            <w:shd w:fill="F2F2F2" w:val="clear"/>
            <w:vAlign w:val="center"/>
          </w:tcPr>
          <w:p>
            <w:r>
              <w:rPr>
                <w:rFonts w:ascii="Calibri" w:cs="Calibri" w:eastAsia="Calibri" w:hAnsi="Calibri"/>
                <w:b w:val="false"/>
                <w:bCs w:val="false"/>
                <w:color w:val="000000"/>
                <w:sz w:val="20"/>
                <w:szCs w:val="20"/>
              </w:rPr>
              <w:t xml:space="preserve">&lt; 0.001</w:t>
            </w:r>
          </w:p>
        </w:tc>
        <w:tc>
          <w:tcPr>
            <w:tcW w:type="dxa" w:w="2250"/>
            <w:shd w:fill="F2F2F2" w:val="clear"/>
            <w:vAlign w:val="center"/>
          </w:tcPr>
          <w:p>
            <w:r>
              <w:rPr>
                <w:rFonts w:ascii="Calibri" w:cs="Calibri" w:eastAsia="Calibri" w:hAnsi="Calibri"/>
                <w:b w:val="false"/>
                <w:bCs w:val="false"/>
                <w:color w:val="000000"/>
                <w:sz w:val="20"/>
                <w:szCs w:val="20"/>
              </w:rPr>
              <w:t xml:space="preserve">&lt; 0.001</w:t>
            </w:r>
          </w:p>
        </w:tc>
        <w:tc>
          <w:tcPr>
            <w:tcW w:type="dxa" w:w="2250"/>
            <w:shd w:fill="F2F2F2" w:val="clear"/>
            <w:vAlign w:val="center"/>
          </w:tcPr>
          <w:p>
            <w:r>
              <w:rPr>
                <w:rFonts w:ascii="Calibri" w:cs="Calibri" w:eastAsia="Calibri" w:hAnsi="Calibri"/>
                <w:b w:val="false"/>
                <w:bCs w:val="false"/>
                <w:color w:val="000000"/>
                <w:sz w:val="20"/>
                <w:szCs w:val="20"/>
              </w:rPr>
              <w:t xml:space="preserve">Yes</w:t>
            </w:r>
          </w:p>
        </w:tc>
      </w:tr>
      <w:tr>
        <w:tc>
          <w:tcPr>
            <w:tcW w:type="dxa" w:w="2250"/>
            <w:vAlign w:val="center"/>
          </w:tcPr>
          <w:p>
            <w:r>
              <w:rPr>
                <w:rFonts w:ascii="Calibri" w:cs="Calibri" w:eastAsia="Calibri" w:hAnsi="Calibri"/>
                <w:b w:val="false"/>
                <w:bCs w:val="false"/>
                <w:color w:val="000000"/>
                <w:sz w:val="20"/>
                <w:szCs w:val="20"/>
              </w:rPr>
              <w:t xml:space="preserve">Rainfall_mm</w:t>
            </w:r>
          </w:p>
        </w:tc>
        <w:tc>
          <w:tcPr>
            <w:tcW w:type="dxa" w:w="2250"/>
            <w:vAlign w:val="center"/>
          </w:tcPr>
          <w:p>
            <w:r>
              <w:rPr>
                <w:rFonts w:ascii="Calibri" w:cs="Calibri" w:eastAsia="Calibri" w:hAnsi="Calibri"/>
                <w:b w:val="false"/>
                <w:bCs w:val="false"/>
                <w:color w:val="000000"/>
                <w:sz w:val="20"/>
                <w:szCs w:val="20"/>
              </w:rPr>
              <w:t xml:space="preserve">&lt; 0.001</w:t>
            </w:r>
          </w:p>
        </w:tc>
        <w:tc>
          <w:tcPr>
            <w:tcW w:type="dxa" w:w="2250"/>
            <w:vAlign w:val="center"/>
          </w:tcPr>
          <w:p>
            <w:r>
              <w:rPr>
                <w:rFonts w:ascii="Calibri" w:cs="Calibri" w:eastAsia="Calibri" w:hAnsi="Calibri"/>
                <w:b w:val="false"/>
                <w:bCs w:val="false"/>
                <w:color w:val="000000"/>
                <w:sz w:val="20"/>
                <w:szCs w:val="20"/>
              </w:rPr>
              <w:t xml:space="preserve">&lt; 0.001</w:t>
            </w:r>
          </w:p>
        </w:tc>
        <w:tc>
          <w:tcPr>
            <w:tcW w:type="dxa" w:w="2250"/>
            <w:vAlign w:val="center"/>
          </w:tcPr>
          <w:p>
            <w:r>
              <w:rPr>
                <w:rFonts w:ascii="Calibri" w:cs="Calibri" w:eastAsia="Calibri" w:hAnsi="Calibri"/>
                <w:b w:val="false"/>
                <w:bCs w:val="false"/>
                <w:color w:val="000000"/>
                <w:sz w:val="20"/>
                <w:szCs w:val="20"/>
              </w:rPr>
              <w:t xml:space="preserve">Yes</w:t>
            </w:r>
          </w:p>
        </w:tc>
      </w:tr>
    </w:tbl>
    <w:p>
      <w:pPr>
        <w:spacing w:after="150"/>
      </w:pPr>
    </w:p>
    <w:p>
      <w:pPr>
        <w:spacing w:after="160"/>
        <w:jc w:val="left"/>
      </w:pPr>
      <w:r>
        <w:rPr>
          <w:rFonts w:ascii="Calibri" w:cs="Calibri" w:eastAsia="Calibri" w:hAnsi="Calibri"/>
          <w:b w:val="false"/>
          <w:bCs w:val="false"/>
          <w:i w:val="false"/>
          <w:iCs w:val="false"/>
          <w:sz w:val="22"/>
          <w:szCs w:val="22"/>
        </w:rPr>
        <w:t xml:space="preserve">Chi-square tests found no statistically significant association between Season and Crop (p = 0.455) or between Season and Irrigation Method (p = 0.742) — crops and irrigation methods are distributed in broadly similar proportions across seasons, so the Season x Crop differences reported earlier reflect genuine performance differences rather than a shifting crop mix.</w:t>
      </w:r>
    </w:p>
    <w:p>
      <w:pPr>
        <w:pStyle w:val="Heading1"/>
        <w:spacing w:after="150" w:before="300"/>
      </w:pPr>
      <w:r>
        <w:t xml:space="preserve">18. Outlier and Anomaly Analysis</w:t>
      </w:r>
    </w:p>
    <w:p>
      <w:pPr>
        <w:spacing w:after="160"/>
        <w:jc w:val="left"/>
      </w:pPr>
      <w:r>
        <w:rPr>
          <w:rFonts w:ascii="Calibri" w:cs="Calibri" w:eastAsia="Calibri" w:hAnsi="Calibri"/>
          <w:b w:val="false"/>
          <w:bCs w:val="false"/>
          <w:i w:val="false"/>
          <w:iCs w:val="false"/>
          <w:sz w:val="22"/>
          <w:szCs w:val="22"/>
        </w:rPr>
        <w:t xml:space="preserve">Yield outliers identified via the IQR method are concentrated almost entirely in Sugarcane (97.04% of 304 flagged records), confirming these are legitimate crop-driven extremes rather than data-entry errors. No records were removed on this basis.</w:t>
      </w:r>
    </w:p>
    <w:p>
      <w:pPr>
        <w:spacing w:after="20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133725"/>
                    </a:xfrm>
                    <a:prstGeom prst="rect">
                      <a:avLst/>
                    </a:prstGeom>
                  </pic:spPr>
                </pic:pic>
              </a:graphicData>
            </a:graphic>
          </wp:inline>
        </w:drawing>
      </w:r>
    </w:p>
    <w:p>
      <w:pPr>
        <w:pStyle w:val="Heading1"/>
        <w:spacing w:after="150" w:before="300"/>
      </w:pPr>
      <w:r>
        <w:t xml:space="preserve">19. Advanced Analysis</w:t>
      </w:r>
    </w:p>
    <w:p>
      <w:pPr>
        <w:spacing w:after="160"/>
        <w:jc w:val="left"/>
      </w:pPr>
      <w:r>
        <w:rPr>
          <w:rFonts w:ascii="Calibri" w:cs="Calibri" w:eastAsia="Calibri" w:hAnsi="Calibri"/>
          <w:b w:val="false"/>
          <w:bCs w:val="false"/>
          <w:i w:val="false"/>
          <w:iCs w:val="false"/>
          <w:sz w:val="22"/>
          <w:szCs w:val="22"/>
        </w:rPr>
        <w:t xml:space="preserve">A composite Seasonal Performance Score (weighted, min-max normalized combination of average yield, average profit, average water efficiency, and inverse disease risk) ranks the seasons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vAlign w:val="center"/>
          </w:tcPr>
          <w:p>
            <w:r>
              <w:rPr>
                <w:rFonts w:ascii="Calibri" w:cs="Calibri" w:eastAsia="Calibri" w:hAnsi="Calibri"/>
                <w:b/>
                <w:bCs/>
                <w:color w:val="FFFFFF"/>
                <w:sz w:val="20"/>
                <w:szCs w:val="20"/>
              </w:rPr>
              <w:t xml:space="preserve">Season</w:t>
            </w:r>
          </w:p>
        </w:tc>
        <w:tc>
          <w:tcPr>
            <w:tcW w:type="dxa" w:w="4500"/>
            <w:shd w:fill="1F3864" w:val="clear"/>
            <w:vAlign w:val="center"/>
          </w:tcPr>
          <w:p>
            <w:r>
              <w:rPr>
                <w:rFonts w:ascii="Calibri" w:cs="Calibri" w:eastAsia="Calibri" w:hAnsi="Calibri"/>
                <w:b/>
                <w:bCs/>
                <w:color w:val="FFFFFF"/>
                <w:sz w:val="20"/>
                <w:szCs w:val="20"/>
              </w:rPr>
              <w:t xml:space="preserve">Seasonal Performance Score</w:t>
            </w:r>
          </w:p>
        </w:tc>
      </w:tr>
      <w:tr>
        <w:tc>
          <w:tcPr>
            <w:tcW w:type="dxa" w:w="4500"/>
            <w:vAlign w:val="center"/>
          </w:tcPr>
          <w:p>
            <w:r>
              <w:rPr>
                <w:rFonts w:ascii="Calibri" w:cs="Calibri" w:eastAsia="Calibri" w:hAnsi="Calibri"/>
                <w:b w:val="false"/>
                <w:bCs w:val="false"/>
                <w:color w:val="000000"/>
                <w:sz w:val="20"/>
                <w:szCs w:val="20"/>
              </w:rPr>
              <w:t xml:space="preserve">Kharif</w:t>
            </w:r>
          </w:p>
        </w:tc>
        <w:tc>
          <w:tcPr>
            <w:tcW w:type="dxa" w:w="4500"/>
            <w:vAlign w:val="center"/>
          </w:tcPr>
          <w:p>
            <w:r>
              <w:rPr>
                <w:rFonts w:ascii="Calibri" w:cs="Calibri" w:eastAsia="Calibri" w:hAnsi="Calibri"/>
                <w:b w:val="false"/>
                <w:bCs w:val="false"/>
                <w:color w:val="000000"/>
                <w:sz w:val="20"/>
                <w:szCs w:val="20"/>
              </w:rPr>
              <w:t xml:space="preserve">0.8</w:t>
            </w:r>
          </w:p>
        </w:tc>
      </w:tr>
      <w:tr>
        <w:tc>
          <w:tcPr>
            <w:tcW w:type="dxa" w:w="4500"/>
            <w:shd w:fill="F2F2F2" w:val="clear"/>
            <w:vAlign w:val="center"/>
          </w:tcPr>
          <w:p>
            <w:r>
              <w:rPr>
                <w:rFonts w:ascii="Calibri" w:cs="Calibri" w:eastAsia="Calibri" w:hAnsi="Calibri"/>
                <w:b w:val="false"/>
                <w:bCs w:val="false"/>
                <w:color w:val="000000"/>
                <w:sz w:val="20"/>
                <w:szCs w:val="20"/>
              </w:rPr>
              <w:t xml:space="preserve">Rabi</w:t>
            </w:r>
          </w:p>
        </w:tc>
        <w:tc>
          <w:tcPr>
            <w:tcW w:type="dxa" w:w="4500"/>
            <w:shd w:fill="F2F2F2" w:val="clear"/>
            <w:vAlign w:val="center"/>
          </w:tcPr>
          <w:p>
            <w:r>
              <w:rPr>
                <w:rFonts w:ascii="Calibri" w:cs="Calibri" w:eastAsia="Calibri" w:hAnsi="Calibri"/>
                <w:b w:val="false"/>
                <w:bCs w:val="false"/>
                <w:color w:val="000000"/>
                <w:sz w:val="20"/>
                <w:szCs w:val="20"/>
              </w:rPr>
              <w:t xml:space="preserve">0.583</w:t>
            </w:r>
          </w:p>
        </w:tc>
      </w:tr>
      <w:tr>
        <w:tc>
          <w:tcPr>
            <w:tcW w:type="dxa" w:w="4500"/>
            <w:vAlign w:val="center"/>
          </w:tcPr>
          <w:p>
            <w:r>
              <w:rPr>
                <w:rFonts w:ascii="Calibri" w:cs="Calibri" w:eastAsia="Calibri" w:hAnsi="Calibri"/>
                <w:b w:val="false"/>
                <w:bCs w:val="false"/>
                <w:color w:val="000000"/>
                <w:sz w:val="20"/>
                <w:szCs w:val="20"/>
              </w:rPr>
              <w:t xml:space="preserve">Zaid</w:t>
            </w:r>
          </w:p>
        </w:tc>
        <w:tc>
          <w:tcPr>
            <w:tcW w:type="dxa" w:w="4500"/>
            <w:vAlign w:val="center"/>
          </w:tcPr>
          <w:p>
            <w:r>
              <w:rPr>
                <w:rFonts w:ascii="Calibri" w:cs="Calibri" w:eastAsia="Calibri" w:hAnsi="Calibri"/>
                <w:b w:val="false"/>
                <w:bCs w:val="false"/>
                <w:color w:val="000000"/>
                <w:sz w:val="20"/>
                <w:szCs w:val="20"/>
              </w:rPr>
              <w:t xml:space="preserve">0.2</w:t>
            </w:r>
          </w:p>
        </w:tc>
      </w:tr>
    </w:tbl>
    <w:p>
      <w:pPr>
        <w:spacing w:after="150"/>
      </w:pPr>
    </w:p>
    <w:p>
      <w:pPr>
        <w:spacing w:after="160"/>
        <w:jc w:val="left"/>
      </w:pPr>
      <w:r>
        <w:rPr>
          <w:rFonts w:ascii="Calibri" w:cs="Calibri" w:eastAsia="Calibri" w:hAnsi="Calibri"/>
          <w:b w:val="false"/>
          <w:bCs w:val="false"/>
          <w:i w:val="false"/>
          <w:iCs w:val="false"/>
          <w:sz w:val="22"/>
          <w:szCs w:val="22"/>
        </w:rPr>
        <w:t xml:space="preserve">By crop profitability (profit per hectare), Sugarcane ranks highest (INR 97,170/ha) and Wheat ranks lowest (INR -15,969/ha).</w:t>
      </w:r>
    </w:p>
    <w:p>
      <w:pPr>
        <w:spacing w:after="160"/>
        <w:jc w:val="left"/>
      </w:pPr>
      <w:r>
        <w:rPr>
          <w:rFonts w:ascii="Calibri" w:cs="Calibri" w:eastAsia="Calibri" w:hAnsi="Calibri"/>
          <w:b w:val="false"/>
          <w:bCs w:val="false"/>
          <w:i w:val="false"/>
          <w:iCs w:val="false"/>
          <w:sz w:val="22"/>
          <w:szCs w:val="22"/>
        </w:rPr>
        <w:t xml:space="preserve">A standardized linear regression of yield on rainfall, soil moisture, fertilizer, seed quality and temperature (excluding Sugarcane) achieved R-squared = 0.031 — confirming that these variables explain only a modest share of yield variation, and that crop choice is the dominant driver of yield in this dataset.</w:t>
      </w:r>
    </w:p>
    <w:p>
      <w:pPr>
        <w:spacing w:after="200"/>
        <w:jc w:val="center"/>
      </w:pPr>
      <w:r>
        <w:drawing>
          <wp:inline distT="0" distB="0" distL="0" distR="0">
            <wp:extent cx="4381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028950"/>
                    </a:xfrm>
                    <a:prstGeom prst="rect">
                      <a:avLst/>
                    </a:prstGeom>
                  </pic:spPr>
                </pic:pic>
              </a:graphicData>
            </a:graphic>
          </wp:inline>
        </w:drawing>
      </w:r>
    </w:p>
    <w:p>
      <w:pPr>
        <w:pStyle w:val="Heading1"/>
        <w:spacing w:after="150" w:before="300"/>
      </w:pPr>
      <w:r>
        <w:t xml:space="preserve">20. Key Findings</w:t>
      </w:r>
    </w:p>
    <w:p>
      <w:pPr>
        <w:pStyle w:val="ListParagraph"/>
        <w:numPr>
          <w:ilvl w:val="0"/>
          <w:numId w:val="1"/>
        </w:numPr>
        <w:spacing w:after="80"/>
      </w:pPr>
      <w:r>
        <w:rPr>
          <w:rFonts w:ascii="Calibri" w:cs="Calibri" w:eastAsia="Calibri" w:hAnsi="Calibri"/>
          <w:sz w:val="22"/>
          <w:szCs w:val="22"/>
        </w:rPr>
        <w:t xml:space="preserve">Kharif recorded the highest average yield at 5.63 t/ha, versus 4.64 t/ha in Zaid.</w:t>
      </w:r>
    </w:p>
    <w:p>
      <w:pPr>
        <w:pStyle w:val="ListParagraph"/>
        <w:numPr>
          <w:ilvl w:val="0"/>
          <w:numId w:val="1"/>
        </w:numPr>
        <w:spacing w:after="80"/>
      </w:pPr>
      <w:r>
        <w:rPr>
          <w:rFonts w:ascii="Calibri" w:cs="Calibri" w:eastAsia="Calibri" w:hAnsi="Calibri"/>
          <w:sz w:val="22"/>
          <w:szCs w:val="22"/>
        </w:rPr>
        <w:t xml:space="preserve">Kharif shows the highest average profit per farm (INR 1,78,915), compared with INR -24,805 in Zaid.</w:t>
      </w:r>
    </w:p>
    <w:p>
      <w:pPr>
        <w:pStyle w:val="ListParagraph"/>
        <w:numPr>
          <w:ilvl w:val="0"/>
          <w:numId w:val="1"/>
        </w:numPr>
        <w:spacing w:after="80"/>
      </w:pPr>
      <w:r>
        <w:rPr>
          <w:rFonts w:ascii="Calibri" w:cs="Calibri" w:eastAsia="Calibri" w:hAnsi="Calibri"/>
          <w:sz w:val="22"/>
          <w:szCs w:val="22"/>
        </w:rPr>
        <w:t xml:space="preserve">Season has a statistically significant effect on yield, profit, water efficiency and disease/pest risk (Kruskal-Wallis, all p &lt; 0.05), though effect sizes are modest.</w:t>
      </w:r>
    </w:p>
    <w:p>
      <w:pPr>
        <w:pStyle w:val="ListParagraph"/>
        <w:numPr>
          <w:ilvl w:val="0"/>
          <w:numId w:val="1"/>
        </w:numPr>
        <w:spacing w:after="80"/>
      </w:pPr>
      <w:r>
        <w:rPr>
          <w:rFonts w:ascii="Calibri" w:cs="Calibri" w:eastAsia="Calibri" w:hAnsi="Calibri"/>
          <w:sz w:val="22"/>
          <w:szCs w:val="22"/>
        </w:rPr>
        <w:t xml:space="preserve">Irrigation method is significantly associated with water efficiency (p &lt; 0.001); Rainfed and Drip methods show the highest average efficiency in this dataset.</w:t>
      </w:r>
    </w:p>
    <w:p>
      <w:pPr>
        <w:pStyle w:val="ListParagraph"/>
        <w:numPr>
          <w:ilvl w:val="0"/>
          <w:numId w:val="1"/>
        </w:numPr>
        <w:spacing w:after="80"/>
      </w:pPr>
      <w:r>
        <w:rPr>
          <w:rFonts w:ascii="Calibri" w:cs="Calibri" w:eastAsia="Calibri" w:hAnsi="Calibri"/>
          <w:sz w:val="22"/>
          <w:szCs w:val="22"/>
        </w:rPr>
        <w:t xml:space="preserve">Kharif shows the highest average disease/pest risk (54.47%), coinciding with higher humidity.</w:t>
      </w:r>
    </w:p>
    <w:p>
      <w:pPr>
        <w:pStyle w:val="ListParagraph"/>
        <w:numPr>
          <w:ilvl w:val="0"/>
          <w:numId w:val="1"/>
        </w:numPr>
        <w:spacing w:after="80"/>
      </w:pPr>
      <w:r>
        <w:rPr>
          <w:rFonts w:ascii="Calibri" w:cs="Calibri" w:eastAsia="Calibri" w:hAnsi="Calibri"/>
          <w:sz w:val="22"/>
          <w:szCs w:val="22"/>
        </w:rPr>
        <w:t xml:space="preserve">Sugarcane is the most profitable crop per hectare on average; Wheat is the least profitable.</w:t>
      </w:r>
    </w:p>
    <w:p>
      <w:pPr>
        <w:pStyle w:val="ListParagraph"/>
        <w:numPr>
          <w:ilvl w:val="0"/>
          <w:numId w:val="1"/>
        </w:numPr>
        <w:spacing w:after="80"/>
      </w:pPr>
      <w:r>
        <w:rPr>
          <w:rFonts w:ascii="Calibri" w:cs="Calibri" w:eastAsia="Calibri" w:hAnsi="Calibri"/>
          <w:sz w:val="22"/>
          <w:szCs w:val="22"/>
        </w:rPr>
        <w:t xml:space="preserve">97.04% of yield outliers are Sugarcane, confirming they are legitimate crop-driven extremes.</w:t>
      </w:r>
    </w:p>
    <w:p>
      <w:pPr>
        <w:pStyle w:val="ListParagraph"/>
        <w:numPr>
          <w:ilvl w:val="0"/>
          <w:numId w:val="1"/>
        </w:numPr>
        <w:spacing w:after="80"/>
      </w:pPr>
      <w:r>
        <w:rPr>
          <w:rFonts w:ascii="Calibri" w:cs="Calibri" w:eastAsia="Calibri" w:hAnsi="Calibri"/>
          <w:sz w:val="22"/>
          <w:szCs w:val="22"/>
        </w:rPr>
        <w:t xml:space="preserve">49.15% of all farm records operate at a loss overall, highest in Zaid.</w:t>
      </w:r>
    </w:p>
    <w:p>
      <w:pPr>
        <w:pStyle w:val="ListParagraph"/>
        <w:numPr>
          <w:ilvl w:val="0"/>
          <w:numId w:val="1"/>
        </w:numPr>
        <w:spacing w:after="80"/>
      </w:pPr>
      <w:r>
        <w:rPr>
          <w:rFonts w:ascii="Calibri" w:cs="Calibri" w:eastAsia="Calibri" w:hAnsi="Calibri"/>
          <w:sz w:val="22"/>
          <w:szCs w:val="22"/>
        </w:rPr>
        <w:t xml:space="preserve">Season shows no significant association with Crop or Irrigation Method mix (both chi-square p &gt; 0.05).</w:t>
      </w:r>
    </w:p>
    <w:p>
      <w:pPr>
        <w:pStyle w:val="ListParagraph"/>
        <w:numPr>
          <w:ilvl w:val="0"/>
          <w:numId w:val="1"/>
        </w:numPr>
        <w:spacing w:after="80"/>
      </w:pPr>
      <w:r>
        <w:rPr>
          <w:rFonts w:ascii="Calibri" w:cs="Calibri" w:eastAsia="Calibri" w:hAnsi="Calibri"/>
          <w:sz w:val="22"/>
          <w:szCs w:val="22"/>
        </w:rPr>
        <w:t xml:space="preserve">A yield regression excluding Sugarcane achieves only R-squared = 0.031, showing crop choice dominates over environmental/resource variables.</w:t>
      </w:r>
    </w:p>
    <w:p>
      <w:pPr>
        <w:pStyle w:val="Heading1"/>
        <w:spacing w:after="150" w:before="300"/>
      </w:pPr>
      <w:r>
        <w:t xml:space="preserve">21. Seasonal Comparison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3864" w:val="clear"/>
            <w:vAlign w:val="center"/>
          </w:tcPr>
          <w:p>
            <w:r>
              <w:rPr>
                <w:rFonts w:ascii="Calibri" w:cs="Calibri" w:eastAsia="Calibri" w:hAnsi="Calibri"/>
                <w:b/>
                <w:bCs/>
                <w:color w:val="FFFFFF"/>
                <w:sz w:val="20"/>
                <w:szCs w:val="20"/>
              </w:rPr>
              <w:t xml:space="preserve">Metric</w:t>
            </w:r>
          </w:p>
        </w:tc>
        <w:tc>
          <w:tcPr>
            <w:tcW w:type="dxa" w:w="1800"/>
            <w:shd w:fill="1F3864" w:val="clear"/>
            <w:vAlign w:val="center"/>
          </w:tcPr>
          <w:p>
            <w:r>
              <w:rPr>
                <w:rFonts w:ascii="Calibri" w:cs="Calibri" w:eastAsia="Calibri" w:hAnsi="Calibri"/>
                <w:b/>
                <w:bCs/>
                <w:color w:val="FFFFFF"/>
                <w:sz w:val="20"/>
                <w:szCs w:val="20"/>
              </w:rPr>
              <w:t xml:space="preserve">Kharif</w:t>
            </w:r>
          </w:p>
        </w:tc>
        <w:tc>
          <w:tcPr>
            <w:tcW w:type="dxa" w:w="1800"/>
            <w:shd w:fill="1F3864" w:val="clear"/>
            <w:vAlign w:val="center"/>
          </w:tcPr>
          <w:p>
            <w:r>
              <w:rPr>
                <w:rFonts w:ascii="Calibri" w:cs="Calibri" w:eastAsia="Calibri" w:hAnsi="Calibri"/>
                <w:b/>
                <w:bCs/>
                <w:color w:val="FFFFFF"/>
                <w:sz w:val="20"/>
                <w:szCs w:val="20"/>
              </w:rPr>
              <w:t xml:space="preserve">Rabi</w:t>
            </w:r>
          </w:p>
        </w:tc>
        <w:tc>
          <w:tcPr>
            <w:tcW w:type="dxa" w:w="1800"/>
            <w:shd w:fill="1F3864" w:val="clear"/>
            <w:vAlign w:val="center"/>
          </w:tcPr>
          <w:p>
            <w:r>
              <w:rPr>
                <w:rFonts w:ascii="Calibri" w:cs="Calibri" w:eastAsia="Calibri" w:hAnsi="Calibri"/>
                <w:b/>
                <w:bCs/>
                <w:color w:val="FFFFFF"/>
                <w:sz w:val="20"/>
                <w:szCs w:val="20"/>
              </w:rPr>
              <w:t xml:space="preserve">Zaid</w:t>
            </w:r>
          </w:p>
        </w:tc>
        <w:tc>
          <w:tcPr>
            <w:tcW w:type="dxa" w:w="1800"/>
            <w:shd w:fill="1F3864" w:val="clear"/>
            <w:vAlign w:val="center"/>
          </w:tcPr>
          <w:p>
            <w:r>
              <w:rPr>
                <w:rFonts w:ascii="Calibri" w:cs="Calibri" w:eastAsia="Calibri" w:hAnsi="Calibri"/>
                <w:b/>
                <w:bCs/>
                <w:color w:val="FFFFFF"/>
                <w:sz w:val="20"/>
                <w:szCs w:val="20"/>
              </w:rPr>
              <w:t xml:space="preserve">Best Season</w:t>
            </w:r>
          </w:p>
        </w:tc>
      </w:tr>
      <w:tr>
        <w:tc>
          <w:tcPr>
            <w:tcW w:type="dxa" w:w="1800"/>
            <w:vAlign w:val="center"/>
          </w:tcPr>
          <w:p>
            <w:r>
              <w:rPr>
                <w:rFonts w:ascii="Calibri" w:cs="Calibri" w:eastAsia="Calibri" w:hAnsi="Calibri"/>
                <w:b w:val="false"/>
                <w:bCs w:val="false"/>
                <w:color w:val="000000"/>
                <w:sz w:val="20"/>
                <w:szCs w:val="20"/>
              </w:rPr>
              <w:t xml:space="preserve">Avg. rainfall (mm)</w:t>
            </w:r>
          </w:p>
        </w:tc>
        <w:tc>
          <w:tcPr>
            <w:tcW w:type="dxa" w:w="1800"/>
            <w:vAlign w:val="center"/>
          </w:tcPr>
          <w:p>
            <w:r>
              <w:rPr>
                <w:rFonts w:ascii="Calibri" w:cs="Calibri" w:eastAsia="Calibri" w:hAnsi="Calibri"/>
                <w:b w:val="false"/>
                <w:bCs w:val="false"/>
                <w:color w:val="000000"/>
                <w:sz w:val="20"/>
                <w:szCs w:val="20"/>
              </w:rPr>
              <w:t xml:space="preserve">852</w:t>
            </w:r>
          </w:p>
        </w:tc>
        <w:tc>
          <w:tcPr>
            <w:tcW w:type="dxa" w:w="1800"/>
            <w:vAlign w:val="center"/>
          </w:tcPr>
          <w:p>
            <w:r>
              <w:rPr>
                <w:rFonts w:ascii="Calibri" w:cs="Calibri" w:eastAsia="Calibri" w:hAnsi="Calibri"/>
                <w:b w:val="false"/>
                <w:bCs w:val="false"/>
                <w:color w:val="000000"/>
                <w:sz w:val="20"/>
                <w:szCs w:val="20"/>
              </w:rPr>
              <w:t xml:space="preserve">436</w:t>
            </w:r>
          </w:p>
        </w:tc>
        <w:tc>
          <w:tcPr>
            <w:tcW w:type="dxa" w:w="1800"/>
            <w:vAlign w:val="center"/>
          </w:tcPr>
          <w:p>
            <w:r>
              <w:rPr>
                <w:rFonts w:ascii="Calibri" w:cs="Calibri" w:eastAsia="Calibri" w:hAnsi="Calibri"/>
                <w:b w:val="false"/>
                <w:bCs w:val="false"/>
                <w:color w:val="000000"/>
                <w:sz w:val="20"/>
                <w:szCs w:val="20"/>
              </w:rPr>
              <w:t xml:space="preserve">299</w:t>
            </w:r>
          </w:p>
        </w:tc>
        <w:tc>
          <w:tcPr>
            <w:tcW w:type="dxa" w:w="1800"/>
            <w:vAlign w:val="center"/>
          </w:tcPr>
          <w:p>
            <w:r>
              <w:rPr>
                <w:rFonts w:ascii="Calibri" w:cs="Calibri" w:eastAsia="Calibri" w:hAnsi="Calibri"/>
                <w:b w:val="false"/>
                <w:bCs w:val="false"/>
                <w:color w:val="000000"/>
                <w:sz w:val="20"/>
                <w:szCs w:val="20"/>
              </w:rPr>
              <w:t xml:space="preserve">Kharif</w:t>
            </w:r>
          </w:p>
        </w:tc>
      </w:tr>
      <w:tr>
        <w:tc>
          <w:tcPr>
            <w:tcW w:type="dxa" w:w="1800"/>
            <w:shd w:fill="F2F2F2" w:val="clear"/>
            <w:vAlign w:val="center"/>
          </w:tcPr>
          <w:p>
            <w:r>
              <w:rPr>
                <w:rFonts w:ascii="Calibri" w:cs="Calibri" w:eastAsia="Calibri" w:hAnsi="Calibri"/>
                <w:b w:val="false"/>
                <w:bCs w:val="false"/>
                <w:color w:val="000000"/>
                <w:sz w:val="20"/>
                <w:szCs w:val="20"/>
              </w:rPr>
              <w:t xml:space="preserve">Avg. yield (t/ha)</w:t>
            </w:r>
          </w:p>
        </w:tc>
        <w:tc>
          <w:tcPr>
            <w:tcW w:type="dxa" w:w="1800"/>
            <w:shd w:fill="F2F2F2" w:val="clear"/>
            <w:vAlign w:val="center"/>
          </w:tcPr>
          <w:p>
            <w:r>
              <w:rPr>
                <w:rFonts w:ascii="Calibri" w:cs="Calibri" w:eastAsia="Calibri" w:hAnsi="Calibri"/>
                <w:b w:val="false"/>
                <w:bCs w:val="false"/>
                <w:color w:val="000000"/>
                <w:sz w:val="20"/>
                <w:szCs w:val="20"/>
              </w:rPr>
              <w:t xml:space="preserve">5.63</w:t>
            </w:r>
          </w:p>
        </w:tc>
        <w:tc>
          <w:tcPr>
            <w:tcW w:type="dxa" w:w="1800"/>
            <w:shd w:fill="F2F2F2" w:val="clear"/>
            <w:vAlign w:val="center"/>
          </w:tcPr>
          <w:p>
            <w:r>
              <w:rPr>
                <w:rFonts w:ascii="Calibri" w:cs="Calibri" w:eastAsia="Calibri" w:hAnsi="Calibri"/>
                <w:b w:val="false"/>
                <w:bCs w:val="false"/>
                <w:color w:val="000000"/>
                <w:sz w:val="20"/>
                <w:szCs w:val="20"/>
              </w:rPr>
              <w:t xml:space="preserve">5.1</w:t>
            </w:r>
          </w:p>
        </w:tc>
        <w:tc>
          <w:tcPr>
            <w:tcW w:type="dxa" w:w="1800"/>
            <w:shd w:fill="F2F2F2" w:val="clear"/>
            <w:vAlign w:val="center"/>
          </w:tcPr>
          <w:p>
            <w:r>
              <w:rPr>
                <w:rFonts w:ascii="Calibri" w:cs="Calibri" w:eastAsia="Calibri" w:hAnsi="Calibri"/>
                <w:b w:val="false"/>
                <w:bCs w:val="false"/>
                <w:color w:val="000000"/>
                <w:sz w:val="20"/>
                <w:szCs w:val="20"/>
              </w:rPr>
              <w:t xml:space="preserve">4.64</w:t>
            </w:r>
          </w:p>
        </w:tc>
        <w:tc>
          <w:tcPr>
            <w:tcW w:type="dxa" w:w="1800"/>
            <w:shd w:fill="F2F2F2" w:val="clear"/>
            <w:vAlign w:val="center"/>
          </w:tcPr>
          <w:p>
            <w:r>
              <w:rPr>
                <w:rFonts w:ascii="Calibri" w:cs="Calibri" w:eastAsia="Calibri" w:hAnsi="Calibri"/>
                <w:b w:val="false"/>
                <w:bCs w:val="false"/>
                <w:color w:val="000000"/>
                <w:sz w:val="20"/>
                <w:szCs w:val="20"/>
              </w:rPr>
              <w:t xml:space="preserve">Kharif</w:t>
            </w:r>
          </w:p>
        </w:tc>
      </w:tr>
      <w:tr>
        <w:tc>
          <w:tcPr>
            <w:tcW w:type="dxa" w:w="1800"/>
            <w:vAlign w:val="center"/>
          </w:tcPr>
          <w:p>
            <w:r>
              <w:rPr>
                <w:rFonts w:ascii="Calibri" w:cs="Calibri" w:eastAsia="Calibri" w:hAnsi="Calibri"/>
                <w:b w:val="false"/>
                <w:bCs w:val="false"/>
                <w:color w:val="000000"/>
                <w:sz w:val="20"/>
                <w:szCs w:val="20"/>
              </w:rPr>
              <w:t xml:space="preserve">Avg. profit (INR)</w:t>
            </w:r>
          </w:p>
        </w:tc>
        <w:tc>
          <w:tcPr>
            <w:tcW w:type="dxa" w:w="1800"/>
            <w:vAlign w:val="center"/>
          </w:tcPr>
          <w:p>
            <w:r>
              <w:rPr>
                <w:rFonts w:ascii="Calibri" w:cs="Calibri" w:eastAsia="Calibri" w:hAnsi="Calibri"/>
                <w:b w:val="false"/>
                <w:bCs w:val="false"/>
                <w:color w:val="000000"/>
                <w:sz w:val="20"/>
                <w:szCs w:val="20"/>
              </w:rPr>
              <w:t xml:space="preserve">178,915</w:t>
            </w:r>
          </w:p>
        </w:tc>
        <w:tc>
          <w:tcPr>
            <w:tcW w:type="dxa" w:w="1800"/>
            <w:vAlign w:val="center"/>
          </w:tcPr>
          <w:p>
            <w:r>
              <w:rPr>
                <w:rFonts w:ascii="Calibri" w:cs="Calibri" w:eastAsia="Calibri" w:hAnsi="Calibri"/>
                <w:b w:val="false"/>
                <w:bCs w:val="false"/>
                <w:color w:val="000000"/>
                <w:sz w:val="20"/>
                <w:szCs w:val="20"/>
              </w:rPr>
              <w:t xml:space="preserve">87,689</w:t>
            </w:r>
          </w:p>
        </w:tc>
        <w:tc>
          <w:tcPr>
            <w:tcW w:type="dxa" w:w="1800"/>
            <w:vAlign w:val="center"/>
          </w:tcPr>
          <w:p>
            <w:r>
              <w:rPr>
                <w:rFonts w:ascii="Calibri" w:cs="Calibri" w:eastAsia="Calibri" w:hAnsi="Calibri"/>
                <w:b w:val="false"/>
                <w:bCs w:val="false"/>
                <w:color w:val="000000"/>
                <w:sz w:val="20"/>
                <w:szCs w:val="20"/>
              </w:rPr>
              <w:t xml:space="preserve">-24,805</w:t>
            </w:r>
          </w:p>
        </w:tc>
        <w:tc>
          <w:tcPr>
            <w:tcW w:type="dxa" w:w="1800"/>
            <w:vAlign w:val="center"/>
          </w:tcPr>
          <w:p>
            <w:r>
              <w:rPr>
                <w:rFonts w:ascii="Calibri" w:cs="Calibri" w:eastAsia="Calibri" w:hAnsi="Calibri"/>
                <w:b w:val="false"/>
                <w:bCs w:val="false"/>
                <w:color w:val="000000"/>
                <w:sz w:val="20"/>
                <w:szCs w:val="20"/>
              </w:rPr>
              <w:t xml:space="preserve">Kharif</w:t>
            </w:r>
          </w:p>
        </w:tc>
      </w:tr>
      <w:tr>
        <w:tc>
          <w:tcPr>
            <w:tcW w:type="dxa" w:w="1800"/>
            <w:shd w:fill="F2F2F2" w:val="clear"/>
            <w:vAlign w:val="center"/>
          </w:tcPr>
          <w:p>
            <w:r>
              <w:rPr>
                <w:rFonts w:ascii="Calibri" w:cs="Calibri" w:eastAsia="Calibri" w:hAnsi="Calibri"/>
                <w:b w:val="false"/>
                <w:bCs w:val="false"/>
                <w:color w:val="000000"/>
                <w:sz w:val="20"/>
                <w:szCs w:val="20"/>
              </w:rPr>
              <w:t xml:space="preserve">Avg. water efficiency</w:t>
            </w:r>
          </w:p>
        </w:tc>
        <w:tc>
          <w:tcPr>
            <w:tcW w:type="dxa" w:w="1800"/>
            <w:shd w:fill="F2F2F2" w:val="clear"/>
            <w:vAlign w:val="center"/>
          </w:tcPr>
          <w:p>
            <w:r>
              <w:rPr>
                <w:rFonts w:ascii="Calibri" w:cs="Calibri" w:eastAsia="Calibri" w:hAnsi="Calibri"/>
                <w:b w:val="false"/>
                <w:bCs w:val="false"/>
                <w:color w:val="000000"/>
                <w:sz w:val="20"/>
                <w:szCs w:val="20"/>
              </w:rPr>
              <w:t xml:space="preserve">5.89</w:t>
            </w:r>
          </w:p>
        </w:tc>
        <w:tc>
          <w:tcPr>
            <w:tcW w:type="dxa" w:w="1800"/>
            <w:shd w:fill="F2F2F2" w:val="clear"/>
            <w:vAlign w:val="center"/>
          </w:tcPr>
          <w:p>
            <w:r>
              <w:rPr>
                <w:rFonts w:ascii="Calibri" w:cs="Calibri" w:eastAsia="Calibri" w:hAnsi="Calibri"/>
                <w:b w:val="false"/>
                <w:bCs w:val="false"/>
                <w:color w:val="000000"/>
                <w:sz w:val="20"/>
                <w:szCs w:val="20"/>
              </w:rPr>
              <w:t xml:space="preserve">5.19</w:t>
            </w:r>
          </w:p>
        </w:tc>
        <w:tc>
          <w:tcPr>
            <w:tcW w:type="dxa" w:w="1800"/>
            <w:shd w:fill="F2F2F2" w:val="clear"/>
            <w:vAlign w:val="center"/>
          </w:tcPr>
          <w:p>
            <w:r>
              <w:rPr>
                <w:rFonts w:ascii="Calibri" w:cs="Calibri" w:eastAsia="Calibri" w:hAnsi="Calibri"/>
                <w:b w:val="false"/>
                <w:bCs w:val="false"/>
                <w:color w:val="000000"/>
                <w:sz w:val="20"/>
                <w:szCs w:val="20"/>
              </w:rPr>
              <w:t xml:space="preserve">4.41</w:t>
            </w:r>
          </w:p>
        </w:tc>
        <w:tc>
          <w:tcPr>
            <w:tcW w:type="dxa" w:w="1800"/>
            <w:shd w:fill="F2F2F2" w:val="clear"/>
            <w:vAlign w:val="center"/>
          </w:tcPr>
          <w:p>
            <w:r>
              <w:rPr>
                <w:rFonts w:ascii="Calibri" w:cs="Calibri" w:eastAsia="Calibri" w:hAnsi="Calibri"/>
                <w:b w:val="false"/>
                <w:bCs w:val="false"/>
                <w:color w:val="000000"/>
                <w:sz w:val="20"/>
                <w:szCs w:val="20"/>
              </w:rPr>
              <w:t xml:space="preserve">Kharif</w:t>
            </w:r>
          </w:p>
        </w:tc>
      </w:tr>
      <w:tr>
        <w:tc>
          <w:tcPr>
            <w:tcW w:type="dxa" w:w="1800"/>
            <w:vAlign w:val="center"/>
          </w:tcPr>
          <w:p>
            <w:r>
              <w:rPr>
                <w:rFonts w:ascii="Calibri" w:cs="Calibri" w:eastAsia="Calibri" w:hAnsi="Calibri"/>
                <w:b w:val="false"/>
                <w:bCs w:val="false"/>
                <w:color w:val="000000"/>
                <w:sz w:val="20"/>
                <w:szCs w:val="20"/>
              </w:rPr>
              <w:t xml:space="preserve">Avg. disease/pest risk (%)</w:t>
            </w:r>
          </w:p>
        </w:tc>
        <w:tc>
          <w:tcPr>
            <w:tcW w:type="dxa" w:w="1800"/>
            <w:vAlign w:val="center"/>
          </w:tcPr>
          <w:p>
            <w:r>
              <w:rPr>
                <w:rFonts w:ascii="Calibri" w:cs="Calibri" w:eastAsia="Calibri" w:hAnsi="Calibri"/>
                <w:b w:val="false"/>
                <w:bCs w:val="false"/>
                <w:color w:val="000000"/>
                <w:sz w:val="20"/>
                <w:szCs w:val="20"/>
              </w:rPr>
              <w:t xml:space="preserve">54.47</w:t>
            </w:r>
          </w:p>
        </w:tc>
        <w:tc>
          <w:tcPr>
            <w:tcW w:type="dxa" w:w="1800"/>
            <w:vAlign w:val="center"/>
          </w:tcPr>
          <w:p>
            <w:r>
              <w:rPr>
                <w:rFonts w:ascii="Calibri" w:cs="Calibri" w:eastAsia="Calibri" w:hAnsi="Calibri"/>
                <w:b w:val="false"/>
                <w:bCs w:val="false"/>
                <w:color w:val="000000"/>
                <w:sz w:val="20"/>
                <w:szCs w:val="20"/>
              </w:rPr>
              <w:t xml:space="preserve">40.48</w:t>
            </w:r>
          </w:p>
        </w:tc>
        <w:tc>
          <w:tcPr>
            <w:tcW w:type="dxa" w:w="1800"/>
            <w:vAlign w:val="center"/>
          </w:tcPr>
          <w:p>
            <w:r>
              <w:rPr>
                <w:rFonts w:ascii="Calibri" w:cs="Calibri" w:eastAsia="Calibri" w:hAnsi="Calibri"/>
                <w:b w:val="false"/>
                <w:bCs w:val="false"/>
                <w:color w:val="000000"/>
                <w:sz w:val="20"/>
                <w:szCs w:val="20"/>
              </w:rPr>
              <w:t xml:space="preserve">38.22</w:t>
            </w:r>
          </w:p>
        </w:tc>
        <w:tc>
          <w:tcPr>
            <w:tcW w:type="dxa" w:w="1800"/>
            <w:vAlign w:val="center"/>
          </w:tcPr>
          <w:p>
            <w:r>
              <w:rPr>
                <w:rFonts w:ascii="Calibri" w:cs="Calibri" w:eastAsia="Calibri" w:hAnsi="Calibri"/>
                <w:b w:val="false"/>
                <w:bCs w:val="false"/>
                <w:color w:val="000000"/>
                <w:sz w:val="20"/>
                <w:szCs w:val="20"/>
              </w:rPr>
              <w:t xml:space="preserve">Kharif (highest risk)</w:t>
            </w:r>
          </w:p>
        </w:tc>
      </w:tr>
      <w:tr>
        <w:tc>
          <w:tcPr>
            <w:tcW w:type="dxa" w:w="1800"/>
            <w:shd w:fill="F2F2F2" w:val="clear"/>
            <w:vAlign w:val="center"/>
          </w:tcPr>
          <w:p>
            <w:r>
              <w:rPr>
                <w:rFonts w:ascii="Calibri" w:cs="Calibri" w:eastAsia="Calibri" w:hAnsi="Calibri"/>
                <w:b w:val="false"/>
                <w:bCs w:val="false"/>
                <w:color w:val="000000"/>
                <w:sz w:val="20"/>
                <w:szCs w:val="20"/>
              </w:rPr>
              <w:t xml:space="preserve">Seasonal performance score</w:t>
            </w:r>
          </w:p>
        </w:tc>
        <w:tc>
          <w:tcPr>
            <w:tcW w:type="dxa" w:w="1800"/>
            <w:shd w:fill="F2F2F2" w:val="clear"/>
            <w:vAlign w:val="center"/>
          </w:tcPr>
          <w:p>
            <w:r>
              <w:rPr>
                <w:rFonts w:ascii="Calibri" w:cs="Calibri" w:eastAsia="Calibri" w:hAnsi="Calibri"/>
                <w:b w:val="false"/>
                <w:bCs w:val="false"/>
                <w:color w:val="000000"/>
                <w:sz w:val="20"/>
                <w:szCs w:val="20"/>
              </w:rPr>
              <w:t xml:space="preserve">0.8</w:t>
            </w:r>
          </w:p>
        </w:tc>
        <w:tc>
          <w:tcPr>
            <w:tcW w:type="dxa" w:w="1800"/>
            <w:shd w:fill="F2F2F2" w:val="clear"/>
            <w:vAlign w:val="center"/>
          </w:tcPr>
          <w:p>
            <w:r>
              <w:rPr>
                <w:rFonts w:ascii="Calibri" w:cs="Calibri" w:eastAsia="Calibri" w:hAnsi="Calibri"/>
                <w:b w:val="false"/>
                <w:bCs w:val="false"/>
                <w:color w:val="000000"/>
                <w:sz w:val="20"/>
                <w:szCs w:val="20"/>
              </w:rPr>
              <w:t xml:space="preserve">0.583</w:t>
            </w:r>
          </w:p>
        </w:tc>
        <w:tc>
          <w:tcPr>
            <w:tcW w:type="dxa" w:w="1800"/>
            <w:shd w:fill="F2F2F2" w:val="clear"/>
            <w:vAlign w:val="center"/>
          </w:tcPr>
          <w:p>
            <w:r>
              <w:rPr>
                <w:rFonts w:ascii="Calibri" w:cs="Calibri" w:eastAsia="Calibri" w:hAnsi="Calibri"/>
                <w:b w:val="false"/>
                <w:bCs w:val="false"/>
                <w:color w:val="000000"/>
                <w:sz w:val="20"/>
                <w:szCs w:val="20"/>
              </w:rPr>
              <w:t xml:space="preserve">0.2</w:t>
            </w:r>
          </w:p>
        </w:tc>
        <w:tc>
          <w:tcPr>
            <w:tcW w:type="dxa" w:w="1800"/>
            <w:shd w:fill="F2F2F2" w:val="clear"/>
            <w:vAlign w:val="center"/>
          </w:tcPr>
          <w:p>
            <w:r>
              <w:rPr>
                <w:rFonts w:ascii="Calibri" w:cs="Calibri" w:eastAsia="Calibri" w:hAnsi="Calibri"/>
                <w:b w:val="false"/>
                <w:bCs w:val="false"/>
                <w:color w:val="000000"/>
                <w:sz w:val="20"/>
                <w:szCs w:val="20"/>
              </w:rPr>
              <w:t xml:space="preserve">Kharif</w:t>
            </w:r>
          </w:p>
        </w:tc>
      </w:tr>
    </w:tbl>
    <w:p>
      <w:pPr>
        <w:pStyle w:val="Heading1"/>
        <w:spacing w:after="150" w:before="300"/>
      </w:pPr>
      <w:r>
        <w:t xml:space="preserve">22. Conclusions</w:t>
      </w:r>
    </w:p>
    <w:p>
      <w:pPr>
        <w:spacing w:after="160"/>
        <w:jc w:val="left"/>
      </w:pPr>
      <w:r>
        <w:rPr>
          <w:rFonts w:ascii="Calibri" w:cs="Calibri" w:eastAsia="Calibri" w:hAnsi="Calibri"/>
          <w:b w:val="false"/>
          <w:bCs w:val="false"/>
          <w:i w:val="false"/>
          <w:iCs w:val="false"/>
          <w:sz w:val="22"/>
          <w:szCs w:val="22"/>
        </w:rPr>
        <w:t xml:space="preserve">Yield, profit, water efficiency and disease/pest risk all differ measurably and statistically significantly across Kharif, Rabi and Zaid. However, the size of these differences is generally modest once crop mix is accounted for, and crop choice remains the single largest driver of yield and profit outcomes in this dataset. Kharif — the monsoon season — combines the highest rainfall, highest average yield and highest average profit, but also the highest disease/pest risk, reflecting a genuine trade-off rather than one season being unambiguously "best" on every dimension. Zaid is the weakest season economically, with the highest share of loss-making farms. Environmental and resource-usage variables show only weak individual correlations with outcomes; crop selection, not small variations in weather or input levels, is the dominant factor behind performance differences in this dataset.</w:t>
      </w:r>
    </w:p>
    <w:p>
      <w:pPr>
        <w:pStyle w:val="Heading1"/>
        <w:spacing w:after="150" w:before="300"/>
      </w:pPr>
      <w:r>
        <w:t xml:space="preserve">23. Recommendations</w:t>
      </w:r>
    </w:p>
    <w:p>
      <w:pPr>
        <w:pStyle w:val="ListParagraph"/>
        <w:numPr>
          <w:ilvl w:val="0"/>
          <w:numId w:val="1"/>
        </w:numPr>
        <w:spacing w:after="80"/>
      </w:pPr>
      <w:r>
        <w:rPr>
          <w:rFonts w:ascii="Calibri" w:cs="Calibri" w:eastAsia="Calibri" w:hAnsi="Calibri"/>
          <w:sz w:val="22"/>
          <w:szCs w:val="22"/>
        </w:rPr>
        <w:t xml:space="preserve">Give crop-specific seasonal guidance using the Season x Crop tables (Section 9) rather than one blanket recommendation for 'the best season', since crop choice drives most of the outcome difference.</w:t>
      </w:r>
    </w:p>
    <w:p>
      <w:pPr>
        <w:pStyle w:val="ListParagraph"/>
        <w:numPr>
          <w:ilvl w:val="0"/>
          <w:numId w:val="1"/>
        </w:numPr>
        <w:spacing w:after="80"/>
      </w:pPr>
      <w:r>
        <w:rPr>
          <w:rFonts w:ascii="Calibri" w:cs="Calibri" w:eastAsia="Calibri" w:hAnsi="Calibri"/>
          <w:sz w:val="22"/>
          <w:szCs w:val="22"/>
        </w:rPr>
        <w:t xml:space="preserve">Intensify disease/pest monitoring during Kharif, the season with the highest humidity and disease/pest risk, rather than applying uniform monitoring year-round.</w:t>
      </w:r>
    </w:p>
    <w:p>
      <w:pPr>
        <w:pStyle w:val="ListParagraph"/>
        <w:numPr>
          <w:ilvl w:val="0"/>
          <w:numId w:val="1"/>
        </w:numPr>
        <w:spacing w:after="80"/>
      </w:pPr>
      <w:r>
        <w:rPr>
          <w:rFonts w:ascii="Calibri" w:cs="Calibri" w:eastAsia="Calibri" w:hAnsi="Calibri"/>
          <w:sz w:val="22"/>
          <w:szCs w:val="22"/>
        </w:rPr>
        <w:t xml:space="preserve">Review irrigation method choice against the water-efficiency comparison (Section 13) in water-constrained regions, since irrigation method is significantly associated with water efficiency.</w:t>
      </w:r>
    </w:p>
    <w:p>
      <w:pPr>
        <w:pStyle w:val="ListParagraph"/>
        <w:numPr>
          <w:ilvl w:val="0"/>
          <w:numId w:val="1"/>
        </w:numPr>
        <w:spacing w:after="80"/>
      </w:pPr>
      <w:r>
        <w:rPr>
          <w:rFonts w:ascii="Calibri" w:cs="Calibri" w:eastAsia="Calibri" w:hAnsi="Calibri"/>
          <w:sz w:val="22"/>
          <w:szCs w:val="22"/>
        </w:rPr>
        <w:t xml:space="preserve">Prioritize cost review for the lowest-profit season-crop combinations identified in Section 9, since 49.15% of all records operate at a loss.</w:t>
      </w:r>
    </w:p>
    <w:p>
      <w:pPr>
        <w:pStyle w:val="ListParagraph"/>
        <w:numPr>
          <w:ilvl w:val="0"/>
          <w:numId w:val="1"/>
        </w:numPr>
        <w:spacing w:after="80"/>
      </w:pPr>
      <w:r>
        <w:rPr>
          <w:rFonts w:ascii="Calibri" w:cs="Calibri" w:eastAsia="Calibri" w:hAnsi="Calibri"/>
          <w:sz w:val="22"/>
          <w:szCs w:val="22"/>
        </w:rPr>
        <w:t xml:space="preserve">Treat fertilizer/pesticide increases cautiously — resource usage correlates only weakly with yield, profit or reduced risk in this dataset, so input efficiency is a more defensible target than raw usage volume.</w:t>
      </w:r>
    </w:p>
    <w:p>
      <w:pPr>
        <w:pStyle w:val="Heading1"/>
        <w:spacing w:after="150" w:before="300"/>
      </w:pPr>
      <w:r>
        <w:t xml:space="preserve">24. Limitations</w:t>
      </w:r>
    </w:p>
    <w:p>
      <w:pPr>
        <w:pStyle w:val="ListParagraph"/>
        <w:numPr>
          <w:ilvl w:val="0"/>
          <w:numId w:val="1"/>
        </w:numPr>
        <w:spacing w:after="80"/>
      </w:pPr>
      <w:r>
        <w:rPr>
          <w:rFonts w:ascii="Calibri" w:cs="Calibri" w:eastAsia="Calibri" w:hAnsi="Calibri"/>
          <w:sz w:val="22"/>
          <w:szCs w:val="22"/>
        </w:rPr>
        <w:t xml:space="preserve">Observational, not experimental data — none of the relationships reported (e.g. rainfall-yield, humidity-disease risk) can be interpreted as causal.</w:t>
      </w:r>
    </w:p>
    <w:p>
      <w:pPr>
        <w:pStyle w:val="ListParagraph"/>
        <w:numPr>
          <w:ilvl w:val="0"/>
          <w:numId w:val="1"/>
        </w:numPr>
        <w:spacing w:after="80"/>
      </w:pPr>
      <w:r>
        <w:rPr>
          <w:rFonts w:ascii="Calibri" w:cs="Calibri" w:eastAsia="Calibri" w:hAnsi="Calibri"/>
          <w:sz w:val="22"/>
          <w:szCs w:val="22"/>
        </w:rPr>
        <w:t xml:space="preserve">The State-District field does not form a true geographic hierarchy, so regional analysis is reported at the State level only.</w:t>
      </w:r>
    </w:p>
    <w:p>
      <w:pPr>
        <w:pStyle w:val="ListParagraph"/>
        <w:numPr>
          <w:ilvl w:val="0"/>
          <w:numId w:val="1"/>
        </w:numPr>
        <w:spacing w:after="80"/>
      </w:pPr>
      <w:r>
        <w:rPr>
          <w:rFonts w:ascii="Calibri" w:cs="Calibri" w:eastAsia="Calibri" w:hAnsi="Calibri"/>
          <w:sz w:val="22"/>
          <w:szCs w:val="22"/>
        </w:rPr>
        <w:t xml:space="preserve">Crop mix differs somewhat across seasons; season-level averages partly reflect which crops are grown in that season (addressed via Season x Crop breakdowns).</w:t>
      </w:r>
    </w:p>
    <w:p>
      <w:pPr>
        <w:pStyle w:val="ListParagraph"/>
        <w:numPr>
          <w:ilvl w:val="0"/>
          <w:numId w:val="1"/>
        </w:numPr>
        <w:spacing w:after="80"/>
      </w:pPr>
      <w:r>
        <w:rPr>
          <w:rFonts w:ascii="Calibri" w:cs="Calibri" w:eastAsia="Calibri" w:hAnsi="Calibri"/>
          <w:sz w:val="22"/>
          <w:szCs w:val="22"/>
        </w:rPr>
        <w:t xml:space="preserve">A single snapshot per farm per season — year-to-year variability within a season cannot be assessed.</w:t>
      </w:r>
    </w:p>
    <w:p>
      <w:pPr>
        <w:pStyle w:val="ListParagraph"/>
        <w:numPr>
          <w:ilvl w:val="0"/>
          <w:numId w:val="1"/>
        </w:numPr>
        <w:spacing w:after="80"/>
      </w:pPr>
      <w:r>
        <w:rPr>
          <w:rFonts w:ascii="Calibri" w:cs="Calibri" w:eastAsia="Calibri" w:hAnsi="Calibri"/>
          <w:sz w:val="22"/>
          <w:szCs w:val="22"/>
        </w:rPr>
        <w:t xml:space="preserve">The yield regression's low R-squared indicates unobserved factors (exact practices, pest incidents, soil type beyond pH/moisture) likely matter more than what this dataset captures.</w:t>
      </w:r>
    </w:p>
    <w:p>
      <w:pPr>
        <w:pStyle w:val="ListParagraph"/>
        <w:numPr>
          <w:ilvl w:val="0"/>
          <w:numId w:val="1"/>
        </w:numPr>
        <w:spacing w:after="80"/>
      </w:pPr>
      <w:r>
        <w:rPr>
          <w:rFonts w:ascii="Calibri" w:cs="Calibri" w:eastAsia="Calibri" w:hAnsi="Calibri"/>
          <w:sz w:val="22"/>
          <w:szCs w:val="22"/>
        </w:rPr>
        <w:t xml:space="preserve">Three numeric columns with under 1.5% missingness were median-imputed; this is a documented estimate, not an observed value, for those records.</w:t>
      </w:r>
    </w:p>
    <w:p>
      <w:pPr>
        <w:pStyle w:val="Heading1"/>
        <w:spacing w:after="150" w:before="300"/>
      </w:pPr>
      <w:r>
        <w:t xml:space="preserve">25. Future Scope</w:t>
      </w:r>
    </w:p>
    <w:p>
      <w:pPr>
        <w:pStyle w:val="ListParagraph"/>
        <w:numPr>
          <w:ilvl w:val="0"/>
          <w:numId w:val="1"/>
        </w:numPr>
        <w:spacing w:after="80"/>
      </w:pPr>
      <w:r>
        <w:rPr>
          <w:rFonts w:ascii="Calibri" w:cs="Calibri" w:eastAsia="Calibri" w:hAnsi="Calibri"/>
          <w:sz w:val="22"/>
          <w:szCs w:val="22"/>
        </w:rPr>
        <w:t xml:space="preserve">Extend the dataset to a multi-year panel to separate season effects from year-to-year weather variability.</w:t>
      </w:r>
    </w:p>
    <w:p>
      <w:pPr>
        <w:pStyle w:val="ListParagraph"/>
        <w:numPr>
          <w:ilvl w:val="0"/>
          <w:numId w:val="1"/>
        </w:numPr>
        <w:spacing w:after="80"/>
      </w:pPr>
      <w:r>
        <w:rPr>
          <w:rFonts w:ascii="Calibri" w:cs="Calibri" w:eastAsia="Calibri" w:hAnsi="Calibri"/>
          <w:sz w:val="22"/>
          <w:szCs w:val="22"/>
        </w:rPr>
        <w:t xml:space="preserve">Collect a verified State-District geographic mapping to enable true district-level regional analysis.</w:t>
      </w:r>
    </w:p>
    <w:p>
      <w:pPr>
        <w:pStyle w:val="ListParagraph"/>
        <w:numPr>
          <w:ilvl w:val="0"/>
          <w:numId w:val="1"/>
        </w:numPr>
        <w:spacing w:after="80"/>
      </w:pPr>
      <w:r>
        <w:rPr>
          <w:rFonts w:ascii="Calibri" w:cs="Calibri" w:eastAsia="Calibri" w:hAnsi="Calibri"/>
          <w:sz w:val="22"/>
          <w:szCs w:val="22"/>
        </w:rPr>
        <w:t xml:space="preserve">Capture additional agronomic variables (soil type, sowing date, pest incident records) to improve the explanatory power of yield models.</w:t>
      </w:r>
    </w:p>
    <w:p>
      <w:pPr>
        <w:pStyle w:val="ListParagraph"/>
        <w:numPr>
          <w:ilvl w:val="0"/>
          <w:numId w:val="1"/>
        </w:numPr>
        <w:spacing w:after="80"/>
      </w:pPr>
      <w:r>
        <w:rPr>
          <w:rFonts w:ascii="Calibri" w:cs="Calibri" w:eastAsia="Calibri" w:hAnsi="Calibri"/>
          <w:sz w:val="22"/>
          <w:szCs w:val="22"/>
        </w:rPr>
        <w:t xml:space="preserve">Apply crop-specific regression or machine-learning models instead of a single pooled model, given how strongly yield scale differs by crop.</w:t>
      </w:r>
    </w:p>
    <w:p>
      <w:pPr>
        <w:pStyle w:val="Heading1"/>
        <w:spacing w:after="150" w:before="300"/>
      </w:pPr>
      <w:r>
        <w:t xml:space="preserve">26. References</w:t>
      </w:r>
    </w:p>
    <w:p>
      <w:pPr>
        <w:pStyle w:val="ListParagraph"/>
        <w:numPr>
          <w:ilvl w:val="0"/>
          <w:numId w:val="1"/>
        </w:numPr>
        <w:spacing w:after="80"/>
      </w:pPr>
      <w:r>
        <w:rPr>
          <w:rFonts w:ascii="Calibri" w:cs="Calibri" w:eastAsia="Calibri" w:hAnsi="Calibri"/>
          <w:sz w:val="22"/>
          <w:szCs w:val="22"/>
        </w:rPr>
        <w:t xml:space="preserve">Dataset: seasonal_agriculture_performance_dataset.xlsx (provided as part of the VOIS AICTE Batch 1 2026-2027 Major Project brief).</w:t>
      </w:r>
    </w:p>
    <w:p>
      <w:pPr>
        <w:pStyle w:val="ListParagraph"/>
        <w:numPr>
          <w:ilvl w:val="0"/>
          <w:numId w:val="1"/>
        </w:numPr>
        <w:spacing w:after="80"/>
      </w:pPr>
      <w:r>
        <w:rPr>
          <w:rFonts w:ascii="Calibri" w:cs="Calibri" w:eastAsia="Calibri" w:hAnsi="Calibri"/>
          <w:sz w:val="22"/>
          <w:szCs w:val="22"/>
        </w:rPr>
        <w:t xml:space="preserve">Project brief: VOIS AICTE Batch1 2026-2027 - Major Project: Seasonal Agriculture Performance Analysis (provided PDF).</w:t>
      </w:r>
    </w:p>
    <w:p>
      <w:pPr>
        <w:pStyle w:val="ListParagraph"/>
        <w:numPr>
          <w:ilvl w:val="0"/>
          <w:numId w:val="1"/>
        </w:numPr>
        <w:spacing w:after="80"/>
      </w:pPr>
      <w:r>
        <w:rPr>
          <w:rFonts w:ascii="Calibri" w:cs="Calibri" w:eastAsia="Calibri" w:hAnsi="Calibri"/>
          <w:sz w:val="22"/>
          <w:szCs w:val="22"/>
        </w:rPr>
        <w:t xml:space="preserve">Python libraries used: pandas, numpy, matplotlib, seaborn, scipy, scikit-learn.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a59b875f59fefb10107a98a0404e3c781fd8dd.png"/><Relationship Id="rId8" Type="http://schemas.openxmlformats.org/officeDocument/2006/relationships/image" Target="media/d7d5a0ad4fd7e81fba78978be33b5162af237e04.png"/><Relationship Id="rId9" Type="http://schemas.openxmlformats.org/officeDocument/2006/relationships/image" Target="media/5cb5566e72e2f416b4214f1d174443178b3d12bf.png"/><Relationship Id="rId10" Type="http://schemas.openxmlformats.org/officeDocument/2006/relationships/image" Target="media/f537d94fcc03babb8145e18fedfdbb6ad9bbd2eb.png"/><Relationship Id="rId11" Type="http://schemas.openxmlformats.org/officeDocument/2006/relationships/image" Target="media/9e2a0f0d01291a7c3780d9246952c34e709f90ac.png"/><Relationship Id="rId12" Type="http://schemas.openxmlformats.org/officeDocument/2006/relationships/image" Target="media/f8464e987b257934612cd377e6253b34b1cf6b9a.png"/><Relationship Id="rId13" Type="http://schemas.openxmlformats.org/officeDocument/2006/relationships/image" Target="media/f2560250900183418f9a3f3021a863c3fef84f46.png"/><Relationship Id="rId14" Type="http://schemas.openxmlformats.org/officeDocument/2006/relationships/image" Target="media/6dfc0ed4a1f72210771baa07582c83aea36fa6d2.png"/><Relationship Id="rId15" Type="http://schemas.openxmlformats.org/officeDocument/2006/relationships/image" Target="media/fa31f5fc989567e14717159b7881d26cfc2954b7.png"/><Relationship Id="rId16" Type="http://schemas.openxmlformats.org/officeDocument/2006/relationships/image" Target="media/27d15f42136fcbc6a6e6d5899fec0b23e92c511c.png"/><Relationship Id="rId17" Type="http://schemas.openxmlformats.org/officeDocument/2006/relationships/image" Target="media/c0101bcff32437da026fd03ba431f361650f95d2.png"/><Relationship Id="rId18" Type="http://schemas.openxmlformats.org/officeDocument/2006/relationships/image" Target="media/3fa4b428bf05c713f0c06ba362e4e5e10b821d96.png"/><Relationship Id="rId19" Type="http://schemas.openxmlformats.org/officeDocument/2006/relationships/image" Target="media/74242c02d143c25d1c1d842afe554c6ec4b618cf.png"/><Relationship Id="rId20" Type="http://schemas.openxmlformats.org/officeDocument/2006/relationships/image" Target="media/c9a3d7fd7d4ff573487a0a6f238509b80869eee9.png"/><Relationship Id="rId21" Type="http://schemas.openxmlformats.org/officeDocument/2006/relationships/image" Target="media/f1ba3355389c01567685df3ab200feec3e8e3c9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2026-09-06T04:55:18.334Z</dcterms:created>
  <dcterms:modified xsi:type="dcterms:W3CDTF">2026-09-06T04:55:18.334Z</dcterms:modified>
</cp:coreProperties>
</file>

<file path=docProps/custom.xml><?xml version="1.0" encoding="utf-8"?>
<Properties xmlns="http://schemas.openxmlformats.org/officeDocument/2006/custom-properties" xmlns:vt="http://schemas.openxmlformats.org/officeDocument/2006/docPropsVTypes"/>
</file>