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48"/>
          <w:szCs w:val="48"/>
        </w:rPr>
        <w:t xml:space="preserve">Clinical Expert Knowledge Capture Toolkit</w:t>
      </w:r>
    </w:p>
    <w:p>
      <w:pPr>
        <w:spacing w:before="200"/>
        <w:jc w:val="center"/>
      </w:pPr>
      <w:r>
        <w:rPr>
          <w:rFonts w:ascii="Arial" w:cs="Arial" w:eastAsia="Arial" w:hAnsi="Arial"/>
          <w:color w:val="2E86C1"/>
          <w:sz w:val="28"/>
          <w:szCs w:val="28"/>
        </w:rPr>
        <w:t xml:space="preserve">Efficient Techniques for Capturing Clinical Expertise</w:t>
      </w:r>
    </w:p>
    <w:p>
      <w:pPr>
        <w:spacing w:before="100"/>
        <w:jc w:val="center"/>
      </w:pPr>
      <w:r>
        <w:rPr>
          <w:rFonts w:ascii="Arial" w:cs="Arial" w:eastAsia="Arial" w:hAnsi="Arial"/>
          <w:color w:val="2E86C1"/>
          <w:sz w:val="28"/>
          <w:szCs w:val="28"/>
        </w:rPr>
        <w:t xml:space="preserve">for AI-Ready Synthetic Dataset Generation</w:t>
      </w:r>
    </w:p>
    <w:p>
      <w:pPr>
        <w:pBdr>
          <w:bottom w:val="single" w:color="2E86C1" w:sz="6" w:space="8"/>
        </w:pBdr>
        <w:spacing w:before="600"/>
        <w:jc w:val="center"/>
      </w:pPr>
    </w:p>
    <w:p>
      <w:pPr>
        <w:spacing w:before="400"/>
        <w:jc w:val="center"/>
      </w:pPr>
      <w:r>
        <w:rPr>
          <w:rFonts w:ascii="Arial" w:cs="Arial" w:eastAsia="Arial" w:hAnsi="Arial"/>
          <w:b/>
          <w:bCs/>
          <w:sz w:val="24"/>
          <w:szCs w:val="24"/>
        </w:rPr>
        <w:t xml:space="preserve">Prof Muthu Ramachandran</w:t>
      </w:r>
    </w:p>
    <w:p>
      <w:pPr>
        <w:spacing w:before="100"/>
        <w:jc w:val="center"/>
      </w:pPr>
      <w:r>
        <w:rPr>
          <w:rFonts w:ascii="Arial" w:cs="Arial" w:eastAsia="Arial" w:hAnsi="Arial"/>
          <w:color w:val="555555"/>
          <w:sz w:val="22"/>
          <w:szCs w:val="22"/>
        </w:rPr>
        <w:t xml:space="preserve">Forti5 Technologies</w:t>
      </w:r>
    </w:p>
    <w:p>
      <w:pPr>
        <w:spacing w:before="100"/>
        <w:jc w:val="center"/>
      </w:pPr>
      <w:r>
        <w:rPr>
          <w:rFonts w:ascii="Arial" w:cs="Arial" w:eastAsia="Arial" w:hAnsi="Arial"/>
          <w:color w:val="555555"/>
          <w:sz w:val="22"/>
          <w:szCs w:val="22"/>
        </w:rPr>
        <w:t xml:space="preserve">February 2026</w:t>
      </w:r>
    </w:p>
    <w:p>
      <w:r>
        <w:br w:type="page"/>
      </w:r>
    </w:p>
    <w:p>
      <w:pPr>
        <w:pStyle w:val="Heading1"/>
      </w:pPr>
      <w:r>
        <w:t xml:space="preserve">1. The Challenge: Why Traditional Dataset Collection Fails</w:t>
      </w:r>
    </w:p>
    <w:p>
      <w:pPr>
        <w:spacing w:after="120"/>
      </w:pPr>
      <w:r>
        <w:rPr>
          <w:rFonts w:ascii="Arial" w:cs="Arial" w:eastAsia="Arial" w:hAnsi="Arial"/>
          <w:sz w:val="22"/>
          <w:szCs w:val="22"/>
        </w:rPr>
        <w:t xml:space="preserve">Healthcare AI research faces a fundamental data access paradox: the clinical expertise needed to build meaningful prediction models resides with busy professionals who operate under strict data governance constraints. Traditional approaches of collecting structured spreadsheet datasets from clinicians fail for three interconnected reasons:</w:t>
      </w:r>
    </w:p>
    <w:p>
      <w:pPr>
        <w:pStyle w:val="ListParagraph"/>
        <w:numPr>
          <w:ilvl w:val="0"/>
          <w:numId w:val="2"/>
        </w:numPr>
      </w:pPr>
      <w:r>
        <w:rPr>
          <w:rFonts w:ascii="Arial" w:cs="Arial" w:eastAsia="Arial" w:hAnsi="Arial"/>
          <w:b/>
          <w:bCs/>
          <w:sz w:val="22"/>
          <w:szCs w:val="22"/>
        </w:rPr>
        <w:t xml:space="preserve">Regulatory and ethical barriers: </w:t>
      </w:r>
      <w:r>
        <w:rPr>
          <w:rFonts w:ascii="Arial" w:cs="Arial" w:eastAsia="Arial" w:hAnsi="Arial"/>
          <w:sz w:val="22"/>
          <w:szCs w:val="22"/>
        </w:rPr>
        <w:t xml:space="preserve">Real patient data requires ethics approval, data sharing agreements, anonymisation protocols, and GDPR/Caldicott compliance. This process alone can take 6-12 months.</w:t>
      </w:r>
    </w:p>
    <w:p>
      <w:pPr>
        <w:pStyle w:val="ListParagraph"/>
        <w:numPr>
          <w:ilvl w:val="0"/>
          <w:numId w:val="2"/>
        </w:numPr>
      </w:pPr>
      <w:r>
        <w:rPr>
          <w:rFonts w:ascii="Arial" w:cs="Arial" w:eastAsia="Arial" w:hAnsi="Arial"/>
          <w:b/>
          <w:bCs/>
          <w:sz w:val="22"/>
          <w:szCs w:val="22"/>
        </w:rPr>
        <w:t xml:space="preserve">Clinical time scarcity: </w:t>
      </w:r>
      <w:r>
        <w:rPr>
          <w:rFonts w:ascii="Arial" w:cs="Arial" w:eastAsia="Arial" w:hAnsi="Arial"/>
          <w:sz w:val="22"/>
          <w:szCs w:val="22"/>
        </w:rPr>
        <w:t xml:space="preserve">Consultants and specialists have extremely limited time. Asking them to populate spreadsheets row by row is cognitively demanding and feels unnatural compared to how they actually think about clinical problems.</w:t>
      </w:r>
    </w:p>
    <w:p>
      <w:pPr>
        <w:pStyle w:val="ListParagraph"/>
        <w:numPr>
          <w:ilvl w:val="0"/>
          <w:numId w:val="2"/>
        </w:numPr>
        <w:spacing w:after="200"/>
      </w:pPr>
      <w:r>
        <w:rPr>
          <w:rFonts w:ascii="Arial" w:cs="Arial" w:eastAsia="Arial" w:hAnsi="Arial"/>
          <w:b/>
          <w:bCs/>
          <w:sz w:val="22"/>
          <w:szCs w:val="22"/>
        </w:rPr>
        <w:t xml:space="preserve">Mismatch between clinical reasoning and tabular formats: </w:t>
      </w:r>
      <w:r>
        <w:rPr>
          <w:rFonts w:ascii="Arial" w:cs="Arial" w:eastAsia="Arial" w:hAnsi="Arial"/>
          <w:sz w:val="22"/>
          <w:szCs w:val="22"/>
        </w:rPr>
        <w:t xml:space="preserve">Clinicians think in patterns, pathways, and decision trees — not in rows and columns. Their knowledge is associative and conditional, not flat and tabular.</w:t>
      </w:r>
    </w:p>
    <w:p>
      <w:pPr>
        <w:spacing w:after="200"/>
      </w:pPr>
      <w:r>
        <w:rPr>
          <w:rFonts w:ascii="Arial" w:cs="Arial" w:eastAsia="Arial" w:hAnsi="Arial"/>
          <w:sz w:val="22"/>
          <w:szCs w:val="22"/>
        </w:rPr>
        <w:t xml:space="preserve">The solution is to capture clinical expertise using tools that align with how clinicians naturally reason, then systematically transform that captured knowledge into synthetic datasets that faithfully reflect real-world clinical patterns for AI experimental work.</w:t>
      </w:r>
    </w:p>
    <w:p>
      <w:pPr>
        <w:pStyle w:val="Heading1"/>
      </w:pPr>
      <w:r>
        <w:t xml:space="preserve">2. Knowledge Capture Techniques: A Ranked Toolkit</w:t>
      </w:r>
    </w:p>
    <w:p>
      <w:pPr>
        <w:spacing w:after="200"/>
      </w:pPr>
      <w:r>
        <w:rPr>
          <w:rFonts w:ascii="Arial" w:cs="Arial" w:eastAsia="Arial" w:hAnsi="Arial"/>
          <w:sz w:val="22"/>
          <w:szCs w:val="22"/>
        </w:rPr>
        <w:t xml:space="preserve">The following techniques are ranked by efficiency (minimal clinician time) and richness (quality of knowledge captured). The recommended approach combines two or three of these depending on the number and availability of clinical experts.</w:t>
      </w:r>
    </w:p>
    <w:p>
      <w:pPr>
        <w:pStyle w:val="Heading2"/>
      </w:pPr>
      <w:r>
        <w:t xml:space="preserve">2.1 Clinical Decision Maps (Recommended Primary Tool)</w:t>
      </w:r>
    </w:p>
    <w:p>
      <w:pPr>
        <w:spacing w:after="120"/>
      </w:pPr>
      <w:r>
        <w:rPr>
          <w:rFonts w:ascii="Arial" w:cs="Arial" w:eastAsia="Arial" w:hAnsi="Arial"/>
          <w:b/>
          <w:bCs/>
          <w:sz w:val="22"/>
          <w:szCs w:val="22"/>
        </w:rPr>
        <w:t xml:space="preserve">Time required: </w:t>
      </w:r>
      <w:r>
        <w:rPr>
          <w:rFonts w:ascii="Arial" w:cs="Arial" w:eastAsia="Arial" w:hAnsi="Arial"/>
          <w:sz w:val="22"/>
          <w:szCs w:val="22"/>
        </w:rPr>
        <w:t xml:space="preserve">20–30 minutes per condition/scenario</w:t>
      </w:r>
    </w:p>
    <w:p>
      <w:pPr>
        <w:spacing w:after="120"/>
      </w:pPr>
      <w:r>
        <w:rPr>
          <w:rFonts w:ascii="Arial" w:cs="Arial" w:eastAsia="Arial" w:hAnsi="Arial"/>
          <w:sz w:val="22"/>
          <w:szCs w:val="22"/>
        </w:rPr>
        <w:t xml:space="preserve">This is an enhanced mind map specifically designed for clinical knowledge extraction. Unlike standard mind maps, Clinical Decision Maps use a structured four-branch architecture that directly maps to dataset columns. The clinician draws from a central condition outward through four mandatory branches: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Capture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Prompt for Clinician</w:t>
            </w:r>
          </w:p>
        </w:tc>
        <w:tc>
          <w:tcPr>
            <w:tcW w:type="dxa" w:w="250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 Dataset Column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i w:val="false"/>
                <w:iCs w:val="false"/>
                <w:sz w:val="20"/>
                <w:szCs w:val="20"/>
              </w:rPr>
              <w:t xml:space="preserve">1. Presenting Symptoms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Primary and secondary symptoms, severity indicators, duration, onset patterns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iCs/>
                <w:sz w:val="20"/>
                <w:szCs w:val="20"/>
              </w:rPr>
              <w:t xml:space="preserve">"What symptoms does the patient typically present with?"</w:t>
            </w:r>
          </w:p>
        </w:tc>
        <w:tc>
          <w:tcPr>
            <w:tcW w:type="dxa" w:w="25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Symptom columns (e.g. haematuria, frequency, pain_score, nocturia)</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i w:val="false"/>
                <w:iCs w:val="false"/>
                <w:sz w:val="20"/>
                <w:szCs w:val="20"/>
              </w:rPr>
              <w:t xml:space="preserve">2. Clinical Assessment</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Diagnostic tests ordered, clinical findings, risk factors, patient demographics that influence diagnosis</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i/>
                <w:iCs/>
                <w:sz w:val="20"/>
                <w:szCs w:val="20"/>
              </w:rPr>
              <w:t xml:space="preserve">"What investigations do you order and what findings confirm the diagnosis?"</w:t>
            </w:r>
          </w:p>
        </w:tc>
        <w:tc>
          <w:tcPr>
            <w:tcW w:type="dxa" w:w="250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Test result columns (e.g. PSA_level, ultrasound_finding, DRE_result, eGFR)</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i w:val="false"/>
                <w:iCs w:val="false"/>
                <w:sz w:val="20"/>
                <w:szCs w:val="20"/>
              </w:rPr>
              <w:t xml:space="preserve">3. Diagnosis and Staging</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Primary diagnosis, differential diagnoses, staging/grading, confidence level</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i/>
                <w:iCs/>
                <w:sz w:val="20"/>
                <w:szCs w:val="20"/>
              </w:rPr>
              <w:t xml:space="preserve">"What diagnosis do you reach and how certain are you?"</w:t>
            </w:r>
          </w:p>
        </w:tc>
        <w:tc>
          <w:tcPr>
            <w:tcW w:type="dxa" w:w="250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Diagnosis column, stage/grade columns, differential_diagnosis</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i w:val="false"/>
                <w:iCs w:val="false"/>
                <w:sz w:val="20"/>
                <w:szCs w:val="20"/>
              </w:rPr>
              <w:t xml:space="preserve">4. Treatment and Outcomes</w:t>
            </w:r>
          </w:p>
        </w:tc>
        <w:tc>
          <w:tcPr>
            <w:tcW w:type="dxa" w:w="2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First-line treatment, alternatives, success rates, follow-up indicators, prognostic factors</w:t>
            </w:r>
          </w:p>
        </w:tc>
        <w:tc>
          <w:tcPr>
            <w:tcW w:type="dxa" w:w="2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i/>
                <w:iCs/>
                <w:sz w:val="20"/>
                <w:szCs w:val="20"/>
              </w:rPr>
              <w:t xml:space="preserve">"What treatment do you choose, what works, and what predicts good outcome?"</w:t>
            </w:r>
          </w:p>
        </w:tc>
        <w:tc>
          <w:tcPr>
            <w:tcW w:type="dxa" w:w="2506"/>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Treatment columns, outcome columns, success_factor columns</w:t>
            </w:r>
          </w:p>
        </w:tc>
      </w:tr>
    </w:tbl>
    <w:p>
      <w:pPr>
        <w:spacing w:before="200" w:after="120"/>
      </w:pPr>
      <w:r>
        <w:rPr>
          <w:rFonts w:ascii="Arial" w:cs="Arial" w:eastAsia="Arial" w:hAnsi="Arial"/>
          <w:b/>
          <w:bCs/>
          <w:sz w:val="22"/>
          <w:szCs w:val="22"/>
        </w:rPr>
        <w:t xml:space="preserve">Tool recommendations: </w:t>
      </w:r>
      <w:r>
        <w:rPr>
          <w:rFonts w:ascii="Arial" w:cs="Arial" w:eastAsia="Arial" w:hAnsi="Arial"/>
          <w:sz w:val="22"/>
          <w:szCs w:val="22"/>
        </w:rPr>
        <w:t xml:space="preserve">Use simple drawing tools the clinician is comfortable with. Paper and pen works perfectly for in-person sessions. For remote sessions, use Miro, MindMeister, or even PowerPoint with shapes. The key is minimal friction — the clinician should be drawing and talking, not learning software.</w:t>
      </w:r>
    </w:p>
    <w:p>
      <w:pPr>
        <w:spacing w:after="200"/>
      </w:pPr>
      <w:r>
        <w:rPr>
          <w:rFonts w:ascii="Arial" w:cs="Arial" w:eastAsia="Arial" w:hAnsi="Arial"/>
          <w:b/>
          <w:bCs/>
          <w:sz w:val="22"/>
          <w:szCs w:val="22"/>
        </w:rPr>
        <w:t xml:space="preserve">Critical advantage: </w:t>
      </w:r>
      <w:r>
        <w:rPr>
          <w:rFonts w:ascii="Arial" w:cs="Arial" w:eastAsia="Arial" w:hAnsi="Arial"/>
          <w:sz w:val="22"/>
          <w:szCs w:val="22"/>
        </w:rPr>
        <w:t xml:space="preserve">This approach captures not just the data values but the conditional relationships between them (e.g., "if symptom X with test result Y, then diagnosis Z with 80% confidence"). These conditional relationships are what make the resulting synthetic datasets clinically realistic rather than randomly generated.</w:t>
      </w:r>
    </w:p>
    <w:p>
      <w:pPr>
        <w:pStyle w:val="Heading2"/>
      </w:pPr>
      <w:r>
        <w:t xml:space="preserve">2.2 Clinical Scenario Cards (Recommended Secondary Tool)</w:t>
      </w:r>
    </w:p>
    <w:p>
      <w:pPr>
        <w:spacing w:after="120"/>
      </w:pPr>
      <w:r>
        <w:rPr>
          <w:rFonts w:ascii="Arial" w:cs="Arial" w:eastAsia="Arial" w:hAnsi="Arial"/>
          <w:b/>
          <w:bCs/>
          <w:sz w:val="22"/>
          <w:szCs w:val="22"/>
        </w:rPr>
        <w:t xml:space="preserve">Time required: </w:t>
      </w:r>
      <w:r>
        <w:rPr>
          <w:rFonts w:ascii="Arial" w:cs="Arial" w:eastAsia="Arial" w:hAnsi="Arial"/>
          <w:sz w:val="22"/>
          <w:szCs w:val="22"/>
        </w:rPr>
        <w:t xml:space="preserve">10–15 minutes per scenario (5–8 scenarios covers most of a condition)</w:t>
      </w:r>
    </w:p>
    <w:p>
      <w:pPr>
        <w:spacing w:after="120"/>
      </w:pPr>
      <w:r>
        <w:rPr>
          <w:rFonts w:ascii="Arial" w:cs="Arial" w:eastAsia="Arial" w:hAnsi="Arial"/>
          <w:sz w:val="22"/>
          <w:szCs w:val="22"/>
        </w:rPr>
        <w:t xml:space="preserve">Scenario Cards present the clinician with a pre-structured single-page template for each clinical archetype. Rather than asking "give me data", you ask "describe your typical patient". This reframes data collection as storytelling, which is far more natural for clinicians. Each card captures one archetypal patient presentation.</w:t>
      </w:r>
    </w:p>
    <w:p>
      <w:pPr>
        <w:spacing w:before="200"/>
      </w:pPr>
      <w:r>
        <w:rPr>
          <w:rFonts w:ascii="Arial" w:cs="Arial" w:eastAsia="Arial" w:hAnsi="Arial"/>
          <w:b/>
          <w:bCs/>
          <w:color w:val="2E86C1"/>
          <w:sz w:val="22"/>
          <w:szCs w:val="22"/>
        </w:rPr>
        <w:t xml:space="preserve">Scenario Card Template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0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Clinician Completes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Scenario Name</w:t>
            </w:r>
          </w:p>
        </w:tc>
        <w:tc>
          <w:tcPr>
            <w:tcW w:type="dxa" w:w="6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iCs/>
                <w:sz w:val="20"/>
                <w:szCs w:val="20"/>
              </w:rPr>
              <w:t xml:space="preserve">e.g., "Classic BPH presentation" or "Young male with haematuria"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Typical Patient Profile</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Age range, gender, relevant comorbidities, lifestyle factors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Presenting Symptoms</w:t>
            </w:r>
          </w:p>
        </w:tc>
        <w:tc>
          <w:tcPr>
            <w:tcW w:type="dxa" w:w="6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Primary complaint, secondary symptoms, severity (mild/moderate/severe), duration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Key Investigation Results</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What tests ordered, typical ranges/findings for this scenario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Diagnosis</w:t>
            </w:r>
          </w:p>
        </w:tc>
        <w:tc>
          <w:tcPr>
            <w:tcW w:type="dxa" w:w="6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Primary diagnosis, differential diagnoses to rule 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Treatment Pathway</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First-line treatment, if-then alternatives, typical duration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Expected Outcome</w:t>
            </w:r>
          </w:p>
        </w:tc>
        <w:tc>
          <w:tcPr>
            <w:tcW w:type="dxa" w:w="6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Success rate (%), typical recovery, follow-up schedule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How Common?</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Approximate frequency: e.g., "3 out of 10 patients I see with this condition"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Red Flags / Complications</w:t>
            </w:r>
          </w:p>
        </w:tc>
        <w:tc>
          <w:tcPr>
            <w:tcW w:type="dxa" w:w="6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Warning signs, when to escalate, complications to watch for</w:t>
            </w:r>
          </w:p>
        </w:tc>
      </w:tr>
    </w:tbl>
    <w:p>
      <w:pPr>
        <w:spacing w:before="200" w:after="200"/>
      </w:pPr>
      <w:r>
        <w:rPr>
          <w:rFonts w:ascii="Arial" w:cs="Arial" w:eastAsia="Arial" w:hAnsi="Arial"/>
          <w:sz w:val="22"/>
          <w:szCs w:val="22"/>
        </w:rPr>
        <w:t xml:space="preserve">The frequency field ("How Common?") is critical — it allows you to weight synthetic data generation proportionally. If a clinician says "7 out of 10 haematuria patients I see turn out to be UTI, 2 out of 10 are bladder stones, 1 out of 10 is bladder cancer", you can generate your synthetic dataset with that realistic class distribution rather than arbitrary 50/50 splits.</w:t>
      </w:r>
    </w:p>
    <w:p>
      <w:pPr>
        <w:pStyle w:val="Heading2"/>
      </w:pPr>
      <w:r>
        <w:t xml:space="preserve">2.3 Rapid Structured Interview Protocol</w:t>
      </w:r>
    </w:p>
    <w:p>
      <w:pPr>
        <w:spacing w:after="120"/>
      </w:pPr>
      <w:r>
        <w:rPr>
          <w:rFonts w:ascii="Arial" w:cs="Arial" w:eastAsia="Arial" w:hAnsi="Arial"/>
          <w:b/>
          <w:bCs/>
          <w:sz w:val="22"/>
          <w:szCs w:val="22"/>
        </w:rPr>
        <w:t xml:space="preserve">Time required: </w:t>
      </w:r>
      <w:r>
        <w:rPr>
          <w:rFonts w:ascii="Arial" w:cs="Arial" w:eastAsia="Arial" w:hAnsi="Arial"/>
          <w:sz w:val="22"/>
          <w:szCs w:val="22"/>
        </w:rPr>
        <w:t xml:space="preserve">30–45 minutes total (can be done in one sitting or two shorter sessions)</w:t>
      </w:r>
    </w:p>
    <w:p>
      <w:pPr>
        <w:spacing w:after="120"/>
      </w:pPr>
      <w:r>
        <w:rPr>
          <w:rFonts w:ascii="Arial" w:cs="Arial" w:eastAsia="Arial" w:hAnsi="Arial"/>
          <w:sz w:val="22"/>
          <w:szCs w:val="22"/>
        </w:rPr>
        <w:t xml:space="preserve">A focused, recorded conversation with the clinician using a standardised question set. The researcher asks questions, the clinician responds naturally (speaking is faster and more natural than writing), and the researcher transcribes and structures the responses afterwards. This is particularly effective when combined with Clinical Decision Maps drawn during the interview.</w:t>
      </w:r>
    </w:p>
    <w:p>
      <w:pPr>
        <w:spacing w:before="160"/>
      </w:pPr>
      <w:r>
        <w:rPr>
          <w:rFonts w:ascii="Arial" w:cs="Arial" w:eastAsia="Arial" w:hAnsi="Arial"/>
          <w:b/>
          <w:bCs/>
          <w:sz w:val="22"/>
          <w:szCs w:val="22"/>
        </w:rPr>
        <w:t xml:space="preserve">Core Question Set (adapt to your clinical domain):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53"/>
        <w:gridCol w:w="4453"/>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45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45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 Maps To</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4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For [condition X], what are the 3–5 most common ways patients present to you?</w:t>
            </w:r>
          </w:p>
        </w:tc>
        <w:tc>
          <w:tcPr>
            <w:tcW w:type="dxa" w:w="4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Identifies archetypes for Scenario Cards; establishes class distribution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For each presentation, what symptoms do you see and how severe are they typically?</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Symptom columns + severity encoding</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4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What patient demographics are typical for each presentation? (age, gender, comorbidities)</w:t>
            </w:r>
          </w:p>
        </w:tc>
        <w:tc>
          <w:tcPr>
            <w:tcW w:type="dxa" w:w="4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Demographic columns + correlation rules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What investigations do you order, and what results confirm or rule out each diagnosis?</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Investigation columns + threshold values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4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What is your first-line treatment for each scenario? What do you try if that fails?</w:t>
            </w:r>
          </w:p>
        </w:tc>
        <w:tc>
          <w:tcPr>
            <w:tcW w:type="dxa" w:w="4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Treatment columns + conditional treatment logic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Roughly what percentage of patients respond well to first-line treatment?</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Outcome distribution + success rate columns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4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What are the key factors that predict whether a patient will have a good or poor outcome?</w:t>
            </w:r>
          </w:p>
        </w:tc>
        <w:tc>
          <w:tcPr>
            <w:tcW w:type="dxa" w:w="44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Prognostic feature identification for model features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Are there any unusual or rare presentations that are important not to miss?</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Edge cases and rare class representation in dataset</w:t>
            </w:r>
          </w:p>
        </w:tc>
      </w:tr>
    </w:tbl>
    <w:p>
      <w:r>
        <w:br w:type="page"/>
      </w:r>
    </w:p>
    <w:p>
      <w:pPr>
        <w:pStyle w:val="Heading2"/>
      </w:pPr>
      <w:r>
        <w:t xml:space="preserve">2.4 Clinical Pathway Diagrams (For Complex Conditions)</w:t>
      </w:r>
    </w:p>
    <w:p>
      <w:pPr>
        <w:spacing w:after="120"/>
      </w:pPr>
      <w:r>
        <w:rPr>
          <w:rFonts w:ascii="Arial" w:cs="Arial" w:eastAsia="Arial" w:hAnsi="Arial"/>
          <w:b/>
          <w:bCs/>
          <w:sz w:val="22"/>
          <w:szCs w:val="22"/>
        </w:rPr>
        <w:t xml:space="preserve">Time required: </w:t>
      </w:r>
      <w:r>
        <w:rPr>
          <w:rFonts w:ascii="Arial" w:cs="Arial" w:eastAsia="Arial" w:hAnsi="Arial"/>
          <w:sz w:val="22"/>
          <w:szCs w:val="22"/>
        </w:rPr>
        <w:t xml:space="preserve">15–20 minutes per pathway (clinician draws/reviews; researcher refines)</w:t>
      </w:r>
    </w:p>
    <w:p>
      <w:pPr>
        <w:spacing w:after="120"/>
      </w:pPr>
      <w:r>
        <w:rPr>
          <w:rFonts w:ascii="Arial" w:cs="Arial" w:eastAsia="Arial" w:hAnsi="Arial"/>
          <w:sz w:val="22"/>
          <w:szCs w:val="22"/>
        </w:rPr>
        <w:t xml:space="preserve">For conditions with complex treatment decision trees (such as urological conditions where treatment escalates from conservative to surgical), a simple flowchart captures the conditional logic that determines which patients follow which pathway. The clinician draws or talks through the pathway; the researcher captures it as a flowchart.</w:t>
      </w:r>
    </w:p>
    <w:p>
      <w:pPr>
        <w:spacing w:after="120"/>
      </w:pPr>
      <w:r>
        <w:rPr>
          <w:rFonts w:ascii="Arial" w:cs="Arial" w:eastAsia="Arial" w:hAnsi="Arial"/>
          <w:b/>
          <w:bCs/>
          <w:sz w:val="22"/>
          <w:szCs w:val="22"/>
        </w:rPr>
        <w:t xml:space="preserve">Structure: </w:t>
      </w:r>
      <w:r>
        <w:rPr>
          <w:rFonts w:ascii="Arial" w:cs="Arial" w:eastAsia="Arial" w:hAnsi="Arial"/>
          <w:sz w:val="22"/>
          <w:szCs w:val="22"/>
        </w:rPr>
        <w:t xml:space="preserve">Start with the presenting complaint at the top. Each decision point asks a clinical question ("PSA &gt; 4?", "IPSS score &gt; 19?", "Failed alpha-blocker trial?"). Each branch leads to the next action (further investigation, diagnosis, or treatment). Terminal nodes represent outcomes.</w:t>
      </w:r>
    </w:p>
    <w:p>
      <w:pPr>
        <w:spacing w:after="200"/>
      </w:pPr>
      <w:r>
        <w:rPr>
          <w:rFonts w:ascii="Arial" w:cs="Arial" w:eastAsia="Arial" w:hAnsi="Arial"/>
          <w:b/>
          <w:bCs/>
          <w:sz w:val="22"/>
          <w:szCs w:val="22"/>
        </w:rPr>
        <w:t xml:space="preserve">Dataset value: </w:t>
      </w:r>
      <w:r>
        <w:rPr>
          <w:rFonts w:ascii="Arial" w:cs="Arial" w:eastAsia="Arial" w:hAnsi="Arial"/>
          <w:sz w:val="22"/>
          <w:szCs w:val="22"/>
        </w:rPr>
        <w:t xml:space="preserve">These diagrams directly encode the if-then rules needed to generate synthetic data with realistic conditional dependencies. A patient with PSA &gt; 10 should not appear in the dataset with a diagnosis of "normal" — the pathway diagram makes such inconsistencies impossible in generated data.</w:t>
      </w:r>
    </w:p>
    <w:p>
      <w:pPr>
        <w:pStyle w:val="Heading2"/>
      </w:pPr>
      <w:r>
        <w:t xml:space="preserve">2.5 Delphi-Lite Consensus (For Multiple Experts)</w:t>
      </w:r>
    </w:p>
    <w:p>
      <w:pPr>
        <w:spacing w:after="120"/>
      </w:pPr>
      <w:r>
        <w:rPr>
          <w:rFonts w:ascii="Arial" w:cs="Arial" w:eastAsia="Arial" w:hAnsi="Arial"/>
          <w:b/>
          <w:bCs/>
          <w:sz w:val="22"/>
          <w:szCs w:val="22"/>
        </w:rPr>
        <w:t xml:space="preserve">Time required: </w:t>
      </w:r>
      <w:r>
        <w:rPr>
          <w:rFonts w:ascii="Arial" w:cs="Arial" w:eastAsia="Arial" w:hAnsi="Arial"/>
          <w:sz w:val="22"/>
          <w:szCs w:val="22"/>
        </w:rPr>
        <w:t xml:space="preserve">15–20 minutes per expert, two rounds, asynchronous</w:t>
      </w:r>
    </w:p>
    <w:p>
      <w:pPr>
        <w:spacing w:after="200"/>
      </w:pPr>
      <w:r>
        <w:rPr>
          <w:rFonts w:ascii="Arial" w:cs="Arial" w:eastAsia="Arial" w:hAnsi="Arial"/>
          <w:sz w:val="22"/>
          <w:szCs w:val="22"/>
        </w:rPr>
        <w:t xml:space="preserve">When you have access to two or more clinical experts (even if they are in different locations), a lightweight Delphi process adds validation. In Round 1, each expert independently completes Scenario Cards or a questionnaire. The researcher synthesises responses and identifies areas of agreement and disagreement. In Round 2, experts review the synthesised output and confirm or adjust. Consensus areas become high-confidence parameters for synthetic data generation; disagreement areas become variance parameters that add realistic diversity to the dataset.</w:t>
      </w:r>
    </w:p>
    <w:p>
      <w:pPr>
        <w:pStyle w:val="Heading1"/>
      </w:pPr>
      <w:r>
        <w:t xml:space="preserve">3. Transforming Captured Knowledge into Synthetic Datasets</w:t>
      </w:r>
    </w:p>
    <w:p>
      <w:pPr>
        <w:spacing w:after="200"/>
      </w:pPr>
      <w:r>
        <w:rPr>
          <w:rFonts w:ascii="Arial" w:cs="Arial" w:eastAsia="Arial" w:hAnsi="Arial"/>
          <w:sz w:val="22"/>
          <w:szCs w:val="22"/>
        </w:rPr>
        <w:t xml:space="preserve">The critical methodological step is converting unstructured clinical expertise into structured, AI-ready synthetic datasets. The following process ensures the resulting data faithfully reflects real clinical patterns while containing no actual patient information.</w:t>
      </w:r>
    </w:p>
    <w:p>
      <w:pPr>
        <w:pStyle w:val="Heading2"/>
      </w:pPr>
      <w:r>
        <w:t xml:space="preserve">3.1 The Knowledge-to-Dataset Pipeline</w:t>
      </w:r>
    </w:p>
    <w:p>
      <w:pPr>
        <w:pStyle w:val="Heading3"/>
      </w:pPr>
      <w:r>
        <w:t xml:space="preserve">Step 1: Extract Parameter Definitions</w:t>
      </w:r>
    </w:p>
    <w:p>
      <w:pPr>
        <w:spacing w:after="120"/>
      </w:pPr>
      <w:r>
        <w:rPr>
          <w:rFonts w:ascii="Arial" w:cs="Arial" w:eastAsia="Arial" w:hAnsi="Arial"/>
          <w:sz w:val="22"/>
          <w:szCs w:val="22"/>
        </w:rPr>
        <w:t xml:space="preserve">From the Clinical Decision Maps and Scenario Cards, extract every measurable parameter mentioned by the clinician. For each parameter, define the data type (numeric, categorical, binary), plausible range or categories, and the clinician-reported typical values for each scenario.</w:t>
      </w:r>
    </w:p>
    <w:p>
      <w:pPr>
        <w:spacing w:before="120"/>
      </w:pPr>
      <w:r>
        <w:rPr>
          <w:rFonts w:ascii="Arial" w:cs="Arial" w:eastAsia="Arial" w:hAnsi="Arial"/>
          <w:b/>
          <w:bCs/>
          <w:color w:val="2E86C1"/>
          <w:sz w:val="22"/>
          <w:szCs w:val="22"/>
        </w:rPr>
        <w:t xml:space="preserve">Example for Urological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2006"/>
        <w:gridCol w:w="2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Range/Values</w:t>
            </w:r>
          </w:p>
        </w:tc>
        <w:tc>
          <w:tcPr>
            <w:tcW w:type="dxa" w:w="200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Clinician Note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Age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Numeric</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18–95</w:t>
            </w:r>
          </w:p>
        </w:tc>
        <w:tc>
          <w:tcPr>
            <w:tcW w:type="dxa" w:w="20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BPH peaks 60–80; bladder cancer 55–75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Decision Map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PSA Level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Numeric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0.1–100+ ng/mL</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Normal &lt;4; grey zone 4–10; suspicious &gt;10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Interview Q4</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Haematuria</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None/Micro/Gross</w:t>
            </w:r>
          </w:p>
        </w:tc>
        <w:tc>
          <w:tcPr>
            <w:tcW w:type="dxa" w:w="20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Gross in 60% of bladder cancer cases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Scenario Card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IPSS 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Numeric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0–35</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Mild 0–7; Mod 8–19; Severe 20–35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Pathway Diagram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Treatment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Conservative / Medical / Surgical</w:t>
            </w:r>
          </w:p>
        </w:tc>
        <w:tc>
          <w:tcPr>
            <w:tcW w:type="dxa" w:w="20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Start conservative, escalate if IPSS &gt;19 after 3 months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Pathway Diagram</w:t>
            </w:r>
          </w:p>
        </w:tc>
      </w:tr>
    </w:tbl>
    <w:p>
      <w:pPr>
        <w:pStyle w:val="Heading3"/>
        <w:spacing w:before="300"/>
      </w:pPr>
      <w:r>
        <w:t xml:space="preserve">Step 2: Define Conditional Relationships</w:t>
      </w:r>
    </w:p>
    <w:p>
      <w:pPr>
        <w:spacing w:after="120"/>
      </w:pPr>
      <w:r>
        <w:rPr>
          <w:rFonts w:ascii="Arial" w:cs="Arial" w:eastAsia="Arial" w:hAnsi="Arial"/>
          <w:sz w:val="22"/>
          <w:szCs w:val="22"/>
        </w:rPr>
        <w:t xml:space="preserve">This is where Clinical Decision Maps and Pathway Diagrams provide their greatest value. Extract every conditional relationship the clinician described. These become the rules that ensure generated data is internally consistent.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Conditional Rule (from clinician)</w:t>
            </w:r>
          </w:p>
        </w:tc>
        <w:tc>
          <w:tcPr>
            <w:tcW w:type="dxa" w:w="475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 in Data Generation</w:t>
            </w:r>
          </w:p>
        </w:tc>
      </w:tr>
      <w:tr>
        <w:tc>
          <w:tcPr>
            <w:tcW w:type="dxa" w:w="47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iCs/>
                <w:sz w:val="20"/>
                <w:szCs w:val="20"/>
              </w:rPr>
              <w:t xml:space="preserve">"If gross haematuria + age &gt; 50, always investigate for malignancy"</w:t>
            </w:r>
          </w:p>
        </w:tc>
        <w:tc>
          <w:tcPr>
            <w:tcW w:type="dxa" w:w="47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When haematuria=Gross AND age&gt;50: diagnosis weighted 40% toward bladder/renal cancer</w:t>
            </w:r>
          </w:p>
        </w:tc>
      </w:tr>
      <w:tr>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"PSA &gt; 10 with abnormal DRE almost always gets biopsy"</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When PSA&gt;10 AND DRE=abnormal: investigation=biopsy (95% probability)</w:t>
            </w:r>
          </w:p>
        </w:tc>
      </w:tr>
      <w:tr>
        <w:tc>
          <w:tcPr>
            <w:tcW w:type="dxa" w:w="47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iCs/>
                <w:sz w:val="20"/>
                <w:szCs w:val="20"/>
              </w:rPr>
              <w:t xml:space="preserve">"Young men with LUTS rarely have cancer; usually prostatitis"</w:t>
            </w:r>
          </w:p>
        </w:tc>
        <w:tc>
          <w:tcPr>
            <w:tcW w:type="dxa" w:w="475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When age&lt;45 AND LUTS present: diagnosis weighted 70% prostatitis, 25% BPH, 5% other</w:t>
            </w:r>
          </w:p>
        </w:tc>
      </w:tr>
      <w:tr>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"TURP after failed 6-month alpha-blocker trial with IPSS&gt;19"</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When prior_treatment=alpha-blocker AND duration&gt;6mo AND IPSS&gt;19: treatment=TURP</w:t>
            </w:r>
          </w:p>
        </w:tc>
      </w:tr>
    </w:tbl>
    <w:p>
      <w:pPr>
        <w:pStyle w:val="Heading3"/>
        <w:spacing w:before="300"/>
      </w:pPr>
      <w:r>
        <w:t xml:space="preserve">Step 3: Generate the Synthetic Dataset</w:t>
      </w:r>
    </w:p>
    <w:p>
      <w:pPr>
        <w:spacing w:after="120"/>
      </w:pPr>
      <w:r>
        <w:rPr>
          <w:rFonts w:ascii="Arial" w:cs="Arial" w:eastAsia="Arial" w:hAnsi="Arial"/>
          <w:sz w:val="22"/>
          <w:szCs w:val="22"/>
        </w:rPr>
        <w:t xml:space="preserve">Using the extracted parameters and conditional rules, generate synthetic patient records programmatically. The generation process follows a specific sequence to maintain clinical realism:</w:t>
      </w:r>
    </w:p>
    <w:p>
      <w:pPr>
        <w:pStyle w:val="ListParagraph"/>
        <w:numPr>
          <w:ilvl w:val="0"/>
          <w:numId w:val="2"/>
        </w:numPr>
      </w:pPr>
      <w:r>
        <w:rPr>
          <w:rFonts w:ascii="Arial" w:cs="Arial" w:eastAsia="Arial" w:hAnsi="Arial"/>
          <w:b/>
          <w:bCs/>
          <w:sz w:val="22"/>
          <w:szCs w:val="22"/>
        </w:rPr>
        <w:t xml:space="preserve">Generate demographic base: </w:t>
      </w:r>
      <w:r>
        <w:rPr>
          <w:rFonts w:ascii="Arial" w:cs="Arial" w:eastAsia="Arial" w:hAnsi="Arial"/>
          <w:sz w:val="22"/>
          <w:szCs w:val="22"/>
        </w:rPr>
        <w:t xml:space="preserve">Age, gender, and comorbidity profiles drawn from the distributions specified by the clinician.</w:t>
      </w:r>
    </w:p>
    <w:p>
      <w:pPr>
        <w:pStyle w:val="ListParagraph"/>
        <w:numPr>
          <w:ilvl w:val="0"/>
          <w:numId w:val="2"/>
        </w:numPr>
      </w:pPr>
      <w:r>
        <w:rPr>
          <w:rFonts w:ascii="Arial" w:cs="Arial" w:eastAsia="Arial" w:hAnsi="Arial"/>
          <w:b/>
          <w:bCs/>
          <w:sz w:val="22"/>
          <w:szCs w:val="22"/>
        </w:rPr>
        <w:t xml:space="preserve">Assign condition archetype: </w:t>
      </w:r>
      <w:r>
        <w:rPr>
          <w:rFonts w:ascii="Arial" w:cs="Arial" w:eastAsia="Arial" w:hAnsi="Arial"/>
          <w:sz w:val="22"/>
          <w:szCs w:val="22"/>
        </w:rPr>
        <w:t xml:space="preserve">Based on the frequency proportions from Scenario Cards (e.g., 30% BPH, 25% UTI, 15% prostate cancer, etc.).</w:t>
      </w:r>
    </w:p>
    <w:p>
      <w:pPr>
        <w:pStyle w:val="ListParagraph"/>
        <w:numPr>
          <w:ilvl w:val="0"/>
          <w:numId w:val="2"/>
        </w:numPr>
      </w:pPr>
      <w:r>
        <w:rPr>
          <w:rFonts w:ascii="Arial" w:cs="Arial" w:eastAsia="Arial" w:hAnsi="Arial"/>
          <w:b/>
          <w:bCs/>
          <w:sz w:val="22"/>
          <w:szCs w:val="22"/>
        </w:rPr>
        <w:t xml:space="preserve">Generate symptoms conditionally: </w:t>
      </w:r>
      <w:r>
        <w:rPr>
          <w:rFonts w:ascii="Arial" w:cs="Arial" w:eastAsia="Arial" w:hAnsi="Arial"/>
          <w:sz w:val="22"/>
          <w:szCs w:val="22"/>
        </w:rPr>
        <w:t xml:space="preserve">Using the archetype's symptom profile from the Decision Map, with controlled noise to reflect natural variation.</w:t>
      </w:r>
    </w:p>
    <w:p>
      <w:pPr>
        <w:pStyle w:val="ListParagraph"/>
        <w:numPr>
          <w:ilvl w:val="0"/>
          <w:numId w:val="2"/>
        </w:numPr>
      </w:pPr>
      <w:r>
        <w:rPr>
          <w:rFonts w:ascii="Arial" w:cs="Arial" w:eastAsia="Arial" w:hAnsi="Arial"/>
          <w:b/>
          <w:bCs/>
          <w:sz w:val="22"/>
          <w:szCs w:val="22"/>
        </w:rPr>
        <w:t xml:space="preserve">Generate investigation results conditionally: </w:t>
      </w:r>
      <w:r>
        <w:rPr>
          <w:rFonts w:ascii="Arial" w:cs="Arial" w:eastAsia="Arial" w:hAnsi="Arial"/>
          <w:sz w:val="22"/>
          <w:szCs w:val="22"/>
        </w:rPr>
        <w:t xml:space="preserve">Test values consistent with the assigned condition and conditional rules.</w:t>
      </w:r>
    </w:p>
    <w:p>
      <w:pPr>
        <w:pStyle w:val="ListParagraph"/>
        <w:numPr>
          <w:ilvl w:val="0"/>
          <w:numId w:val="2"/>
        </w:numPr>
      </w:pPr>
      <w:r>
        <w:rPr>
          <w:rFonts w:ascii="Arial" w:cs="Arial" w:eastAsia="Arial" w:hAnsi="Arial"/>
          <w:b/>
          <w:bCs/>
          <w:sz w:val="22"/>
          <w:szCs w:val="22"/>
        </w:rPr>
        <w:t xml:space="preserve">Apply treatment pathway logic: </w:t>
      </w:r>
      <w:r>
        <w:rPr>
          <w:rFonts w:ascii="Arial" w:cs="Arial" w:eastAsia="Arial" w:hAnsi="Arial"/>
          <w:sz w:val="22"/>
          <w:szCs w:val="22"/>
        </w:rPr>
        <w:t xml:space="preserve">Treatment selection follows the Pathway Diagram rules based on the generated clinical parameters.</w:t>
      </w:r>
    </w:p>
    <w:p>
      <w:pPr>
        <w:pStyle w:val="ListParagraph"/>
        <w:numPr>
          <w:ilvl w:val="0"/>
          <w:numId w:val="2"/>
        </w:numPr>
        <w:spacing w:after="200"/>
      </w:pPr>
      <w:r>
        <w:rPr>
          <w:rFonts w:ascii="Arial" w:cs="Arial" w:eastAsia="Arial" w:hAnsi="Arial"/>
          <w:b/>
          <w:bCs/>
          <w:sz w:val="22"/>
          <w:szCs w:val="22"/>
        </w:rPr>
        <w:t xml:space="preserve">Determine outcome: </w:t>
      </w:r>
      <w:r>
        <w:rPr>
          <w:rFonts w:ascii="Arial" w:cs="Arial" w:eastAsia="Arial" w:hAnsi="Arial"/>
          <w:sz w:val="22"/>
          <w:szCs w:val="22"/>
        </w:rPr>
        <w:t xml:space="preserve">Success/failure/partial response based on clinician-reported success rates for each treatment-condition pair.</w:t>
      </w:r>
    </w:p>
    <w:p>
      <w:pPr>
        <w:pStyle w:val="Heading3"/>
      </w:pPr>
      <w:r>
        <w:t xml:space="preserve">Step 4: Expert Validation</w:t>
      </w:r>
    </w:p>
    <w:p>
      <w:pPr>
        <w:spacing w:after="200"/>
      </w:pPr>
      <w:r>
        <w:rPr>
          <w:rFonts w:ascii="Arial" w:cs="Arial" w:eastAsia="Arial" w:hAnsi="Arial"/>
          <w:sz w:val="22"/>
          <w:szCs w:val="22"/>
        </w:rPr>
        <w:t xml:space="preserve">Present a sample of 20–50 generated records back to the clinician for face-validity checking. Ask: "Do these look like patients you would see in your clinic?" This takes only 10–15 minutes and provides essential validation. Adjust generation parameters based on feedback, then produce the full dataset.</w:t>
      </w:r>
    </w:p>
    <w:p>
      <w:r>
        <w:br w:type="page"/>
      </w:r>
    </w:p>
    <w:p>
      <w:pPr>
        <w:pStyle w:val="Heading1"/>
      </w:pPr>
      <w:r>
        <w:t xml:space="preserve">4. Academic Justification and Terminology</w:t>
      </w:r>
    </w:p>
    <w:p>
      <w:pPr>
        <w:spacing w:after="120"/>
      </w:pPr>
      <w:r>
        <w:rPr>
          <w:rFonts w:ascii="Arial" w:cs="Arial" w:eastAsia="Arial" w:hAnsi="Arial"/>
          <w:sz w:val="22"/>
          <w:szCs w:val="22"/>
        </w:rPr>
        <w:t xml:space="preserve">This approach is methodologically grounded in several established research traditions. When writing up this methodology for publication, the following terminology and references provide academic credibility: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Established Method</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Your Approach Relates</w:t>
            </w:r>
          </w:p>
        </w:tc>
        <w:tc>
          <w:tcPr>
            <w:tcW w:type="dxa" w:w="350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Reference Term</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Knowledge Engineering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Clinical Decision Maps and Scenario Cards are structured knowledge elicitation techniques from AI/expert systems research</w:t>
            </w:r>
          </w:p>
        </w:tc>
        <w:tc>
          <w:tcPr>
            <w:tcW w:type="dxa" w:w="3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iCs/>
                <w:sz w:val="20"/>
                <w:szCs w:val="20"/>
              </w:rPr>
              <w:t xml:space="preserve">"Expert knowledge elicitation for clinical AI system development"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Synthetic Data Generation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rule-based dataset generation from expert knowledge is a form of knowledge-driven synthetic data, distinct from purely statistical methods like GANs</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"Knowledge-driven synthetic clinical dataset generation"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Delphi Method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Multi-expert validation using Delphi-Lite consensus is a lightweight adaptation of the established Delphi technique</w:t>
            </w:r>
          </w:p>
        </w:tc>
        <w:tc>
          <w:tcPr>
            <w:tcW w:type="dxa" w:w="3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iCs/>
                <w:sz w:val="20"/>
                <w:szCs w:val="20"/>
              </w:rPr>
              <w:t xml:space="preserve">"Modified Delphi consensus for clinical parameter 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Clinical Decision Support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Pathway Diagrams follow the same logical structure as NICE/NHS clinical pathways and guidelines</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"Clinical pathway modelling for feature engineering"</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Participatory Design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clinician-as-co-designer approach, where experts validate generated outputs, follows participatory design principles</w:t>
            </w:r>
          </w:p>
        </w:tc>
        <w:tc>
          <w:tcPr>
            <w:tcW w:type="dxa" w:w="3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iCs/>
                <w:sz w:val="20"/>
                <w:szCs w:val="20"/>
              </w:rPr>
              <w:t xml:space="preserve">"Clinician-in-the-loop synthetic data validation"</w:t>
            </w:r>
          </w:p>
        </w:tc>
      </w:tr>
    </w:tbl>
    <w:p>
      <w:pPr>
        <w:pStyle w:val="Heading1"/>
        <w:spacing w:before="400"/>
      </w:pPr>
      <w:r>
        <w:t xml:space="preserve">5. Recommended Practical Workflow</w:t>
      </w:r>
    </w:p>
    <w:p>
      <w:pPr>
        <w:spacing w:after="120"/>
      </w:pPr>
      <w:r>
        <w:rPr>
          <w:rFonts w:ascii="Arial" w:cs="Arial" w:eastAsia="Arial" w:hAnsi="Arial"/>
          <w:sz w:val="22"/>
          <w:szCs w:val="22"/>
        </w:rPr>
        <w:t xml:space="preserve">For maximum efficiency with minimal clinician time, the following combined workflow is recommended: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1400"/>
        <w:gridCol w:w="1306"/>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Clinician Time</w:t>
            </w:r>
          </w:p>
        </w:tc>
        <w:tc>
          <w:tcPr>
            <w:tcW w:type="dxa" w:w="130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Researcher Time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Preparation: Review clinical guidelines (NICE, EAU) and literature for the target condition to pre-populate question templates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Pre-populated Scenario Card templates with known clinical parameters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0 min</w:t>
            </w:r>
          </w:p>
        </w:tc>
        <w:tc>
          <w:tcPr>
            <w:tcW w:type="dxa" w:w="13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2–4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Session 1: Structured interview (30 min) where clinician draws Decision Maps while answering core questions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Recorded interview + 2–3 hand-drawn Decision Maps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30 min</w:t>
            </w:r>
          </w:p>
        </w:tc>
        <w:tc>
          <w:tcPr>
            <w:tcW w:type="dxa" w:w="1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30 min + 2hr transcription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Post-session: Researcher converts interview into completed Scenario Cards and parameter tables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5–8 completed Scenario Cards + parameter extraction table + conditional rules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0 min</w:t>
            </w:r>
          </w:p>
        </w:tc>
        <w:tc>
          <w:tcPr>
            <w:tcW w:type="dxa" w:w="13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3–4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Generate: Programmatically create synthetic dataset using extracted rules and parameters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Synthetic dataset (500–5000 records) with clinically realistic patterns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0 min</w:t>
            </w:r>
          </w:p>
        </w:tc>
        <w:tc>
          <w:tcPr>
            <w:tcW w:type="dxa" w:w="1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4–8 hours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Session 2: Clinician reviews 30–50 sample records for face validity + reviews Scenario Card summaries for accuracy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Validated dataset with clinician sign-off; adjustments noted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15–20 min</w:t>
            </w:r>
          </w:p>
        </w:tc>
        <w:tc>
          <w:tcPr>
            <w:tcW w:type="dxa" w:w="13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15–20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Refine: Adjust parameters based on clinician feedback, regenerate, and finalise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Final validated synthetic dataset ready for AI experimentation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0 min</w:t>
            </w:r>
          </w:p>
        </w:tc>
        <w:tc>
          <w:tcPr>
            <w:tcW w:type="dxa" w:w="1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2–4 hours</w:t>
            </w:r>
          </w:p>
        </w:tc>
      </w:tr>
    </w:tbl>
    <w:p>
      <w:pPr>
        <w:spacing w:before="200" w:after="120"/>
      </w:pPr>
      <w:r>
        <w:rPr>
          <w:rFonts w:ascii="Arial" w:cs="Arial" w:eastAsia="Arial" w:hAnsi="Arial"/>
          <w:b/>
          <w:bCs/>
          <w:color w:val="1B4F72"/>
          <w:sz w:val="22"/>
          <w:szCs w:val="22"/>
        </w:rPr>
        <w:t xml:space="preserve">Total clinician time: approximately 45–50 minutes across two sessions</w:t>
      </w:r>
    </w:p>
    <w:p>
      <w:pPr>
        <w:spacing w:after="200"/>
      </w:pPr>
      <w:r>
        <w:rPr>
          <w:rFonts w:ascii="Arial" w:cs="Arial" w:eastAsia="Arial" w:hAnsi="Arial"/>
          <w:sz w:val="22"/>
          <w:szCs w:val="22"/>
        </w:rPr>
        <w:t xml:space="preserve">This is dramatically more efficient than asking clinicians to manually populate spreadsheet rows, while producing richer, more clinically accurate datasets because it captures the reasoning and relationships behind the data, not just the data points themselves.</w:t>
      </w:r>
    </w:p>
    <w:p>
      <w:pPr>
        <w:pStyle w:val="Heading1"/>
      </w:pPr>
      <w:r>
        <w:t xml:space="preserve">6. Application to Urological Prediction Models</w:t>
      </w:r>
    </w:p>
    <w:p>
      <w:pPr>
        <w:spacing w:after="120"/>
      </w:pPr>
      <w:r>
        <w:rPr>
          <w:rFonts w:ascii="Arial" w:cs="Arial" w:eastAsia="Arial" w:hAnsi="Arial"/>
          <w:sz w:val="22"/>
          <w:szCs w:val="22"/>
        </w:rPr>
        <w:t xml:space="preserve">For your urological prediction model work (kidney failure risk, treatment response prediction, diagnostic support), this methodology is particularly well-suited because urological conditions have well-defined clinical pathways with measurable parameters (PSA, eGFR, IPSS scores, urodynamic measurements), clear decision thresholds, and evidence-based treatment escalation protocols.</w:t>
      </w:r>
    </w:p>
    <w:p>
      <w:pPr>
        <w:spacing w:after="120"/>
      </w:pPr>
      <w:r>
        <w:rPr>
          <w:rFonts w:ascii="Arial" w:cs="Arial" w:eastAsia="Arial" w:hAnsi="Arial"/>
          <w:b/>
          <w:bCs/>
          <w:sz w:val="22"/>
          <w:szCs w:val="22"/>
        </w:rPr>
        <w:t xml:space="preserve">Practical example: </w:t>
      </w:r>
      <w:r>
        <w:rPr>
          <w:rFonts w:ascii="Arial" w:cs="Arial" w:eastAsia="Arial" w:hAnsi="Arial"/>
          <w:sz w:val="22"/>
          <w:szCs w:val="22"/>
        </w:rPr>
        <w:t xml:space="preserve">A single 30-minute session with a urologist using the Clinical Decision Map approach for "Neuropathic Bladder with Vesicoureteral Reflux" would capture the symptom profiles (voiding frequency, detrusor pressures, reflux grade), the investigation thresholds (eGFR cutoffs, ultrasound findings), the treatment escalation logic (conservative to Botox to SPC to surgical), and the outcome predictors (bilateral reflux to renal pelvis, high detrusor pressures as major risk factors). This single session provides sufficient parameters to generate a synthetic dataset of 500+ realistic patient records for training and validating a prediction model.</w:t>
      </w:r>
    </w:p>
    <w:p>
      <w:pPr>
        <w:spacing w:after="200"/>
      </w:pPr>
      <w:r>
        <w:rPr>
          <w:rFonts w:ascii="Arial" w:cs="Arial" w:eastAsia="Arial" w:hAnsi="Arial"/>
          <w:sz w:val="22"/>
          <w:szCs w:val="22"/>
        </w:rPr>
        <w:t xml:space="preserve">The resulting synthetic dataset is not fabricated data — it is a structured computational representation of genuine clinical expertise, faithfully encoding the patterns, probabilities, and decision logic that an experienced clinician applies daily. This distinction is important both methodologically and ethically, and should be clearly articulated in any published work.</w:t>
      </w:r>
    </w:p>
    <w:p>
      <w:pPr>
        <w:pStyle w:val="Heading1"/>
      </w:pPr>
      <w:r>
        <w:t xml:space="preserve">7. Ethical and Governance Considerations</w:t>
      </w:r>
    </w:p>
    <w:p>
      <w:pPr>
        <w:spacing w:after="120"/>
      </w:pPr>
      <w:r>
        <w:rPr>
          <w:rFonts w:ascii="Arial" w:cs="Arial" w:eastAsia="Arial" w:hAnsi="Arial"/>
          <w:sz w:val="22"/>
          <w:szCs w:val="22"/>
        </w:rPr>
        <w:t xml:space="preserve">This approach offers significant ethical advantages over traditional data collection while still requiring appropriate governance:</w:t>
      </w:r>
    </w:p>
    <w:p>
      <w:pPr>
        <w:pStyle w:val="ListParagraph"/>
        <w:numPr>
          <w:ilvl w:val="0"/>
          <w:numId w:val="3"/>
        </w:numPr>
      </w:pPr>
      <w:r>
        <w:rPr>
          <w:rFonts w:ascii="Arial" w:cs="Arial" w:eastAsia="Arial" w:hAnsi="Arial"/>
          <w:b/>
          <w:bCs/>
          <w:sz w:val="22"/>
          <w:szCs w:val="22"/>
        </w:rPr>
        <w:t xml:space="preserve">No patient data is collected, stored, or processed </w:t>
      </w:r>
      <w:r>
        <w:rPr>
          <w:rFonts w:ascii="Arial" w:cs="Arial" w:eastAsia="Arial" w:hAnsi="Arial"/>
          <w:sz w:val="22"/>
          <w:szCs w:val="22"/>
        </w:rPr>
        <w:t xml:space="preserve">— the dataset is generated from expert knowledge patterns, not from any identifiable or pseudonymised patient records. This significantly reduces the regulatory burden.</w:t>
      </w:r>
    </w:p>
    <w:p>
      <w:pPr>
        <w:pStyle w:val="ListParagraph"/>
        <w:numPr>
          <w:ilvl w:val="0"/>
          <w:numId w:val="3"/>
        </w:numPr>
      </w:pPr>
      <w:r>
        <w:rPr>
          <w:rFonts w:ascii="Arial" w:cs="Arial" w:eastAsia="Arial" w:hAnsi="Arial"/>
          <w:b/>
          <w:bCs/>
          <w:sz w:val="22"/>
          <w:szCs w:val="22"/>
        </w:rPr>
        <w:t xml:space="preserve">Clinical expert contribution should be acknowledged and consented </w:t>
      </w:r>
      <w:r>
        <w:rPr>
          <w:rFonts w:ascii="Arial" w:cs="Arial" w:eastAsia="Arial" w:hAnsi="Arial"/>
          <w:sz w:val="22"/>
          <w:szCs w:val="22"/>
        </w:rPr>
        <w:t xml:space="preserve">— even though no patient data is involved, the clinician is contributing professional expertise that should be properly attributed and consented to.</w:t>
      </w:r>
    </w:p>
    <w:p>
      <w:pPr>
        <w:pStyle w:val="ListParagraph"/>
        <w:numPr>
          <w:ilvl w:val="0"/>
          <w:numId w:val="3"/>
        </w:numPr>
      </w:pPr>
      <w:r>
        <w:rPr>
          <w:rFonts w:ascii="Arial" w:cs="Arial" w:eastAsia="Arial" w:hAnsi="Arial"/>
          <w:b/>
          <w:bCs/>
          <w:sz w:val="22"/>
          <w:szCs w:val="22"/>
        </w:rPr>
        <w:t xml:space="preserve">Synthetic data limitations must be transparently declared </w:t>
      </w:r>
      <w:r>
        <w:rPr>
          <w:rFonts w:ascii="Arial" w:cs="Arial" w:eastAsia="Arial" w:hAnsi="Arial"/>
          <w:sz w:val="22"/>
          <w:szCs w:val="22"/>
        </w:rPr>
        <w:t xml:space="preserve">— any published work must clearly state that the dataset is synthetic, expert-derived, and intended for experimental AI development rather than direct clinical deployment.</w:t>
      </w:r>
    </w:p>
    <w:p>
      <w:pPr>
        <w:pStyle w:val="ListParagraph"/>
        <w:numPr>
          <w:ilvl w:val="0"/>
          <w:numId w:val="3"/>
        </w:numPr>
        <w:spacing w:after="200"/>
      </w:pPr>
      <w:r>
        <w:rPr>
          <w:rFonts w:ascii="Arial" w:cs="Arial" w:eastAsia="Arial" w:hAnsi="Arial"/>
          <w:b/>
          <w:bCs/>
          <w:sz w:val="22"/>
          <w:szCs w:val="22"/>
        </w:rPr>
        <w:t xml:space="preserve">Validation against real data remains the long-term goal </w:t>
      </w:r>
      <w:r>
        <w:rPr>
          <w:rFonts w:ascii="Arial" w:cs="Arial" w:eastAsia="Arial" w:hAnsi="Arial"/>
          <w:sz w:val="22"/>
          <w:szCs w:val="22"/>
        </w:rPr>
        <w:t xml:space="preserve">— synthetic datasets enable rapid model prototyping and proof-of-concept, but clinical deployment requires eventual validation against real patient data through proper ethical channels.</w:t>
      </w:r>
    </w:p>
    <w:p>
      <w:pPr>
        <w:pStyle w:val="Heading1"/>
      </w:pPr>
      <w:r>
        <w:t xml:space="preserve">8. Recommended Simple Tools</w:t>
      </w:r>
    </w:p>
    <w:p>
      <w:pPr>
        <w:spacing w:after="120"/>
      </w:pPr>
      <w:r>
        <w:rPr>
          <w:rFonts w:ascii="Arial" w:cs="Arial" w:eastAsia="Arial" w:hAnsi="Arial"/>
          <w:sz w:val="22"/>
          <w:szCs w:val="22"/>
        </w:rPr>
        <w:t xml:space="preserve">The principle is to use whatever the clinician is most comfortable with. Complexity kills participation.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50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250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Paper + Pen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In-person Decision Map sessions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Zero friction, clinician draws naturally; photograph results</w:t>
            </w:r>
          </w:p>
        </w:tc>
        <w:tc>
          <w:tcPr>
            <w:tcW w:type="dxa" w:w="2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Miro / FigJam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Remote Decision Maps and Pathway Diagrams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Collaborative, real-time, exportable, easy shapes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Free tier available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Google Forms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Scenario Cards (asynchronous)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Clinician fills in at their own time; auto-collects responses</w:t>
            </w:r>
          </w:p>
        </w:tc>
        <w:tc>
          <w:tcPr>
            <w:tcW w:type="dxa" w:w="2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PowerPoint / Canva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Presenting Scenario Cards and Pathway Diagrams for validation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Familiar to clinicians; clean visual output</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Free/Low</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i w:val="false"/>
                <w:iCs w:val="false"/>
                <w:sz w:val="20"/>
                <w:szCs w:val="20"/>
              </w:rPr>
              <w:t xml:space="preserve">draw.io (diagrams.net)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Clinical Pathway Diagrams (researcher creates)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Free, browser-based, flowchart templates</w:t>
            </w:r>
          </w:p>
        </w:tc>
        <w:tc>
          <w:tcPr>
            <w:tcW w:type="dxa" w:w="25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Python (Faker + NumPy)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Synthetic dataset generation from extracted rules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Full control over conditional logic and distributions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Free</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2026-02-22T19:13:03.534Z</dcterms:created>
  <dcterms:modified xsi:type="dcterms:W3CDTF">2026-02-22T19:13:03.535Z</dcterms:modified>
</cp:coreProperties>
</file>

<file path=docProps/custom.xml><?xml version="1.0" encoding="utf-8"?>
<Properties xmlns="http://schemas.openxmlformats.org/officeDocument/2006/custom-properties" xmlns:vt="http://schemas.openxmlformats.org/officeDocument/2006/docPropsVTypes"/>
</file>