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80" w:line="276"/>
        <w:jc w:val="center"/>
      </w:pPr>
      <w:r>
        <w:rPr>
          <w:rFonts w:ascii="Times New Roman" w:cs="Times New Roman" w:eastAsia="Times New Roman" w:hAnsi="Times New Roman"/>
          <w:b/>
          <w:bCs/>
          <w:i w:val="false"/>
          <w:iCs w:val="false"/>
          <w:color w:val="000000"/>
          <w:sz w:val="32"/>
          <w:szCs w:val="32"/>
        </w:rPr>
        <w:t xml:space="preserve">A Project Report</w:t>
      </w:r>
    </w:p>
    <w:p>
      <w:pPr>
        <w:spacing w:after="60" w:line="276"/>
        <w:jc w:val="center"/>
      </w:pPr>
      <w:r>
        <w:rPr>
          <w:rFonts w:ascii="Times New Roman" w:cs="Times New Roman" w:eastAsia="Times New Roman" w:hAnsi="Times New Roman"/>
          <w:b w:val="false"/>
          <w:bCs w:val="false"/>
          <w:i w:val="false"/>
          <w:iCs w:val="false"/>
          <w:color w:val="000000"/>
          <w:sz w:val="24"/>
          <w:szCs w:val="24"/>
        </w:rPr>
        <w:t xml:space="preserve">on</w:t>
      </w:r>
    </w:p>
    <w:p>
      <w:pPr>
        <w:spacing w:after="60"/>
      </w:pPr>
    </w:p>
    <w:p>
      <w:pPr>
        <w:spacing w:after="80" w:line="276"/>
        <w:jc w:val="center"/>
      </w:pPr>
      <w:r>
        <w:rPr>
          <w:rFonts w:ascii="Times New Roman" w:cs="Times New Roman" w:eastAsia="Times New Roman" w:hAnsi="Times New Roman"/>
          <w:b/>
          <w:bCs/>
          <w:i w:val="false"/>
          <w:iCs w:val="false"/>
          <w:color w:val="000000"/>
          <w:sz w:val="30"/>
          <w:szCs w:val="30"/>
        </w:rPr>
        <w:t xml:space="preserve">CATRS: Congestion-Aware Traffic Routing System</w:t>
      </w:r>
    </w:p>
    <w:p>
      <w:pPr>
        <w:spacing w:after="80" w:line="276"/>
        <w:jc w:val="center"/>
      </w:pPr>
      <w:r>
        <w:rPr>
          <w:rFonts w:ascii="Times New Roman" w:cs="Times New Roman" w:eastAsia="Times New Roman" w:hAnsi="Times New Roman"/>
          <w:b/>
          <w:bCs/>
          <w:i w:val="false"/>
          <w:iCs w:val="false"/>
          <w:color w:val="000000"/>
          <w:sz w:val="26"/>
          <w:szCs w:val="26"/>
        </w:rPr>
        <w:t xml:space="preserve">Using Spatio-Temporal Graph Neural Networks</w:t>
      </w:r>
    </w:p>
    <w:p>
      <w:pPr>
        <w:spacing w:after="60"/>
      </w:pPr>
    </w:p>
    <w:p>
      <w:pPr>
        <w:spacing w:after="60" w:line="276"/>
        <w:jc w:val="center"/>
      </w:pPr>
      <w:r>
        <w:rPr>
          <w:rFonts w:ascii="Times New Roman" w:cs="Times New Roman" w:eastAsia="Times New Roman" w:hAnsi="Times New Roman"/>
          <w:b w:val="false"/>
          <w:bCs w:val="false"/>
          <w:i w:val="false"/>
          <w:iCs w:val="false"/>
          <w:color w:val="000000"/>
          <w:sz w:val="22"/>
          <w:szCs w:val="22"/>
        </w:rPr>
        <w:t xml:space="preserve">Submitted in partial fulfillment of requirements for the award of the course</w:t>
      </w:r>
    </w:p>
    <w:p>
      <w:pPr>
        <w:spacing w:after="60" w:line="276"/>
        <w:jc w:val="center"/>
      </w:pPr>
      <w:r>
        <w:rPr>
          <w:rFonts w:ascii="Times New Roman" w:cs="Times New Roman" w:eastAsia="Times New Roman" w:hAnsi="Times New Roman"/>
          <w:b w:val="false"/>
          <w:bCs w:val="false"/>
          <w:i w:val="false"/>
          <w:iCs w:val="false"/>
          <w:color w:val="000000"/>
          <w:sz w:val="22"/>
          <w:szCs w:val="22"/>
        </w:rPr>
        <w:t xml:space="preserve">of</w:t>
      </w:r>
    </w:p>
    <w:p>
      <w:pPr>
        <w:spacing w:after="60"/>
      </w:pPr>
    </w:p>
    <w:p>
      <w:pPr>
        <w:spacing w:after="80" w:line="276"/>
        <w:jc w:val="center"/>
      </w:pPr>
      <w:r>
        <w:rPr>
          <w:rFonts w:ascii="Times New Roman" w:cs="Times New Roman" w:eastAsia="Times New Roman" w:hAnsi="Times New Roman"/>
          <w:b/>
          <w:bCs/>
          <w:i w:val="false"/>
          <w:iCs w:val="false"/>
          <w:color w:val="000000"/>
          <w:sz w:val="26"/>
          <w:szCs w:val="26"/>
        </w:rPr>
        <w:t xml:space="preserve">CGB1303 – DATA MINING AND TECHNIQUES</w:t>
      </w:r>
    </w:p>
    <w:p>
      <w:pPr>
        <w:spacing w:after="60"/>
      </w:pPr>
    </w:p>
    <w:p>
      <w:pPr>
        <w:spacing w:after="60" w:line="276"/>
        <w:jc w:val="center"/>
      </w:pPr>
      <w:r>
        <w:rPr>
          <w:rFonts w:ascii="Times New Roman" w:cs="Times New Roman" w:eastAsia="Times New Roman" w:hAnsi="Times New Roman"/>
          <w:b w:val="false"/>
          <w:bCs w:val="false"/>
          <w:i w:val="false"/>
          <w:iCs w:val="false"/>
          <w:color w:val="000000"/>
          <w:sz w:val="22"/>
          <w:szCs w:val="22"/>
        </w:rPr>
        <w:t xml:space="preserve">Under the guidance of</w:t>
      </w:r>
    </w:p>
    <w:p>
      <w:pPr>
        <w:spacing w:after="80" w:line="276"/>
        <w:jc w:val="center"/>
      </w:pPr>
      <w:r>
        <w:rPr>
          <w:rFonts w:ascii="Times New Roman" w:cs="Times New Roman" w:eastAsia="Times New Roman" w:hAnsi="Times New Roman"/>
          <w:b/>
          <w:bCs/>
          <w:i w:val="false"/>
          <w:iCs w:val="false"/>
          <w:color w:val="000000"/>
          <w:sz w:val="26"/>
          <w:szCs w:val="26"/>
        </w:rPr>
        <w:t xml:space="preserve">Dr. S. Geeitha</w:t>
      </w:r>
    </w:p>
    <w:p>
      <w:pPr>
        <w:spacing w:after="60" w:line="276"/>
        <w:jc w:val="center"/>
      </w:pPr>
      <w:r>
        <w:rPr>
          <w:rFonts w:ascii="Times New Roman" w:cs="Times New Roman" w:eastAsia="Times New Roman" w:hAnsi="Times New Roman"/>
          <w:b w:val="false"/>
          <w:bCs w:val="false"/>
          <w:i w:val="false"/>
          <w:iCs w:val="false"/>
          <w:color w:val="000000"/>
          <w:sz w:val="22"/>
          <w:szCs w:val="22"/>
        </w:rPr>
        <w:t xml:space="preserve">Associate Professor / IT</w:t>
      </w:r>
    </w:p>
    <w:p>
      <w:pPr>
        <w:spacing w:after="60"/>
      </w:pPr>
    </w:p>
    <w:p>
      <w:pPr>
        <w:spacing w:after="60"/>
      </w:pPr>
    </w:p>
    <w:p>
      <w:pPr>
        <w:spacing w:after="60" w:line="276"/>
        <w:jc w:val="center"/>
      </w:pPr>
      <w:r>
        <w:rPr>
          <w:rFonts w:ascii="Times New Roman" w:cs="Times New Roman" w:eastAsia="Times New Roman" w:hAnsi="Times New Roman"/>
          <w:b w:val="false"/>
          <w:bCs w:val="false"/>
          <w:i w:val="false"/>
          <w:iCs w:val="false"/>
          <w:color w:val="000000"/>
          <w:sz w:val="22"/>
          <w:szCs w:val="22"/>
        </w:rPr>
        <w:t xml:space="preserve">Submitted By</w:t>
      </w:r>
    </w:p>
    <w:p>
      <w:pPr>
        <w:spacing w:after="80" w:line="276"/>
        <w:jc w:val="center"/>
      </w:pPr>
      <w:r>
        <w:rPr>
          <w:rFonts w:ascii="Times New Roman" w:cs="Times New Roman" w:eastAsia="Times New Roman" w:hAnsi="Times New Roman"/>
          <w:b/>
          <w:bCs/>
          <w:i w:val="false"/>
          <w:iCs w:val="false"/>
          <w:color w:val="000000"/>
          <w:sz w:val="26"/>
          <w:szCs w:val="26"/>
        </w:rPr>
        <w:t xml:space="preserve">NAME (927624BITxxxx)</w:t>
      </w:r>
    </w:p>
    <w:p>
      <w:pPr>
        <w:spacing w:after="60"/>
      </w:pPr>
    </w:p>
    <w:p>
      <w:pPr>
        <w:spacing w:after="60"/>
      </w:pPr>
    </w:p>
    <w:p>
      <w:pPr>
        <w:spacing w:after="80" w:line="276"/>
        <w:jc w:val="center"/>
      </w:pPr>
      <w:r>
        <w:rPr>
          <w:rFonts w:ascii="Times New Roman" w:cs="Times New Roman" w:eastAsia="Times New Roman" w:hAnsi="Times New Roman"/>
          <w:b/>
          <w:bCs/>
          <w:i w:val="false"/>
          <w:iCs w:val="false"/>
          <w:color w:val="000000"/>
          <w:sz w:val="24"/>
          <w:szCs w:val="24"/>
        </w:rPr>
        <w:t xml:space="preserve">DEPARTMENT OF INFORMATION TECHNOLOGY</w:t>
      </w:r>
    </w:p>
    <w:p>
      <w:pPr>
        <w:spacing w:after="80" w:line="276"/>
        <w:jc w:val="center"/>
      </w:pPr>
      <w:r>
        <w:rPr>
          <w:rFonts w:ascii="Times New Roman" w:cs="Times New Roman" w:eastAsia="Times New Roman" w:hAnsi="Times New Roman"/>
          <w:b/>
          <w:bCs/>
          <w:i w:val="false"/>
          <w:iCs w:val="false"/>
          <w:color w:val="000000"/>
          <w:sz w:val="24"/>
          <w:szCs w:val="24"/>
        </w:rPr>
        <w:t xml:space="preserve">M. KUMARASAMY COLLEGE OF ENGINEERING</w:t>
      </w:r>
    </w:p>
    <w:p>
      <w:pPr>
        <w:spacing w:after="60" w:line="276"/>
        <w:jc w:val="center"/>
      </w:pPr>
      <w:r>
        <w:rPr>
          <w:rFonts w:ascii="Times New Roman" w:cs="Times New Roman" w:eastAsia="Times New Roman" w:hAnsi="Times New Roman"/>
          <w:b w:val="false"/>
          <w:bCs w:val="false"/>
          <w:i w:val="false"/>
          <w:iCs w:val="false"/>
          <w:color w:val="000000"/>
          <w:sz w:val="22"/>
          <w:szCs w:val="22"/>
        </w:rPr>
        <w:t xml:space="preserve">(Autonomous)</w:t>
      </w:r>
    </w:p>
    <w:p>
      <w:pPr>
        <w:spacing w:after="80" w:line="276"/>
        <w:jc w:val="center"/>
      </w:pPr>
      <w:r>
        <w:rPr>
          <w:rFonts w:ascii="Times New Roman" w:cs="Times New Roman" w:eastAsia="Times New Roman" w:hAnsi="Times New Roman"/>
          <w:b/>
          <w:bCs/>
          <w:i w:val="false"/>
          <w:iCs w:val="false"/>
          <w:color w:val="000000"/>
          <w:sz w:val="24"/>
          <w:szCs w:val="24"/>
        </w:rPr>
        <w:t xml:space="preserve">KARUR – 639 113</w:t>
      </w:r>
    </w:p>
    <w:p>
      <w:pPr>
        <w:spacing w:after="60"/>
      </w:pPr>
    </w:p>
    <w:p>
      <w:pPr>
        <w:spacing w:after="80" w:line="276"/>
        <w:jc w:val="center"/>
      </w:pPr>
      <w:r>
        <w:rPr>
          <w:rFonts w:ascii="Times New Roman" w:cs="Times New Roman" w:eastAsia="Times New Roman" w:hAnsi="Times New Roman"/>
          <w:b/>
          <w:bCs/>
          <w:i w:val="false"/>
          <w:iCs w:val="false"/>
          <w:color w:val="000000"/>
          <w:sz w:val="24"/>
          <w:szCs w:val="24"/>
        </w:rPr>
        <w:t xml:space="preserve">DECEMBER 2026</w:t>
      </w:r>
    </w:p>
    <w:p>
      <w:pPr>
        <w:sectPr>
          <w:pgSz w:w="11906" w:h="16838" w:orient="portrait"/>
          <w:pgMar w:top="1440" w:right="1080" w:bottom="1008" w:left="1080" w:header="708" w:footer="708" w:gutter="0"/>
          <w:pgNumType/>
          <w:docGrid w:linePitch="360"/>
        </w:sectPr>
      </w:pPr>
    </w:p>
    <w:p>
      <w:pPr>
        <w:spacing w:after="80" w:line="276"/>
        <w:jc w:val="center"/>
      </w:pPr>
      <w:r>
        <w:rPr>
          <w:rFonts w:ascii="Times New Roman" w:cs="Times New Roman" w:eastAsia="Times New Roman" w:hAnsi="Times New Roman"/>
          <w:b/>
          <w:bCs/>
          <w:i w:val="false"/>
          <w:iCs w:val="false"/>
          <w:color w:val="000000"/>
          <w:sz w:val="28"/>
          <w:szCs w:val="28"/>
        </w:rPr>
        <w:t xml:space="preserve">M. KUMARASAMY COLLEGE OF ENGINEERING</w:t>
      </w:r>
    </w:p>
    <w:p>
      <w:pPr>
        <w:spacing w:after="60" w:line="276"/>
        <w:jc w:val="center"/>
      </w:pPr>
      <w:r>
        <w:rPr>
          <w:rFonts w:ascii="Times New Roman" w:cs="Times New Roman" w:eastAsia="Times New Roman" w:hAnsi="Times New Roman"/>
          <w:b w:val="false"/>
          <w:bCs w:val="false"/>
          <w:i w:val="false"/>
          <w:iCs w:val="false"/>
          <w:color w:val="000000"/>
          <w:sz w:val="20"/>
          <w:szCs w:val="20"/>
        </w:rPr>
        <w:t xml:space="preserve">(Autonomous Institution affiliated to Anna University, Chennai)</w:t>
      </w:r>
    </w:p>
    <w:p>
      <w:pPr>
        <w:spacing w:after="80" w:line="276"/>
        <w:jc w:val="center"/>
      </w:pPr>
      <w:r>
        <w:rPr>
          <w:rFonts w:ascii="Times New Roman" w:cs="Times New Roman" w:eastAsia="Times New Roman" w:hAnsi="Times New Roman"/>
          <w:b/>
          <w:bCs/>
          <w:i w:val="false"/>
          <w:iCs w:val="false"/>
          <w:color w:val="000000"/>
          <w:sz w:val="24"/>
          <w:szCs w:val="24"/>
        </w:rPr>
        <w:t xml:space="preserve">KARUR – 639 113</w:t>
      </w:r>
    </w:p>
    <w:p>
      <w:pPr>
        <w:spacing w:after="60"/>
      </w:pPr>
    </w:p>
    <w:p>
      <w:pPr>
        <w:spacing w:after="80" w:line="276"/>
        <w:jc w:val="center"/>
      </w:pPr>
      <w:r>
        <w:rPr>
          <w:rFonts w:ascii="Times New Roman" w:cs="Times New Roman" w:eastAsia="Times New Roman" w:hAnsi="Times New Roman"/>
          <w:b/>
          <w:bCs/>
          <w:i w:val="false"/>
          <w:iCs w:val="false"/>
          <w:color w:val="000000"/>
          <w:sz w:val="28"/>
          <w:szCs w:val="28"/>
        </w:rPr>
        <w:t xml:space="preserve">BONAFIDE CERTIFICATE</w:t>
      </w:r>
    </w:p>
    <w:p>
      <w:pPr>
        <w:spacing w:after="60"/>
      </w:pP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This is to certify that this project report on “CATRS: Congestion-Aware Traffic Routing System Using Spatio-Temporal Graph Neural Networks” is the bonafide work of NAME (927624BITYYYYY) who carried out the project work during the academic year 2025 – 2026 under my supervision.</w:t>
      </w:r>
    </w:p>
    <w:p>
      <w:pPr>
        <w:spacing w:after="60"/>
      </w:pPr>
    </w:p>
    <w:p>
      <w:pPr>
        <w:spacing w:after="60"/>
      </w:pP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Pr>
          <w:p>
            <w:pPr>
              <w:spacing w:after="120" w:line="276"/>
              <w:jc w:val="center"/>
            </w:pPr>
            <w:r>
              <w:rPr>
                <w:rFonts w:ascii="Times New Roman" w:cs="Times New Roman" w:eastAsia="Times New Roman" w:hAnsi="Times New Roman"/>
                <w:b/>
                <w:bCs/>
                <w:i w:val="false"/>
                <w:iCs w:val="false"/>
                <w:color w:val="000000"/>
                <w:sz w:val="24"/>
                <w:szCs w:val="24"/>
              </w:rPr>
              <w:t xml:space="preserve">Signature</w:t>
            </w:r>
          </w:p>
          <w:p>
            <w:pPr>
              <w:spacing w:after="60"/>
            </w:pPr>
          </w:p>
          <w:p>
            <w:pPr>
              <w:spacing w:after="120" w:line="276"/>
              <w:jc w:val="center"/>
            </w:pPr>
            <w:r>
              <w:rPr>
                <w:rFonts w:ascii="Times New Roman" w:cs="Times New Roman" w:eastAsia="Times New Roman" w:hAnsi="Times New Roman"/>
                <w:b/>
                <w:bCs/>
                <w:i w:val="false"/>
                <w:iCs w:val="false"/>
                <w:color w:val="000000"/>
                <w:sz w:val="20"/>
                <w:szCs w:val="20"/>
              </w:rPr>
              <w:t xml:space="preserve">Dr. S. GEEITHA M.E., Ph.D.,</w:t>
            </w:r>
          </w:p>
          <w:p>
            <w:pPr>
              <w:spacing w:after="120" w:line="276"/>
              <w:jc w:val="center"/>
            </w:pPr>
            <w:r>
              <w:rPr>
                <w:rFonts w:ascii="Times New Roman" w:cs="Times New Roman" w:eastAsia="Times New Roman" w:hAnsi="Times New Roman"/>
                <w:b w:val="false"/>
                <w:bCs w:val="false"/>
                <w:i w:val="false"/>
                <w:iCs w:val="false"/>
                <w:color w:val="000000"/>
                <w:sz w:val="18"/>
                <w:szCs w:val="18"/>
              </w:rPr>
              <w:t xml:space="preserve">ASSOCIATE PROFESSOR,</w:t>
            </w:r>
          </w:p>
          <w:p>
            <w:pPr>
              <w:spacing w:after="120" w:line="276"/>
              <w:jc w:val="center"/>
            </w:pPr>
            <w:r>
              <w:rPr>
                <w:rFonts w:ascii="Times New Roman" w:cs="Times New Roman" w:eastAsia="Times New Roman" w:hAnsi="Times New Roman"/>
                <w:b w:val="false"/>
                <w:bCs w:val="false"/>
                <w:i w:val="false"/>
                <w:iCs w:val="false"/>
                <w:color w:val="000000"/>
                <w:sz w:val="18"/>
                <w:szCs w:val="18"/>
              </w:rPr>
              <w:t xml:space="preserve">Department of Information Technology</w:t>
            </w:r>
          </w:p>
          <w:p>
            <w:pPr>
              <w:spacing w:after="120" w:line="276"/>
              <w:jc w:val="center"/>
            </w:pPr>
            <w:r>
              <w:rPr>
                <w:rFonts w:ascii="Times New Roman" w:cs="Times New Roman" w:eastAsia="Times New Roman" w:hAnsi="Times New Roman"/>
                <w:b w:val="false"/>
                <w:bCs w:val="false"/>
                <w:i w:val="false"/>
                <w:iCs w:val="false"/>
                <w:color w:val="000000"/>
                <w:sz w:val="18"/>
                <w:szCs w:val="18"/>
              </w:rPr>
              <w:t xml:space="preserve">M. Kumarasamy College of Engineering,</w:t>
            </w:r>
          </w:p>
          <w:p>
            <w:pPr>
              <w:spacing w:after="120" w:line="276"/>
              <w:jc w:val="center"/>
            </w:pPr>
            <w:r>
              <w:rPr>
                <w:rFonts w:ascii="Times New Roman" w:cs="Times New Roman" w:eastAsia="Times New Roman" w:hAnsi="Times New Roman"/>
                <w:b w:val="false"/>
                <w:bCs w:val="false"/>
                <w:i w:val="false"/>
                <w:iCs w:val="false"/>
                <w:color w:val="000000"/>
                <w:sz w:val="18"/>
                <w:szCs w:val="18"/>
              </w:rPr>
              <w:t xml:space="preserve">Thalavapalayam, Karur – 639 113.</w:t>
            </w:r>
          </w:p>
        </w:tc>
        <w:tc>
          <w:tcPr>
            <w:tcW w:type="dxa" w:w="4873"/>
            <w:tcBorders>
              <w:top w:val="none" w:color="FFFFFF" w:sz="0"/>
              <w:left w:val="none" w:color="FFFFFF" w:sz="0"/>
              <w:bottom w:val="none" w:color="FFFFFF" w:sz="0"/>
              <w:right w:val="none" w:color="FFFFFF" w:sz="0"/>
            </w:tcBorders>
          </w:tcPr>
          <w:p>
            <w:pPr>
              <w:spacing w:after="120" w:line="276"/>
              <w:jc w:val="center"/>
            </w:pPr>
            <w:r>
              <w:rPr>
                <w:rFonts w:ascii="Times New Roman" w:cs="Times New Roman" w:eastAsia="Times New Roman" w:hAnsi="Times New Roman"/>
                <w:b/>
                <w:bCs/>
                <w:i w:val="false"/>
                <w:iCs w:val="false"/>
                <w:color w:val="000000"/>
                <w:sz w:val="24"/>
                <w:szCs w:val="24"/>
              </w:rPr>
              <w:t xml:space="preserve">Signature</w:t>
            </w:r>
          </w:p>
          <w:p>
            <w:pPr>
              <w:spacing w:after="60"/>
            </w:pPr>
          </w:p>
          <w:p>
            <w:pPr>
              <w:spacing w:after="120" w:line="276"/>
              <w:jc w:val="center"/>
            </w:pPr>
            <w:r>
              <w:rPr>
                <w:rFonts w:ascii="Times New Roman" w:cs="Times New Roman" w:eastAsia="Times New Roman" w:hAnsi="Times New Roman"/>
                <w:b/>
                <w:bCs/>
                <w:i w:val="false"/>
                <w:iCs w:val="false"/>
                <w:color w:val="000000"/>
                <w:sz w:val="20"/>
                <w:szCs w:val="20"/>
              </w:rPr>
              <w:t xml:space="preserve">Dr. K. RAVIKUMAR M.E., Ph.D.,</w:t>
            </w:r>
          </w:p>
          <w:p>
            <w:pPr>
              <w:spacing w:after="120" w:line="276"/>
              <w:jc w:val="center"/>
            </w:pPr>
            <w:r>
              <w:rPr>
                <w:rFonts w:ascii="Times New Roman" w:cs="Times New Roman" w:eastAsia="Times New Roman" w:hAnsi="Times New Roman"/>
                <w:b w:val="false"/>
                <w:bCs w:val="false"/>
                <w:i w:val="false"/>
                <w:iCs w:val="false"/>
                <w:color w:val="000000"/>
                <w:sz w:val="18"/>
                <w:szCs w:val="18"/>
              </w:rPr>
              <w:t xml:space="preserve">HEAD OF THE DEPARTMENT,</w:t>
            </w:r>
          </w:p>
          <w:p>
            <w:pPr>
              <w:spacing w:after="120" w:line="276"/>
              <w:jc w:val="center"/>
            </w:pPr>
            <w:r>
              <w:rPr>
                <w:rFonts w:ascii="Times New Roman" w:cs="Times New Roman" w:eastAsia="Times New Roman" w:hAnsi="Times New Roman"/>
                <w:b w:val="false"/>
                <w:bCs w:val="false"/>
                <w:i w:val="false"/>
                <w:iCs w:val="false"/>
                <w:color w:val="000000"/>
                <w:sz w:val="18"/>
                <w:szCs w:val="18"/>
              </w:rPr>
              <w:t xml:space="preserve">Department of Information Technology</w:t>
            </w:r>
          </w:p>
          <w:p>
            <w:pPr>
              <w:spacing w:after="120" w:line="276"/>
              <w:jc w:val="center"/>
            </w:pPr>
            <w:r>
              <w:rPr>
                <w:rFonts w:ascii="Times New Roman" w:cs="Times New Roman" w:eastAsia="Times New Roman" w:hAnsi="Times New Roman"/>
                <w:b w:val="false"/>
                <w:bCs w:val="false"/>
                <w:i w:val="false"/>
                <w:iCs w:val="false"/>
                <w:color w:val="000000"/>
                <w:sz w:val="18"/>
                <w:szCs w:val="18"/>
              </w:rPr>
              <w:t xml:space="preserve">M. Kumarasamy College of Engineering,</w:t>
            </w:r>
          </w:p>
          <w:p>
            <w:pPr>
              <w:spacing w:after="120" w:line="276"/>
              <w:jc w:val="center"/>
            </w:pPr>
            <w:r>
              <w:rPr>
                <w:rFonts w:ascii="Times New Roman" w:cs="Times New Roman" w:eastAsia="Times New Roman" w:hAnsi="Times New Roman"/>
                <w:b w:val="false"/>
                <w:bCs w:val="false"/>
                <w:i w:val="false"/>
                <w:iCs w:val="false"/>
                <w:color w:val="000000"/>
                <w:sz w:val="18"/>
                <w:szCs w:val="18"/>
              </w:rPr>
              <w:t xml:space="preserve">Thalavapalayam, Karur – 639 113.</w:t>
            </w:r>
          </w:p>
        </w:tc>
      </w:tr>
    </w:tbl>
    <w:p>
      <w:pPr>
        <w:spacing w:after="60"/>
      </w:pPr>
    </w:p>
    <w:p>
      <w:pPr>
        <w:spacing w:after="60"/>
      </w:pPr>
    </w:p>
    <w:p>
      <w:pPr>
        <w:spacing w:after="60" w:line="276"/>
        <w:jc w:val="center"/>
      </w:pPr>
      <w:r>
        <w:rPr>
          <w:rFonts w:ascii="Times New Roman" w:cs="Times New Roman" w:eastAsia="Times New Roman" w:hAnsi="Times New Roman"/>
          <w:b w:val="false"/>
          <w:bCs w:val="false"/>
          <w:i w:val="false"/>
          <w:iCs w:val="false"/>
          <w:color w:val="000000"/>
          <w:sz w:val="20"/>
          <w:szCs w:val="20"/>
        </w:rPr>
        <w:t xml:space="preserve">ii</w:t>
      </w:r>
    </w:p>
    <w:p>
      <w:pPr>
        <w:sectPr>
          <w:pgSz w:w="11906" w:h="16838" w:orient="portrait"/>
          <w:pgMar w:top="1440" w:right="1080" w:bottom="1008" w:left="1080" w:header="708" w:footer="708" w:gutter="0"/>
          <w:pgNumType/>
          <w:docGrid w:linePitch="360"/>
        </w:sectPr>
      </w:pPr>
    </w:p>
    <w:p>
      <w:pPr>
        <w:spacing w:after="80" w:line="276"/>
        <w:jc w:val="center"/>
      </w:pPr>
      <w:r>
        <w:rPr>
          <w:rFonts w:ascii="Times New Roman" w:cs="Times New Roman" w:eastAsia="Times New Roman" w:hAnsi="Times New Roman"/>
          <w:b/>
          <w:bCs/>
          <w:i w:val="false"/>
          <w:iCs w:val="false"/>
          <w:color w:val="000000"/>
          <w:sz w:val="26"/>
          <w:szCs w:val="26"/>
        </w:rPr>
        <w:t xml:space="preserve">DEPARTMENT OF INFORMATION TECHNOLOGY</w:t>
      </w:r>
    </w:p>
    <w:p>
      <w:pPr>
        <w:spacing w:after="60"/>
      </w:pPr>
    </w:p>
    <w:p>
      <w:pPr>
        <w:spacing w:after="80" w:line="276"/>
        <w:jc w:val="center"/>
      </w:pPr>
      <w:r>
        <w:rPr>
          <w:rFonts w:ascii="Times New Roman" w:cs="Times New Roman" w:eastAsia="Times New Roman" w:hAnsi="Times New Roman"/>
          <w:b/>
          <w:bCs/>
          <w:i w:val="false"/>
          <w:iCs w:val="false"/>
          <w:color w:val="000000"/>
          <w:sz w:val="24"/>
          <w:szCs w:val="24"/>
        </w:rPr>
        <w:t xml:space="preserve">VISION OF THE INSTITUTION</w:t>
      </w:r>
    </w:p>
    <w:p>
      <w:pPr>
        <w:spacing w:after="80" w:line="276"/>
        <w:ind w:left="360"/>
      </w:pPr>
      <w:r>
        <w:rPr>
          <w:rFonts w:ascii="Times New Roman" w:cs="Times New Roman" w:eastAsia="Times New Roman" w:hAnsi="Times New Roman"/>
          <w:sz w:val="24"/>
          <w:szCs w:val="24"/>
        </w:rPr>
        <w:t xml:space="preserve">•  To emerge as a leader among the top institutions in the field of technical education.</w:t>
      </w:r>
    </w:p>
    <w:p>
      <w:pPr>
        <w:spacing w:after="60"/>
      </w:pPr>
    </w:p>
    <w:p>
      <w:pPr>
        <w:spacing w:after="80" w:line="276"/>
        <w:jc w:val="center"/>
      </w:pPr>
      <w:r>
        <w:rPr>
          <w:rFonts w:ascii="Times New Roman" w:cs="Times New Roman" w:eastAsia="Times New Roman" w:hAnsi="Times New Roman"/>
          <w:b/>
          <w:bCs/>
          <w:i w:val="false"/>
          <w:iCs w:val="false"/>
          <w:color w:val="000000"/>
          <w:sz w:val="24"/>
          <w:szCs w:val="24"/>
        </w:rPr>
        <w:t xml:space="preserve">MISSION OF THE INSTITUTION</w:t>
      </w:r>
    </w:p>
    <w:p>
      <w:pPr>
        <w:spacing w:after="80" w:line="276"/>
        <w:ind w:left="360"/>
      </w:pPr>
      <w:r>
        <w:rPr>
          <w:rFonts w:ascii="Times New Roman" w:cs="Times New Roman" w:eastAsia="Times New Roman" w:hAnsi="Times New Roman"/>
          <w:sz w:val="24"/>
          <w:szCs w:val="24"/>
        </w:rPr>
        <w:t xml:space="preserve">•  Produce smart technocrats with empirical knowledge who can surmount the global challenges</w:t>
      </w:r>
    </w:p>
    <w:p>
      <w:pPr>
        <w:spacing w:after="80" w:line="276"/>
        <w:ind w:left="360"/>
      </w:pPr>
      <w:r>
        <w:rPr>
          <w:rFonts w:ascii="Times New Roman" w:cs="Times New Roman" w:eastAsia="Times New Roman" w:hAnsi="Times New Roman"/>
          <w:sz w:val="24"/>
          <w:szCs w:val="24"/>
        </w:rPr>
        <w:t xml:space="preserve">•  Create a diverse, fully-engaged, learner-centric campus environment to provide quality education to the students</w:t>
      </w:r>
    </w:p>
    <w:p>
      <w:pPr>
        <w:spacing w:after="80" w:line="276"/>
        <w:ind w:left="360"/>
      </w:pPr>
      <w:r>
        <w:rPr>
          <w:rFonts w:ascii="Times New Roman" w:cs="Times New Roman" w:eastAsia="Times New Roman" w:hAnsi="Times New Roman"/>
          <w:sz w:val="24"/>
          <w:szCs w:val="24"/>
        </w:rPr>
        <w:t xml:space="preserve">•  Maintain mutually beneficial partnerships with our alumni, industry, and Professional associations</w:t>
      </w:r>
    </w:p>
    <w:p>
      <w:pPr>
        <w:spacing w:after="60"/>
      </w:pPr>
    </w:p>
    <w:p>
      <w:pPr>
        <w:spacing w:after="80" w:line="276"/>
        <w:jc w:val="center"/>
      </w:pPr>
      <w:r>
        <w:rPr>
          <w:rFonts w:ascii="Times New Roman" w:cs="Times New Roman" w:eastAsia="Times New Roman" w:hAnsi="Times New Roman"/>
          <w:b/>
          <w:bCs/>
          <w:i w:val="false"/>
          <w:iCs w:val="false"/>
          <w:color w:val="000000"/>
          <w:sz w:val="24"/>
          <w:szCs w:val="24"/>
        </w:rPr>
        <w:t xml:space="preserve">VISION OF THE DEPARTMENT</w:t>
      </w:r>
    </w:p>
    <w:p>
      <w:pPr>
        <w:spacing w:after="160"/>
        <w:jc w:val="center"/>
      </w:pPr>
      <w:r>
        <w:rPr>
          <w:rFonts w:ascii="Times New Roman" w:cs="Times New Roman" w:eastAsia="Times New Roman" w:hAnsi="Times New Roman"/>
          <w:b w:val="false"/>
          <w:bCs w:val="false"/>
          <w:i w:val="false"/>
          <w:iCs w:val="false"/>
          <w:color w:val="000000"/>
          <w:sz w:val="24"/>
          <w:szCs w:val="24"/>
        </w:rPr>
        <w:t xml:space="preserve">To Create Technically Skilled IT Professionals to meet Corporate Expectations and to Address Societal Concerns.</w:t>
      </w:r>
    </w:p>
    <w:p>
      <w:pPr>
        <w:spacing w:after="60"/>
      </w:pPr>
    </w:p>
    <w:p>
      <w:pPr>
        <w:spacing w:after="80" w:line="276"/>
        <w:jc w:val="center"/>
      </w:pPr>
      <w:r>
        <w:rPr>
          <w:rFonts w:ascii="Times New Roman" w:cs="Times New Roman" w:eastAsia="Times New Roman" w:hAnsi="Times New Roman"/>
          <w:b/>
          <w:bCs/>
          <w:i w:val="false"/>
          <w:iCs w:val="false"/>
          <w:color w:val="000000"/>
          <w:sz w:val="24"/>
          <w:szCs w:val="24"/>
        </w:rPr>
        <w:t xml:space="preserve">MISSION OF THE DEPARTMENT</w:t>
      </w:r>
    </w:p>
    <w:p>
      <w:pPr>
        <w:spacing w:after="80" w:line="276"/>
        <w:ind w:left="360"/>
      </w:pPr>
      <w:r>
        <w:rPr>
          <w:rFonts w:ascii="Times New Roman" w:cs="Times New Roman" w:eastAsia="Times New Roman" w:hAnsi="Times New Roman"/>
          <w:sz w:val="24"/>
          <w:szCs w:val="24"/>
        </w:rPr>
        <w:t xml:space="preserve">•  To build competency in advanced computing technologies and implement project-based learning</w:t>
      </w:r>
    </w:p>
    <w:p>
      <w:pPr>
        <w:spacing w:after="80" w:line="276"/>
        <w:ind w:left="360"/>
      </w:pPr>
      <w:r>
        <w:rPr>
          <w:rFonts w:ascii="Times New Roman" w:cs="Times New Roman" w:eastAsia="Times New Roman" w:hAnsi="Times New Roman"/>
          <w:sz w:val="24"/>
          <w:szCs w:val="24"/>
        </w:rPr>
        <w:t xml:space="preserve">•  To establish industry collaboration for research projects and consultancy.</w:t>
      </w:r>
    </w:p>
    <w:p>
      <w:pPr>
        <w:spacing w:after="80" w:line="276"/>
        <w:ind w:left="360"/>
      </w:pPr>
      <w:r>
        <w:rPr>
          <w:rFonts w:ascii="Times New Roman" w:cs="Times New Roman" w:eastAsia="Times New Roman" w:hAnsi="Times New Roman"/>
          <w:sz w:val="24"/>
          <w:szCs w:val="24"/>
        </w:rPr>
        <w:t xml:space="preserve">•  To inculcate Entrepreneurial skills to serve the societal benefits.</w:t>
      </w:r>
    </w:p>
    <w:p>
      <w:pPr>
        <w:spacing w:after="60"/>
      </w:pPr>
    </w:p>
    <w:p>
      <w:pPr>
        <w:spacing w:after="80" w:line="276"/>
        <w:jc w:val="center"/>
      </w:pPr>
      <w:r>
        <w:rPr>
          <w:rFonts w:ascii="Times New Roman" w:cs="Times New Roman" w:eastAsia="Times New Roman" w:hAnsi="Times New Roman"/>
          <w:b/>
          <w:bCs/>
          <w:i w:val="false"/>
          <w:iCs w:val="false"/>
          <w:color w:val="000000"/>
          <w:sz w:val="24"/>
          <w:szCs w:val="24"/>
        </w:rPr>
        <w:t xml:space="preserve">PROGRAM EDUCATIONAL OBJECTIVES (PEOs)</w:t>
      </w:r>
    </w:p>
    <w:p>
      <w:pPr>
        <w:spacing w:after="80"/>
        <w:jc w:val="both"/>
      </w:pPr>
      <w:r>
        <w:rPr>
          <w:rFonts w:ascii="Times New Roman" w:cs="Times New Roman" w:eastAsia="Times New Roman" w:hAnsi="Times New Roman"/>
          <w:b w:val="false"/>
          <w:bCs w:val="false"/>
          <w:i w:val="false"/>
          <w:iCs w:val="false"/>
          <w:color w:val="000000"/>
          <w:sz w:val="24"/>
          <w:szCs w:val="24"/>
        </w:rPr>
        <w:t xml:space="preserve">PEO1: Graduates will be able to solve real world problems using advanced computing technologies</w:t>
      </w:r>
    </w:p>
    <w:p>
      <w:pPr>
        <w:spacing w:after="80"/>
        <w:jc w:val="both"/>
      </w:pPr>
      <w:r>
        <w:rPr>
          <w:rFonts w:ascii="Times New Roman" w:cs="Times New Roman" w:eastAsia="Times New Roman" w:hAnsi="Times New Roman"/>
          <w:b w:val="false"/>
          <w:bCs w:val="false"/>
          <w:i w:val="false"/>
          <w:iCs w:val="false"/>
          <w:color w:val="000000"/>
          <w:sz w:val="24"/>
          <w:szCs w:val="24"/>
        </w:rPr>
        <w:t xml:space="preserve">PEO2: Encompass the ability to build innovative software products and become a successful entrepreneur</w:t>
      </w:r>
    </w:p>
    <w:p>
      <w:pPr>
        <w:spacing w:after="160"/>
        <w:jc w:val="both"/>
      </w:pPr>
      <w:r>
        <w:rPr>
          <w:rFonts w:ascii="Times New Roman" w:cs="Times New Roman" w:eastAsia="Times New Roman" w:hAnsi="Times New Roman"/>
          <w:b w:val="false"/>
          <w:bCs w:val="false"/>
          <w:i w:val="false"/>
          <w:iCs w:val="false"/>
          <w:color w:val="000000"/>
          <w:sz w:val="24"/>
          <w:szCs w:val="24"/>
        </w:rPr>
        <w:t xml:space="preserve">PEO3: Carry out industrial projects and succeed in research careers</w:t>
      </w:r>
    </w:p>
    <w:p>
      <w:pPr>
        <w:spacing w:after="60" w:line="276"/>
        <w:jc w:val="center"/>
      </w:pPr>
      <w:r>
        <w:rPr>
          <w:rFonts w:ascii="Times New Roman" w:cs="Times New Roman" w:eastAsia="Times New Roman" w:hAnsi="Times New Roman"/>
          <w:b w:val="false"/>
          <w:bCs w:val="false"/>
          <w:i w:val="false"/>
          <w:iCs w:val="false"/>
          <w:color w:val="000000"/>
          <w:sz w:val="20"/>
          <w:szCs w:val="20"/>
        </w:rPr>
        <w:t xml:space="preserve">iii</w:t>
      </w:r>
    </w:p>
    <w:p>
      <w:pPr>
        <w:pageBreakBefore/>
      </w:pPr>
    </w:p>
    <w:p>
      <w:pPr>
        <w:spacing w:after="80" w:line="276"/>
        <w:jc w:val="center"/>
      </w:pPr>
      <w:r>
        <w:rPr>
          <w:rFonts w:ascii="Times New Roman" w:cs="Times New Roman" w:eastAsia="Times New Roman" w:hAnsi="Times New Roman"/>
          <w:b/>
          <w:bCs/>
          <w:i w:val="false"/>
          <w:iCs w:val="false"/>
          <w:color w:val="000000"/>
          <w:sz w:val="24"/>
          <w:szCs w:val="24"/>
        </w:rPr>
        <w:t xml:space="preserve">PROGRAM OUTCOMES (POs)</w:t>
      </w:r>
    </w:p>
    <w:p>
      <w:pPr>
        <w:spacing w:after="120"/>
        <w:jc w:val="both"/>
      </w:pPr>
      <w:r>
        <w:rPr>
          <w:rFonts w:ascii="Times New Roman" w:cs="Times New Roman" w:eastAsia="Times New Roman" w:hAnsi="Times New Roman"/>
          <w:b w:val="false"/>
          <w:bCs w:val="false"/>
          <w:i w:val="false"/>
          <w:iCs w:val="false"/>
          <w:color w:val="000000"/>
          <w:sz w:val="24"/>
          <w:szCs w:val="24"/>
        </w:rPr>
        <w:t xml:space="preserve">Engineering students will be able to:</w:t>
      </w:r>
    </w:p>
    <w:p>
      <w:pPr>
        <w:spacing w:after="80"/>
        <w:jc w:val="both"/>
      </w:pPr>
      <w:r>
        <w:rPr>
          <w:rFonts w:ascii="Times New Roman" w:cs="Times New Roman" w:eastAsia="Times New Roman" w:hAnsi="Times New Roman"/>
          <w:b w:val="false"/>
          <w:bCs w:val="false"/>
          <w:i w:val="false"/>
          <w:iCs w:val="false"/>
          <w:color w:val="000000"/>
          <w:sz w:val="22"/>
          <w:szCs w:val="22"/>
        </w:rPr>
        <w:t xml:space="preserve">1. PO1: Engineering knowledge: Apply knowledge of mathematics, natural science, computing, engineering fundamentals and an engineering specialization to develop solutions to complex engineering problems.</w:t>
      </w:r>
    </w:p>
    <w:p>
      <w:pPr>
        <w:spacing w:after="80"/>
        <w:jc w:val="both"/>
      </w:pPr>
      <w:r>
        <w:rPr>
          <w:rFonts w:ascii="Times New Roman" w:cs="Times New Roman" w:eastAsia="Times New Roman" w:hAnsi="Times New Roman"/>
          <w:b w:val="false"/>
          <w:bCs w:val="false"/>
          <w:i w:val="false"/>
          <w:iCs w:val="false"/>
          <w:color w:val="000000"/>
          <w:sz w:val="22"/>
          <w:szCs w:val="22"/>
        </w:rPr>
        <w:t xml:space="preserve">2. PO2: Problem analysis: Identify, formulate, review research literature and analyze complex engineering problems reaching substantiated conclusions with consideration for sustainable development.</w:t>
      </w:r>
    </w:p>
    <w:p>
      <w:pPr>
        <w:spacing w:after="80"/>
        <w:jc w:val="both"/>
      </w:pPr>
      <w:r>
        <w:rPr>
          <w:rFonts w:ascii="Times New Roman" w:cs="Times New Roman" w:eastAsia="Times New Roman" w:hAnsi="Times New Roman"/>
          <w:b w:val="false"/>
          <w:bCs w:val="false"/>
          <w:i w:val="false"/>
          <w:iCs w:val="false"/>
          <w:color w:val="000000"/>
          <w:sz w:val="22"/>
          <w:szCs w:val="22"/>
        </w:rPr>
        <w:t xml:space="preserve">3. PO3: Design/development of solutions: Design creative solutions for complex engineering problems and design/develop systems/components/processes to meet identified needs with consideration for public health and safety, whole-life cost, net zero carbon, culture, society and environment.</w:t>
      </w:r>
    </w:p>
    <w:p>
      <w:pPr>
        <w:spacing w:after="80"/>
        <w:jc w:val="both"/>
      </w:pPr>
      <w:r>
        <w:rPr>
          <w:rFonts w:ascii="Times New Roman" w:cs="Times New Roman" w:eastAsia="Times New Roman" w:hAnsi="Times New Roman"/>
          <w:b w:val="false"/>
          <w:bCs w:val="false"/>
          <w:i w:val="false"/>
          <w:iCs w:val="false"/>
          <w:color w:val="000000"/>
          <w:sz w:val="22"/>
          <w:szCs w:val="22"/>
        </w:rPr>
        <w:t xml:space="preserve">4. PO4: Conduct Investigations of Complex Problems: Conduct investigations of complex engineering problems using research-based knowledge including design of experiments, modelling, analysis &amp; interpretation of data to provide valid conclusions.</w:t>
      </w:r>
    </w:p>
    <w:p>
      <w:pPr>
        <w:spacing w:after="80"/>
        <w:jc w:val="both"/>
      </w:pPr>
      <w:r>
        <w:rPr>
          <w:rFonts w:ascii="Times New Roman" w:cs="Times New Roman" w:eastAsia="Times New Roman" w:hAnsi="Times New Roman"/>
          <w:b w:val="false"/>
          <w:bCs w:val="false"/>
          <w:i w:val="false"/>
          <w:iCs w:val="false"/>
          <w:color w:val="000000"/>
          <w:sz w:val="22"/>
          <w:szCs w:val="22"/>
        </w:rPr>
        <w:t xml:space="preserve">5. PO5: Engineering Tool Usage: Create, select and apply appropriate techniques, resources and modern engineering &amp; IT tools, including prediction and modelling recognizing their limitations to solve complex engineering problems.</w:t>
      </w:r>
    </w:p>
    <w:p>
      <w:pPr>
        <w:spacing w:after="80"/>
        <w:jc w:val="both"/>
      </w:pPr>
      <w:r>
        <w:rPr>
          <w:rFonts w:ascii="Times New Roman" w:cs="Times New Roman" w:eastAsia="Times New Roman" w:hAnsi="Times New Roman"/>
          <w:b w:val="false"/>
          <w:bCs w:val="false"/>
          <w:i w:val="false"/>
          <w:iCs w:val="false"/>
          <w:color w:val="000000"/>
          <w:sz w:val="22"/>
          <w:szCs w:val="22"/>
        </w:rPr>
        <w:t xml:space="preserve">6. PO6: The Engineer and The World: Analyze and evaluate societal and environmental aspects while solving complex engineering problems for its impact on sustainability with reference to economy, health, safety, legal framework, culture and environment.</w:t>
      </w:r>
    </w:p>
    <w:p>
      <w:pPr>
        <w:spacing w:after="80"/>
        <w:jc w:val="both"/>
      </w:pPr>
      <w:r>
        <w:rPr>
          <w:rFonts w:ascii="Times New Roman" w:cs="Times New Roman" w:eastAsia="Times New Roman" w:hAnsi="Times New Roman"/>
          <w:b w:val="false"/>
          <w:bCs w:val="false"/>
          <w:i w:val="false"/>
          <w:iCs w:val="false"/>
          <w:color w:val="000000"/>
          <w:sz w:val="22"/>
          <w:szCs w:val="22"/>
        </w:rPr>
        <w:t xml:space="preserve">7. PO7: Ethics: Apply ethical principles and commit to professional ethics, human values, diversity and inclusion; adhere to national &amp; international laws.</w:t>
      </w:r>
    </w:p>
    <w:p>
      <w:pPr>
        <w:spacing w:after="80"/>
        <w:jc w:val="both"/>
      </w:pPr>
      <w:r>
        <w:rPr>
          <w:rFonts w:ascii="Times New Roman" w:cs="Times New Roman" w:eastAsia="Times New Roman" w:hAnsi="Times New Roman"/>
          <w:b w:val="false"/>
          <w:bCs w:val="false"/>
          <w:i w:val="false"/>
          <w:iCs w:val="false"/>
          <w:color w:val="000000"/>
          <w:sz w:val="22"/>
          <w:szCs w:val="22"/>
        </w:rPr>
        <w:t xml:space="preserve">8. PO8: Individual and Collaborative Team work: Function effectively as an individual, and as a member or leader in diverse/multi-disciplinary teams.</w:t>
      </w:r>
    </w:p>
    <w:p>
      <w:pPr>
        <w:spacing w:after="80"/>
        <w:jc w:val="both"/>
      </w:pPr>
      <w:r>
        <w:rPr>
          <w:rFonts w:ascii="Times New Roman" w:cs="Times New Roman" w:eastAsia="Times New Roman" w:hAnsi="Times New Roman"/>
          <w:b w:val="false"/>
          <w:bCs w:val="false"/>
          <w:i w:val="false"/>
          <w:iCs w:val="false"/>
          <w:color w:val="000000"/>
          <w:sz w:val="22"/>
          <w:szCs w:val="22"/>
        </w:rPr>
        <w:t xml:space="preserve">9. PO9: Communication: Communicate effectively and inclusively within the engineering community and society at large, such as being able to comprehend and write effective reports and design documentation, make effective presentations.</w:t>
      </w:r>
    </w:p>
    <w:p>
      <w:pPr>
        <w:spacing w:after="80"/>
        <w:jc w:val="both"/>
      </w:pPr>
      <w:r>
        <w:rPr>
          <w:rFonts w:ascii="Times New Roman" w:cs="Times New Roman" w:eastAsia="Times New Roman" w:hAnsi="Times New Roman"/>
          <w:b w:val="false"/>
          <w:bCs w:val="false"/>
          <w:i w:val="false"/>
          <w:iCs w:val="false"/>
          <w:color w:val="000000"/>
          <w:sz w:val="22"/>
          <w:szCs w:val="22"/>
        </w:rPr>
        <w:t xml:space="preserve">10. PO10: Project Management and Finance: Apply knowledge and understanding of engineering management principles and economic decision-making and apply these to one’s own work, as a member and leader in a team, and to manage projects and in multidisciplinary environments.</w:t>
      </w:r>
    </w:p>
    <w:p>
      <w:pPr>
        <w:spacing w:after="160"/>
        <w:jc w:val="both"/>
      </w:pPr>
      <w:r>
        <w:rPr>
          <w:rFonts w:ascii="Times New Roman" w:cs="Times New Roman" w:eastAsia="Times New Roman" w:hAnsi="Times New Roman"/>
          <w:b w:val="false"/>
          <w:bCs w:val="false"/>
          <w:i w:val="false"/>
          <w:iCs w:val="false"/>
          <w:color w:val="000000"/>
          <w:sz w:val="22"/>
          <w:szCs w:val="22"/>
        </w:rPr>
        <w:t xml:space="preserve">11. PO11: Life-Long Learning: Recognize the need for, and have the preparation and ability for i) independent and life-long learning ii) adaptability to new and emerging technologies and iii) critical thinking in the broadest context of technological change.</w:t>
      </w:r>
    </w:p>
    <w:p>
      <w:pPr>
        <w:spacing w:after="80" w:line="276"/>
        <w:jc w:val="center"/>
      </w:pPr>
      <w:r>
        <w:rPr>
          <w:rFonts w:ascii="Times New Roman" w:cs="Times New Roman" w:eastAsia="Times New Roman" w:hAnsi="Times New Roman"/>
          <w:b/>
          <w:bCs/>
          <w:i w:val="false"/>
          <w:iCs w:val="false"/>
          <w:color w:val="000000"/>
          <w:sz w:val="24"/>
          <w:szCs w:val="24"/>
        </w:rPr>
        <w:t xml:space="preserve">PROGRAM SPECIFIC OUTCOMES (PSOs)</w:t>
      </w:r>
    </w:p>
    <w:p>
      <w:pPr>
        <w:spacing w:after="60"/>
        <w:jc w:val="both"/>
      </w:pPr>
      <w:r>
        <w:rPr>
          <w:rFonts w:ascii="Times New Roman" w:cs="Times New Roman" w:eastAsia="Times New Roman" w:hAnsi="Times New Roman"/>
          <w:b w:val="false"/>
          <w:bCs w:val="false"/>
          <w:i w:val="false"/>
          <w:iCs w:val="false"/>
          <w:color w:val="000000"/>
          <w:sz w:val="24"/>
          <w:szCs w:val="24"/>
        </w:rPr>
        <w:t xml:space="preserve">PSO1: Apply knowledge of computer programming concepts to develop software projects.</w:t>
      </w:r>
    </w:p>
    <w:p>
      <w:pPr>
        <w:spacing w:after="60"/>
        <w:jc w:val="both"/>
      </w:pPr>
      <w:r>
        <w:rPr>
          <w:rFonts w:ascii="Times New Roman" w:cs="Times New Roman" w:eastAsia="Times New Roman" w:hAnsi="Times New Roman"/>
          <w:b w:val="false"/>
          <w:bCs w:val="false"/>
          <w:i w:val="false"/>
          <w:iCs w:val="false"/>
          <w:color w:val="000000"/>
          <w:sz w:val="24"/>
          <w:szCs w:val="24"/>
        </w:rPr>
        <w:t xml:space="preserve">PSO2: Design software in a futuristic approach to adapt cutting-edge technologies.</w:t>
      </w:r>
    </w:p>
    <w:p>
      <w:pPr>
        <w:spacing w:after="160"/>
        <w:jc w:val="both"/>
      </w:pPr>
      <w:r>
        <w:rPr>
          <w:rFonts w:ascii="Times New Roman" w:cs="Times New Roman" w:eastAsia="Times New Roman" w:hAnsi="Times New Roman"/>
          <w:b w:val="false"/>
          <w:bCs w:val="false"/>
          <w:i w:val="false"/>
          <w:iCs w:val="false"/>
          <w:color w:val="000000"/>
          <w:sz w:val="24"/>
          <w:szCs w:val="24"/>
        </w:rPr>
        <w:t xml:space="preserve">PSO3: Solve societal problems using computational intelligence.</w:t>
      </w:r>
    </w:p>
    <w:p>
      <w:pPr>
        <w:spacing w:after="60" w:line="276"/>
        <w:jc w:val="center"/>
      </w:pPr>
      <w:r>
        <w:rPr>
          <w:rFonts w:ascii="Times New Roman" w:cs="Times New Roman" w:eastAsia="Times New Roman" w:hAnsi="Times New Roman"/>
          <w:b w:val="false"/>
          <w:bCs w:val="false"/>
          <w:i w:val="false"/>
          <w:iCs w:val="false"/>
          <w:color w:val="000000"/>
          <w:sz w:val="20"/>
          <w:szCs w:val="20"/>
        </w:rPr>
        <w:t xml:space="preserve">iv</w:t>
      </w:r>
    </w:p>
    <w:p>
      <w:pPr>
        <w:sectPr>
          <w:pgSz w:w="11906" w:h="16838" w:orient="portrait"/>
          <w:pgMar w:top="1440" w:right="1080" w:bottom="1008" w:left="1080" w:header="708" w:footer="708" w:gutter="0"/>
          <w:pgNumType/>
          <w:docGrid w:linePitch="360"/>
        </w:sectPr>
      </w:pPr>
    </w:p>
    <w:p>
      <w:pPr>
        <w:spacing w:after="80" w:line="276"/>
        <w:jc w:val="center"/>
      </w:pPr>
      <w:r>
        <w:rPr>
          <w:rFonts w:ascii="Times New Roman" w:cs="Times New Roman" w:eastAsia="Times New Roman" w:hAnsi="Times New Roman"/>
          <w:b/>
          <w:bCs/>
          <w:i w:val="false"/>
          <w:iCs w:val="false"/>
          <w:color w:val="000000"/>
          <w:sz w:val="32"/>
          <w:szCs w:val="32"/>
        </w:rPr>
        <w:t xml:space="preserve">ABSTRACT</w:t>
      </w:r>
    </w:p>
    <w:p>
      <w:pPr>
        <w:spacing w:after="60"/>
      </w:pP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Urban traffic management faces critical challenges including selfish route optimization that triggers Braess’s paradox, lack of transparent priority handling for emergency and transit vehicles, and opaque black-box navigation algorithms that cannot be audited. This project presents CATRS (Congestion-Aware Traffic Routing System), a three-layer platform that combines Spatio-Temporal Graph Neural Networks (ST-GNN) for multi-horizon speed forecasting, priority-weighted equilibrium routing with anti-herding diversification caps, real-time explanation generation, and an independently isolated policy audit service.</w:t>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The system predicts traffic speeds at 5-minute, 15-minute and 30-minute horizons using a Graph Convolution + GRU architecture trained on METR-LA, PEMS-BAY and synthetic datasets. Priority weights (e.g., 10× for emergency vehicles) are applied according to versioned municipal schedules. Rolling-window capacity counters enforced via Redis prevent corridor over-concentration, reducing Herfindahl-Hirschman Index by up to 39.2 %. Layer-2 explanation payloads are generated from the same ranking variables, while Layer-3 audit service verifies outcomes against published schedules with zero shared backend code, achieving 280 000 outcomes/second throughput and 100 % defect detection rate.</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Implemented with Python 3.12, FastAPI, PyTorch, TimescaleDB, Redis and a Vite + Vanilla JS dashboard, CATRS demonstrates sub-50 ms route ranking latency, resilient heuristic fallback, and full contract-driven microservice isolation. The platform is suitable for research benchmarking and municipal deployment of accountable, congestion-aware navigation services.</w:t>
      </w:r>
    </w:p>
    <w:p>
      <w:pPr>
        <w:spacing w:after="60" w:line="276"/>
        <w:jc w:val="center"/>
      </w:pPr>
      <w:r>
        <w:rPr>
          <w:rFonts w:ascii="Times New Roman" w:cs="Times New Roman" w:eastAsia="Times New Roman" w:hAnsi="Times New Roman"/>
          <w:b w:val="false"/>
          <w:bCs w:val="false"/>
          <w:i w:val="false"/>
          <w:iCs w:val="false"/>
          <w:color w:val="000000"/>
          <w:sz w:val="20"/>
          <w:szCs w:val="20"/>
        </w:rPr>
        <w:t xml:space="preserve">v</w:t>
      </w:r>
    </w:p>
    <w:p>
      <w:pPr>
        <w:sectPr>
          <w:pgSz w:w="11906" w:h="16838" w:orient="portrait"/>
          <w:pgMar w:top="1440" w:right="1080" w:bottom="1008" w:left="1080" w:header="708" w:footer="708" w:gutter="0"/>
          <w:pgNumType/>
          <w:docGrid w:linePitch="360"/>
        </w:sectPr>
      </w:pPr>
    </w:p>
    <w:p>
      <w:pPr>
        <w:spacing w:after="80" w:line="276"/>
        <w:jc w:val="center"/>
      </w:pPr>
      <w:r>
        <w:rPr>
          <w:rFonts w:ascii="Times New Roman" w:cs="Times New Roman" w:eastAsia="Times New Roman" w:hAnsi="Times New Roman"/>
          <w:b/>
          <w:bCs/>
          <w:i w:val="false"/>
          <w:iCs w:val="false"/>
          <w:color w:val="000000"/>
          <w:sz w:val="28"/>
          <w:szCs w:val="28"/>
        </w:rPr>
        <w:t xml:space="preserve">TABLE OF CONTENTS</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7500"/>
        <w:gridCol w:w="1000"/>
      </w:tblGrid>
      <w:tr>
        <w:tc>
          <w:tcPr>
            <w:tcW w:type="dxa" w:w="1200"/>
            <w:tcBorders>
              <w:top w:val="single" w:color="000000" w:sz="8"/>
              <w:left w:val="single" w:color="000000" w:sz="8"/>
              <w:bottom w:val="single" w:color="000000" w:sz="8"/>
              <w:right w:val="single" w:color="000000" w:sz="8"/>
            </w:tcBorders>
            <w:shd w:fill="D9E2F3" w:val="clear"/>
          </w:tcPr>
          <w:p>
            <w:pPr>
              <w:spacing w:after="120" w:line="276"/>
              <w:jc w:val="center"/>
            </w:pPr>
            <w:r>
              <w:rPr>
                <w:rFonts w:ascii="Times New Roman" w:cs="Times New Roman" w:eastAsia="Times New Roman" w:hAnsi="Times New Roman"/>
                <w:b/>
                <w:bCs/>
                <w:i w:val="false"/>
                <w:iCs w:val="false"/>
                <w:color w:val="000000"/>
                <w:sz w:val="20"/>
                <w:szCs w:val="20"/>
              </w:rPr>
              <w:t xml:space="preserve">CHAPTER</w:t>
            </w:r>
          </w:p>
        </w:tc>
        <w:tc>
          <w:tcPr>
            <w:tcW w:type="dxa" w:w="7500"/>
            <w:tcBorders>
              <w:top w:val="single" w:color="000000" w:sz="8"/>
              <w:left w:val="single" w:color="000000" w:sz="8"/>
              <w:bottom w:val="single" w:color="000000" w:sz="8"/>
              <w:right w:val="single" w:color="000000" w:sz="8"/>
            </w:tcBorders>
            <w:shd w:fill="D9E2F3" w:val="clear"/>
          </w:tcPr>
          <w:p>
            <w:pPr>
              <w:spacing w:after="120" w:line="276"/>
              <w:jc w:val="center"/>
            </w:pPr>
            <w:r>
              <w:rPr>
                <w:rFonts w:ascii="Times New Roman" w:cs="Times New Roman" w:eastAsia="Times New Roman" w:hAnsi="Times New Roman"/>
                <w:b/>
                <w:bCs/>
                <w:i w:val="false"/>
                <w:iCs w:val="false"/>
                <w:color w:val="000000"/>
                <w:sz w:val="20"/>
                <w:szCs w:val="20"/>
              </w:rPr>
              <w:t xml:space="preserve">TITLE</w:t>
            </w:r>
          </w:p>
        </w:tc>
        <w:tc>
          <w:tcPr>
            <w:tcW w:type="dxa" w:w="1000"/>
            <w:tcBorders>
              <w:top w:val="single" w:color="000000" w:sz="8"/>
              <w:left w:val="single" w:color="000000" w:sz="8"/>
              <w:bottom w:val="single" w:color="000000" w:sz="8"/>
              <w:right w:val="single" w:color="000000" w:sz="8"/>
            </w:tcBorders>
            <w:shd w:fill="D9E2F3" w:val="clear"/>
          </w:tcPr>
          <w:p>
            <w:pPr>
              <w:spacing w:after="120" w:line="276"/>
              <w:jc w:val="center"/>
            </w:pPr>
            <w:r>
              <w:rPr>
                <w:rFonts w:ascii="Times New Roman" w:cs="Times New Roman" w:eastAsia="Times New Roman" w:hAnsi="Times New Roman"/>
                <w:b/>
                <w:bCs/>
                <w:i w:val="false"/>
                <w:iCs w:val="false"/>
                <w:color w:val="000000"/>
                <w:sz w:val="20"/>
                <w:szCs w:val="20"/>
              </w:rPr>
              <w:t xml:space="preserve">PAGE</w:t>
            </w:r>
          </w:p>
        </w:tc>
      </w:tr>
      <w:tr>
        <w:tc>
          <w:tcPr>
            <w:tcW w:type="dxa" w:w="12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1</w:t>
            </w:r>
          </w:p>
        </w:tc>
        <w:tc>
          <w:tcPr>
            <w:tcW w:type="dxa" w:w="7500"/>
            <w:tcBorders>
              <w:top w:val="single" w:color="000000" w:sz="8"/>
              <w:left w:val="single" w:color="000000" w:sz="8"/>
              <w:bottom w:val="single" w:color="000000" w:sz="8"/>
              <w:right w:val="single" w:color="000000" w:sz="8"/>
            </w:tcBorders>
          </w:tcPr>
          <w:p>
            <w:pPr>
              <w:spacing w:after="120" w:line="276"/>
              <w:jc w:val="both"/>
            </w:pPr>
            <w:r>
              <w:rPr>
                <w:rFonts w:ascii="Times New Roman" w:cs="Times New Roman" w:eastAsia="Times New Roman" w:hAnsi="Times New Roman"/>
                <w:b w:val="false"/>
                <w:bCs w:val="false"/>
                <w:i w:val="false"/>
                <w:iCs w:val="false"/>
                <w:color w:val="000000"/>
                <w:sz w:val="20"/>
                <w:szCs w:val="20"/>
              </w:rPr>
              <w:t xml:space="preserve">INTRODUCTION</w:t>
            </w:r>
          </w:p>
        </w:tc>
        <w:tc>
          <w:tcPr>
            <w:tcW w:type="dxa" w:w="10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1</w:t>
            </w:r>
          </w:p>
        </w:tc>
      </w:tr>
      <w:tr>
        <w:tc>
          <w:tcPr>
            <w:tcW w:type="dxa" w:w="12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7500"/>
            <w:tcBorders>
              <w:top w:val="single" w:color="000000" w:sz="8"/>
              <w:left w:val="single" w:color="000000" w:sz="8"/>
              <w:bottom w:val="single" w:color="000000" w:sz="8"/>
              <w:right w:val="single" w:color="000000" w:sz="8"/>
            </w:tcBorders>
          </w:tcPr>
          <w:p>
            <w:pPr>
              <w:spacing w:after="120" w:line="276"/>
              <w:jc w:val="both"/>
            </w:pPr>
            <w:r>
              <w:rPr>
                <w:rFonts w:ascii="Times New Roman" w:cs="Times New Roman" w:eastAsia="Times New Roman" w:hAnsi="Times New Roman"/>
                <w:b w:val="false"/>
                <w:bCs w:val="false"/>
                <w:i w:val="false"/>
                <w:iCs w:val="false"/>
                <w:color w:val="000000"/>
                <w:sz w:val="20"/>
                <w:szCs w:val="20"/>
              </w:rPr>
              <w:t xml:space="preserve">1.1 Problem Statement</w:t>
            </w:r>
          </w:p>
        </w:tc>
        <w:tc>
          <w:tcPr>
            <w:tcW w:type="dxa" w:w="10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1</w:t>
            </w:r>
          </w:p>
        </w:tc>
      </w:tr>
      <w:tr>
        <w:tc>
          <w:tcPr>
            <w:tcW w:type="dxa" w:w="12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7500"/>
            <w:tcBorders>
              <w:top w:val="single" w:color="000000" w:sz="8"/>
              <w:left w:val="single" w:color="000000" w:sz="8"/>
              <w:bottom w:val="single" w:color="000000" w:sz="8"/>
              <w:right w:val="single" w:color="000000" w:sz="8"/>
            </w:tcBorders>
          </w:tcPr>
          <w:p>
            <w:pPr>
              <w:spacing w:after="120" w:line="276"/>
              <w:jc w:val="both"/>
            </w:pPr>
            <w:r>
              <w:rPr>
                <w:rFonts w:ascii="Times New Roman" w:cs="Times New Roman" w:eastAsia="Times New Roman" w:hAnsi="Times New Roman"/>
                <w:b w:val="false"/>
                <w:bCs w:val="false"/>
                <w:i w:val="false"/>
                <w:iCs w:val="false"/>
                <w:color w:val="000000"/>
                <w:sz w:val="20"/>
                <w:szCs w:val="20"/>
              </w:rPr>
              <w:t xml:space="preserve">1.2 Introduction</w:t>
            </w:r>
          </w:p>
        </w:tc>
        <w:tc>
          <w:tcPr>
            <w:tcW w:type="dxa" w:w="10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2</w:t>
            </w:r>
          </w:p>
        </w:tc>
      </w:tr>
      <w:tr>
        <w:tc>
          <w:tcPr>
            <w:tcW w:type="dxa" w:w="12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7500"/>
            <w:tcBorders>
              <w:top w:val="single" w:color="000000" w:sz="8"/>
              <w:left w:val="single" w:color="000000" w:sz="8"/>
              <w:bottom w:val="single" w:color="000000" w:sz="8"/>
              <w:right w:val="single" w:color="000000" w:sz="8"/>
            </w:tcBorders>
          </w:tcPr>
          <w:p>
            <w:pPr>
              <w:spacing w:after="120" w:line="276"/>
              <w:jc w:val="both"/>
            </w:pPr>
            <w:r>
              <w:rPr>
                <w:rFonts w:ascii="Times New Roman" w:cs="Times New Roman" w:eastAsia="Times New Roman" w:hAnsi="Times New Roman"/>
                <w:b w:val="false"/>
                <w:bCs w:val="false"/>
                <w:i w:val="false"/>
                <w:iCs w:val="false"/>
                <w:color w:val="000000"/>
                <w:sz w:val="20"/>
                <w:szCs w:val="20"/>
              </w:rPr>
              <w:t xml:space="preserve">1.3 Problem Analysis</w:t>
            </w:r>
          </w:p>
        </w:tc>
        <w:tc>
          <w:tcPr>
            <w:tcW w:type="dxa" w:w="10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3</w:t>
            </w:r>
          </w:p>
        </w:tc>
      </w:tr>
      <w:tr>
        <w:tc>
          <w:tcPr>
            <w:tcW w:type="dxa" w:w="12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7500"/>
            <w:tcBorders>
              <w:top w:val="single" w:color="000000" w:sz="8"/>
              <w:left w:val="single" w:color="000000" w:sz="8"/>
              <w:bottom w:val="single" w:color="000000" w:sz="8"/>
              <w:right w:val="single" w:color="000000" w:sz="8"/>
            </w:tcBorders>
          </w:tcPr>
          <w:p>
            <w:pPr>
              <w:spacing w:after="120" w:line="276"/>
              <w:jc w:val="both"/>
            </w:pPr>
            <w:r>
              <w:rPr>
                <w:rFonts w:ascii="Times New Roman" w:cs="Times New Roman" w:eastAsia="Times New Roman" w:hAnsi="Times New Roman"/>
                <w:b w:val="false"/>
                <w:bCs w:val="false"/>
                <w:i w:val="false"/>
                <w:iCs w:val="false"/>
                <w:color w:val="000000"/>
                <w:sz w:val="20"/>
                <w:szCs w:val="20"/>
              </w:rPr>
              <w:t xml:space="preserve">1.4 Objectives</w:t>
            </w:r>
          </w:p>
        </w:tc>
        <w:tc>
          <w:tcPr>
            <w:tcW w:type="dxa" w:w="10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3</w:t>
            </w:r>
          </w:p>
        </w:tc>
      </w:tr>
      <w:tr>
        <w:tc>
          <w:tcPr>
            <w:tcW w:type="dxa" w:w="12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7500"/>
            <w:tcBorders>
              <w:top w:val="single" w:color="000000" w:sz="8"/>
              <w:left w:val="single" w:color="000000" w:sz="8"/>
              <w:bottom w:val="single" w:color="000000" w:sz="8"/>
              <w:right w:val="single" w:color="000000" w:sz="8"/>
            </w:tcBorders>
          </w:tcPr>
          <w:p>
            <w:pPr>
              <w:spacing w:after="120" w:line="276"/>
              <w:jc w:val="both"/>
            </w:pPr>
            <w:r>
              <w:rPr>
                <w:rFonts w:ascii="Times New Roman" w:cs="Times New Roman" w:eastAsia="Times New Roman" w:hAnsi="Times New Roman"/>
                <w:b w:val="false"/>
                <w:bCs w:val="false"/>
                <w:i w:val="false"/>
                <w:iCs w:val="false"/>
                <w:color w:val="000000"/>
                <w:sz w:val="20"/>
                <w:szCs w:val="20"/>
              </w:rPr>
              <w:t xml:space="preserve">LITERATURE REVIEW</w:t>
            </w:r>
          </w:p>
        </w:tc>
        <w:tc>
          <w:tcPr>
            <w:tcW w:type="dxa" w:w="10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4</w:t>
            </w:r>
          </w:p>
        </w:tc>
      </w:tr>
      <w:tr>
        <w:tc>
          <w:tcPr>
            <w:tcW w:type="dxa" w:w="12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7500"/>
            <w:tcBorders>
              <w:top w:val="single" w:color="000000" w:sz="8"/>
              <w:left w:val="single" w:color="000000" w:sz="8"/>
              <w:bottom w:val="single" w:color="000000" w:sz="8"/>
              <w:right w:val="single" w:color="000000" w:sz="8"/>
            </w:tcBorders>
          </w:tcPr>
          <w:p>
            <w:pPr>
              <w:spacing w:after="120" w:line="276"/>
              <w:jc w:val="both"/>
            </w:pPr>
            <w:r>
              <w:rPr>
                <w:rFonts w:ascii="Times New Roman" w:cs="Times New Roman" w:eastAsia="Times New Roman" w:hAnsi="Times New Roman"/>
                <w:b w:val="false"/>
                <w:bCs w:val="false"/>
                <w:i w:val="false"/>
                <w:iCs w:val="false"/>
                <w:color w:val="000000"/>
                <w:sz w:val="20"/>
                <w:szCs w:val="20"/>
              </w:rPr>
              <w:t xml:space="preserve">PROJECT METHODOLOGY</w:t>
            </w:r>
          </w:p>
        </w:tc>
        <w:tc>
          <w:tcPr>
            <w:tcW w:type="dxa" w:w="10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6</w:t>
            </w:r>
          </w:p>
        </w:tc>
      </w:tr>
      <w:tr>
        <w:tc>
          <w:tcPr>
            <w:tcW w:type="dxa" w:w="12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7500"/>
            <w:tcBorders>
              <w:top w:val="single" w:color="000000" w:sz="8"/>
              <w:left w:val="single" w:color="000000" w:sz="8"/>
              <w:bottom w:val="single" w:color="000000" w:sz="8"/>
              <w:right w:val="single" w:color="000000" w:sz="8"/>
            </w:tcBorders>
          </w:tcPr>
          <w:p>
            <w:pPr>
              <w:spacing w:after="120" w:line="276"/>
              <w:jc w:val="both"/>
            </w:pPr>
            <w:r>
              <w:rPr>
                <w:rFonts w:ascii="Times New Roman" w:cs="Times New Roman" w:eastAsia="Times New Roman" w:hAnsi="Times New Roman"/>
                <w:b w:val="false"/>
                <w:bCs w:val="false"/>
                <w:i w:val="false"/>
                <w:iCs w:val="false"/>
                <w:color w:val="000000"/>
                <w:sz w:val="20"/>
                <w:szCs w:val="20"/>
              </w:rPr>
              <w:t xml:space="preserve">3.1 Proposed Work</w:t>
            </w:r>
          </w:p>
        </w:tc>
        <w:tc>
          <w:tcPr>
            <w:tcW w:type="dxa" w:w="10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6</w:t>
            </w:r>
          </w:p>
        </w:tc>
      </w:tr>
      <w:tr>
        <w:tc>
          <w:tcPr>
            <w:tcW w:type="dxa" w:w="12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7500"/>
            <w:tcBorders>
              <w:top w:val="single" w:color="000000" w:sz="8"/>
              <w:left w:val="single" w:color="000000" w:sz="8"/>
              <w:bottom w:val="single" w:color="000000" w:sz="8"/>
              <w:right w:val="single" w:color="000000" w:sz="8"/>
            </w:tcBorders>
          </w:tcPr>
          <w:p>
            <w:pPr>
              <w:spacing w:after="120" w:line="276"/>
              <w:jc w:val="both"/>
            </w:pPr>
            <w:r>
              <w:rPr>
                <w:rFonts w:ascii="Times New Roman" w:cs="Times New Roman" w:eastAsia="Times New Roman" w:hAnsi="Times New Roman"/>
                <w:b w:val="false"/>
                <w:bCs w:val="false"/>
                <w:i w:val="false"/>
                <w:iCs w:val="false"/>
                <w:color w:val="000000"/>
                <w:sz w:val="20"/>
                <w:szCs w:val="20"/>
              </w:rPr>
              <w:t xml:space="preserve">3.2 Architecture / Block Diagram</w:t>
            </w:r>
          </w:p>
        </w:tc>
        <w:tc>
          <w:tcPr>
            <w:tcW w:type="dxa" w:w="10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7</w:t>
            </w:r>
          </w:p>
        </w:tc>
      </w:tr>
      <w:tr>
        <w:tc>
          <w:tcPr>
            <w:tcW w:type="dxa" w:w="12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7500"/>
            <w:tcBorders>
              <w:top w:val="single" w:color="000000" w:sz="8"/>
              <w:left w:val="single" w:color="000000" w:sz="8"/>
              <w:bottom w:val="single" w:color="000000" w:sz="8"/>
              <w:right w:val="single" w:color="000000" w:sz="8"/>
            </w:tcBorders>
          </w:tcPr>
          <w:p>
            <w:pPr>
              <w:spacing w:after="120" w:line="276"/>
              <w:jc w:val="both"/>
            </w:pPr>
            <w:r>
              <w:rPr>
                <w:rFonts w:ascii="Times New Roman" w:cs="Times New Roman" w:eastAsia="Times New Roman" w:hAnsi="Times New Roman"/>
                <w:b w:val="false"/>
                <w:bCs w:val="false"/>
                <w:i w:val="false"/>
                <w:iCs w:val="false"/>
                <w:color w:val="000000"/>
                <w:sz w:val="20"/>
                <w:szCs w:val="20"/>
              </w:rPr>
              <w:t xml:space="preserve">3.3 System Components</w:t>
            </w:r>
          </w:p>
        </w:tc>
        <w:tc>
          <w:tcPr>
            <w:tcW w:type="dxa" w:w="10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8</w:t>
            </w:r>
          </w:p>
        </w:tc>
      </w:tr>
      <w:tr>
        <w:tc>
          <w:tcPr>
            <w:tcW w:type="dxa" w:w="12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7500"/>
            <w:tcBorders>
              <w:top w:val="single" w:color="000000" w:sz="8"/>
              <w:left w:val="single" w:color="000000" w:sz="8"/>
              <w:bottom w:val="single" w:color="000000" w:sz="8"/>
              <w:right w:val="single" w:color="000000" w:sz="8"/>
            </w:tcBorders>
          </w:tcPr>
          <w:p>
            <w:pPr>
              <w:spacing w:after="120" w:line="276"/>
              <w:jc w:val="both"/>
            </w:pPr>
            <w:r>
              <w:rPr>
                <w:rFonts w:ascii="Times New Roman" w:cs="Times New Roman" w:eastAsia="Times New Roman" w:hAnsi="Times New Roman"/>
                <w:b w:val="false"/>
                <w:bCs w:val="false"/>
                <w:i w:val="false"/>
                <w:iCs w:val="false"/>
                <w:color w:val="000000"/>
                <w:sz w:val="20"/>
                <w:szCs w:val="20"/>
              </w:rPr>
              <w:t xml:space="preserve">SOFTWARE / HARDWARE REQUIREMENTS</w:t>
            </w:r>
          </w:p>
        </w:tc>
        <w:tc>
          <w:tcPr>
            <w:tcW w:type="dxa" w:w="10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9</w:t>
            </w:r>
          </w:p>
        </w:tc>
      </w:tr>
      <w:tr>
        <w:tc>
          <w:tcPr>
            <w:tcW w:type="dxa" w:w="12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7500"/>
            <w:tcBorders>
              <w:top w:val="single" w:color="000000" w:sz="8"/>
              <w:left w:val="single" w:color="000000" w:sz="8"/>
              <w:bottom w:val="single" w:color="000000" w:sz="8"/>
              <w:right w:val="single" w:color="000000" w:sz="8"/>
            </w:tcBorders>
          </w:tcPr>
          <w:p>
            <w:pPr>
              <w:spacing w:after="120" w:line="276"/>
              <w:jc w:val="both"/>
            </w:pPr>
            <w:r>
              <w:rPr>
                <w:rFonts w:ascii="Times New Roman" w:cs="Times New Roman" w:eastAsia="Times New Roman" w:hAnsi="Times New Roman"/>
                <w:b w:val="false"/>
                <w:bCs w:val="false"/>
                <w:i w:val="false"/>
                <w:iCs w:val="false"/>
                <w:color w:val="000000"/>
                <w:sz w:val="20"/>
                <w:szCs w:val="20"/>
              </w:rPr>
              <w:t xml:space="preserve">MODULE DESCRIPTION</w:t>
            </w:r>
          </w:p>
        </w:tc>
        <w:tc>
          <w:tcPr>
            <w:tcW w:type="dxa" w:w="10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10</w:t>
            </w:r>
          </w:p>
        </w:tc>
      </w:tr>
      <w:tr>
        <w:tc>
          <w:tcPr>
            <w:tcW w:type="dxa" w:w="12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7500"/>
            <w:tcBorders>
              <w:top w:val="single" w:color="000000" w:sz="8"/>
              <w:left w:val="single" w:color="000000" w:sz="8"/>
              <w:bottom w:val="single" w:color="000000" w:sz="8"/>
              <w:right w:val="single" w:color="000000" w:sz="8"/>
            </w:tcBorders>
          </w:tcPr>
          <w:p>
            <w:pPr>
              <w:spacing w:after="120" w:line="276"/>
              <w:jc w:val="both"/>
            </w:pPr>
            <w:r>
              <w:rPr>
                <w:rFonts w:ascii="Times New Roman" w:cs="Times New Roman" w:eastAsia="Times New Roman" w:hAnsi="Times New Roman"/>
                <w:b w:val="false"/>
                <w:bCs w:val="false"/>
                <w:i w:val="false"/>
                <w:iCs w:val="false"/>
                <w:color w:val="000000"/>
                <w:sz w:val="20"/>
                <w:szCs w:val="20"/>
              </w:rPr>
              <w:t xml:space="preserve">5.1 Congestion Prediction Module</w:t>
            </w:r>
          </w:p>
        </w:tc>
        <w:tc>
          <w:tcPr>
            <w:tcW w:type="dxa" w:w="10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10</w:t>
            </w:r>
          </w:p>
        </w:tc>
      </w:tr>
      <w:tr>
        <w:tc>
          <w:tcPr>
            <w:tcW w:type="dxa" w:w="12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7500"/>
            <w:tcBorders>
              <w:top w:val="single" w:color="000000" w:sz="8"/>
              <w:left w:val="single" w:color="000000" w:sz="8"/>
              <w:bottom w:val="single" w:color="000000" w:sz="8"/>
              <w:right w:val="single" w:color="000000" w:sz="8"/>
            </w:tcBorders>
          </w:tcPr>
          <w:p>
            <w:pPr>
              <w:spacing w:after="120" w:line="276"/>
              <w:jc w:val="both"/>
            </w:pPr>
            <w:r>
              <w:rPr>
                <w:rFonts w:ascii="Times New Roman" w:cs="Times New Roman" w:eastAsia="Times New Roman" w:hAnsi="Times New Roman"/>
                <w:b w:val="false"/>
                <w:bCs w:val="false"/>
                <w:i w:val="false"/>
                <w:iCs w:val="false"/>
                <w:color w:val="000000"/>
                <w:sz w:val="20"/>
                <w:szCs w:val="20"/>
              </w:rPr>
              <w:t xml:space="preserve">5.2 Priority Routing &amp; Diversification Module</w:t>
            </w:r>
          </w:p>
        </w:tc>
        <w:tc>
          <w:tcPr>
            <w:tcW w:type="dxa" w:w="10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11</w:t>
            </w:r>
          </w:p>
        </w:tc>
      </w:tr>
      <w:tr>
        <w:tc>
          <w:tcPr>
            <w:tcW w:type="dxa" w:w="12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7500"/>
            <w:tcBorders>
              <w:top w:val="single" w:color="000000" w:sz="8"/>
              <w:left w:val="single" w:color="000000" w:sz="8"/>
              <w:bottom w:val="single" w:color="000000" w:sz="8"/>
              <w:right w:val="single" w:color="000000" w:sz="8"/>
            </w:tcBorders>
          </w:tcPr>
          <w:p>
            <w:pPr>
              <w:spacing w:after="120" w:line="276"/>
              <w:jc w:val="both"/>
            </w:pPr>
            <w:r>
              <w:rPr>
                <w:rFonts w:ascii="Times New Roman" w:cs="Times New Roman" w:eastAsia="Times New Roman" w:hAnsi="Times New Roman"/>
                <w:b w:val="false"/>
                <w:bCs w:val="false"/>
                <w:i w:val="false"/>
                <w:iCs w:val="false"/>
                <w:color w:val="000000"/>
                <w:sz w:val="20"/>
                <w:szCs w:val="20"/>
              </w:rPr>
              <w:t xml:space="preserve">5.3 Explanation Generation Module</w:t>
            </w:r>
          </w:p>
        </w:tc>
        <w:tc>
          <w:tcPr>
            <w:tcW w:type="dxa" w:w="10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11</w:t>
            </w:r>
          </w:p>
        </w:tc>
      </w:tr>
      <w:tr>
        <w:tc>
          <w:tcPr>
            <w:tcW w:type="dxa" w:w="12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7500"/>
            <w:tcBorders>
              <w:top w:val="single" w:color="000000" w:sz="8"/>
              <w:left w:val="single" w:color="000000" w:sz="8"/>
              <w:bottom w:val="single" w:color="000000" w:sz="8"/>
              <w:right w:val="single" w:color="000000" w:sz="8"/>
            </w:tcBorders>
          </w:tcPr>
          <w:p>
            <w:pPr>
              <w:spacing w:after="120" w:line="276"/>
              <w:jc w:val="both"/>
            </w:pPr>
            <w:r>
              <w:rPr>
                <w:rFonts w:ascii="Times New Roman" w:cs="Times New Roman" w:eastAsia="Times New Roman" w:hAnsi="Times New Roman"/>
                <w:b w:val="false"/>
                <w:bCs w:val="false"/>
                <w:i w:val="false"/>
                <w:iCs w:val="false"/>
                <w:color w:val="000000"/>
                <w:sz w:val="20"/>
                <w:szCs w:val="20"/>
              </w:rPr>
              <w:t xml:space="preserve">5.4 Independent Policy Audit Module</w:t>
            </w:r>
          </w:p>
        </w:tc>
        <w:tc>
          <w:tcPr>
            <w:tcW w:type="dxa" w:w="10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12</w:t>
            </w:r>
          </w:p>
        </w:tc>
      </w:tr>
      <w:tr>
        <w:tc>
          <w:tcPr>
            <w:tcW w:type="dxa" w:w="12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7500"/>
            <w:tcBorders>
              <w:top w:val="single" w:color="000000" w:sz="8"/>
              <w:left w:val="single" w:color="000000" w:sz="8"/>
              <w:bottom w:val="single" w:color="000000" w:sz="8"/>
              <w:right w:val="single" w:color="000000" w:sz="8"/>
            </w:tcBorders>
          </w:tcPr>
          <w:p>
            <w:pPr>
              <w:spacing w:after="120" w:line="276"/>
              <w:jc w:val="both"/>
            </w:pPr>
            <w:r>
              <w:rPr>
                <w:rFonts w:ascii="Times New Roman" w:cs="Times New Roman" w:eastAsia="Times New Roman" w:hAnsi="Times New Roman"/>
                <w:b w:val="false"/>
                <w:bCs w:val="false"/>
                <w:i w:val="false"/>
                <w:iCs w:val="false"/>
                <w:color w:val="000000"/>
                <w:sz w:val="20"/>
                <w:szCs w:val="20"/>
              </w:rPr>
              <w:t xml:space="preserve">5.5 Frontend Dashboard Module</w:t>
            </w:r>
          </w:p>
        </w:tc>
        <w:tc>
          <w:tcPr>
            <w:tcW w:type="dxa" w:w="10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12</w:t>
            </w:r>
          </w:p>
        </w:tc>
      </w:tr>
      <w:tr>
        <w:tc>
          <w:tcPr>
            <w:tcW w:type="dxa" w:w="12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dxa" w:w="7500"/>
            <w:tcBorders>
              <w:top w:val="single" w:color="000000" w:sz="8"/>
              <w:left w:val="single" w:color="000000" w:sz="8"/>
              <w:bottom w:val="single" w:color="000000" w:sz="8"/>
              <w:right w:val="single" w:color="000000" w:sz="8"/>
            </w:tcBorders>
          </w:tcPr>
          <w:p>
            <w:pPr>
              <w:spacing w:after="120" w:line="276"/>
              <w:jc w:val="both"/>
            </w:pPr>
            <w:r>
              <w:rPr>
                <w:rFonts w:ascii="Times New Roman" w:cs="Times New Roman" w:eastAsia="Times New Roman" w:hAnsi="Times New Roman"/>
                <w:b w:val="false"/>
                <w:bCs w:val="false"/>
                <w:i w:val="false"/>
                <w:iCs w:val="false"/>
                <w:color w:val="000000"/>
                <w:sz w:val="20"/>
                <w:szCs w:val="20"/>
              </w:rPr>
              <w:t xml:space="preserve">IMPLEMENTATION</w:t>
            </w:r>
          </w:p>
        </w:tc>
        <w:tc>
          <w:tcPr>
            <w:tcW w:type="dxa" w:w="10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13</w:t>
            </w:r>
          </w:p>
        </w:tc>
      </w:tr>
      <w:tr>
        <w:tc>
          <w:tcPr>
            <w:tcW w:type="dxa" w:w="12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dxa" w:w="7500"/>
            <w:tcBorders>
              <w:top w:val="single" w:color="000000" w:sz="8"/>
              <w:left w:val="single" w:color="000000" w:sz="8"/>
              <w:bottom w:val="single" w:color="000000" w:sz="8"/>
              <w:right w:val="single" w:color="000000" w:sz="8"/>
            </w:tcBorders>
          </w:tcPr>
          <w:p>
            <w:pPr>
              <w:spacing w:after="120" w:line="276"/>
              <w:jc w:val="both"/>
            </w:pPr>
            <w:r>
              <w:rPr>
                <w:rFonts w:ascii="Times New Roman" w:cs="Times New Roman" w:eastAsia="Times New Roman" w:hAnsi="Times New Roman"/>
                <w:b w:val="false"/>
                <w:bCs w:val="false"/>
                <w:i w:val="false"/>
                <w:iCs w:val="false"/>
                <w:color w:val="000000"/>
                <w:sz w:val="20"/>
                <w:szCs w:val="20"/>
              </w:rPr>
              <w:t xml:space="preserve">SNAPSHOTS</w:t>
            </w:r>
          </w:p>
        </w:tc>
        <w:tc>
          <w:tcPr>
            <w:tcW w:type="dxa" w:w="10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15</w:t>
            </w:r>
          </w:p>
        </w:tc>
      </w:tr>
      <w:tr>
        <w:tc>
          <w:tcPr>
            <w:tcW w:type="dxa" w:w="12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7500"/>
            <w:tcBorders>
              <w:top w:val="single" w:color="000000" w:sz="8"/>
              <w:left w:val="single" w:color="000000" w:sz="8"/>
              <w:bottom w:val="single" w:color="000000" w:sz="8"/>
              <w:right w:val="single" w:color="000000" w:sz="8"/>
            </w:tcBorders>
          </w:tcPr>
          <w:p>
            <w:pPr>
              <w:spacing w:after="120" w:line="276"/>
              <w:jc w:val="both"/>
            </w:pPr>
            <w:r>
              <w:rPr>
                <w:rFonts w:ascii="Times New Roman" w:cs="Times New Roman" w:eastAsia="Times New Roman" w:hAnsi="Times New Roman"/>
                <w:b w:val="false"/>
                <w:bCs w:val="false"/>
                <w:i w:val="false"/>
                <w:iCs w:val="false"/>
                <w:color w:val="000000"/>
                <w:sz w:val="20"/>
                <w:szCs w:val="20"/>
              </w:rPr>
              <w:t xml:space="preserve">CONCLUSION AND FUTURE ENHANCEMENT</w:t>
            </w:r>
          </w:p>
        </w:tc>
        <w:tc>
          <w:tcPr>
            <w:tcW w:type="dxa" w:w="10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17</w:t>
            </w:r>
          </w:p>
        </w:tc>
      </w:tr>
      <w:tr>
        <w:tc>
          <w:tcPr>
            <w:tcW w:type="dxa" w:w="12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7500"/>
            <w:tcBorders>
              <w:top w:val="single" w:color="000000" w:sz="8"/>
              <w:left w:val="single" w:color="000000" w:sz="8"/>
              <w:bottom w:val="single" w:color="000000" w:sz="8"/>
              <w:right w:val="single" w:color="000000" w:sz="8"/>
            </w:tcBorders>
          </w:tcPr>
          <w:p>
            <w:pPr>
              <w:spacing w:after="120" w:line="276"/>
              <w:jc w:val="both"/>
            </w:pPr>
            <w:r>
              <w:rPr>
                <w:rFonts w:ascii="Times New Roman" w:cs="Times New Roman" w:eastAsia="Times New Roman" w:hAnsi="Times New Roman"/>
                <w:b w:val="false"/>
                <w:bCs w:val="false"/>
                <w:i w:val="false"/>
                <w:iCs w:val="false"/>
                <w:color w:val="000000"/>
                <w:sz w:val="20"/>
                <w:szCs w:val="20"/>
              </w:rPr>
              <w:t xml:space="preserve">REFERENCES</w:t>
            </w:r>
          </w:p>
        </w:tc>
        <w:tc>
          <w:tcPr>
            <w:tcW w:type="dxa" w:w="1000"/>
            <w:tcBorders>
              <w:top w:val="single" w:color="000000" w:sz="8"/>
              <w:left w:val="single" w:color="000000" w:sz="8"/>
              <w:bottom w:val="single" w:color="000000" w:sz="8"/>
              <w:right w:val="single" w:color="000000" w:sz="8"/>
            </w:tcBorders>
          </w:tcPr>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18</w:t>
            </w:r>
          </w:p>
        </w:tc>
      </w:tr>
    </w:tbl>
    <w:p>
      <w:pPr>
        <w:spacing w:after="60"/>
      </w:pPr>
    </w:p>
    <w:p>
      <w:pPr>
        <w:spacing w:after="60" w:line="276"/>
        <w:jc w:val="center"/>
      </w:pPr>
      <w:r>
        <w:rPr>
          <w:rFonts w:ascii="Times New Roman" w:cs="Times New Roman" w:eastAsia="Times New Roman" w:hAnsi="Times New Roman"/>
          <w:b w:val="false"/>
          <w:bCs w:val="false"/>
          <w:i w:val="false"/>
          <w:iCs w:val="false"/>
          <w:color w:val="000000"/>
          <w:sz w:val="20"/>
          <w:szCs w:val="20"/>
        </w:rPr>
        <w:t xml:space="preserve">vi</w:t>
      </w:r>
    </w:p>
    <w:p>
      <w:pPr>
        <w:sectPr>
          <w:pgSz w:w="11906" w:h="16838" w:orient="portrait"/>
          <w:pgMar w:top="1440" w:right="1080" w:bottom="1008" w:left="1080" w:header="708" w:footer="708" w:gutter="0"/>
          <w:pgNumType/>
          <w:docGrid w:linePitch="360"/>
        </w:sectPr>
      </w:pPr>
    </w:p>
    <w:p>
      <w:pPr>
        <w:spacing w:after="80" w:line="276"/>
        <w:jc w:val="center"/>
      </w:pPr>
      <w:r>
        <w:rPr>
          <w:rFonts w:ascii="Times New Roman" w:cs="Times New Roman" w:eastAsia="Times New Roman" w:hAnsi="Times New Roman"/>
          <w:b/>
          <w:bCs/>
          <w:i w:val="false"/>
          <w:iCs w:val="false"/>
          <w:color w:val="000000"/>
          <w:sz w:val="28"/>
          <w:szCs w:val="28"/>
        </w:rPr>
        <w:t xml:space="preserve">CHAPTER 1</w:t>
      </w:r>
    </w:p>
    <w:p>
      <w:pPr>
        <w:spacing w:after="80" w:line="276"/>
        <w:jc w:val="center"/>
      </w:pPr>
      <w:r>
        <w:rPr>
          <w:rFonts w:ascii="Times New Roman" w:cs="Times New Roman" w:eastAsia="Times New Roman" w:hAnsi="Times New Roman"/>
          <w:b/>
          <w:bCs/>
          <w:i w:val="false"/>
          <w:iCs w:val="false"/>
          <w:color w:val="000000"/>
          <w:sz w:val="28"/>
          <w:szCs w:val="28"/>
        </w:rPr>
        <w:t xml:space="preserve">INTRODUCTION</w:t>
      </w:r>
    </w:p>
    <w:p>
      <w:pPr>
        <w:spacing w:after="60"/>
      </w:pPr>
    </w:p>
    <w:p>
      <w:pPr>
        <w:pStyle w:val="Heading2"/>
        <w:spacing w:after="160" w:before="240"/>
      </w:pPr>
      <w:r>
        <w:rPr>
          <w:rFonts w:ascii="Times New Roman" w:cs="Times New Roman" w:eastAsia="Times New Roman" w:hAnsi="Times New Roman"/>
          <w:b/>
          <w:bCs/>
          <w:sz w:val="28"/>
          <w:szCs w:val="28"/>
        </w:rPr>
        <w:t xml:space="preserve">1.1 PROBLEM STATEMENT</w:t>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Modern urban navigation platforms optimize routes greedily for individual drivers. When thousands of vehicles receive identical recommendations, secondary corridors become saturated, producing systemic gridlock known as Braess’s paradox. In addition, emergency vehicles, high-occupancy transit and essential logistics receive no transparent, verifiable priority over single-occupant traffic. Existing navigation services operate as black boxes; neither drivers nor municipal authorities can audit whether a recommended route was influenced by commercial bias, dynamic tolling or genuine congestion avoidance. Finally, any verification of routing decisions that shares code or runtime state with the routing engine itself suffers from conflicts of interest and cannot guarantee algorithmic accountability.</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These four systemic failures—greedy optimization, missing priority equity, opacity, and non-independent audit—collectively degrade travel-time reliability, emergency response times and public trust in algorithmic traffic management.</w:t>
      </w:r>
    </w:p>
    <w:p>
      <w:pPr>
        <w:pStyle w:val="Heading2"/>
        <w:spacing w:after="160" w:before="240"/>
      </w:pPr>
      <w:r>
        <w:rPr>
          <w:rFonts w:ascii="Times New Roman" w:cs="Times New Roman" w:eastAsia="Times New Roman" w:hAnsi="Times New Roman"/>
          <w:b/>
          <w:bCs/>
          <w:sz w:val="28"/>
          <w:szCs w:val="28"/>
        </w:rPr>
        <w:t xml:space="preserve">1.2 INTRODUCTION</w:t>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Congestion-Aware Traffic Routing System (CATRS) is a three-layer research and production platform designed to restore equilibrium, priority fairness and democratic transparency to urban routing. Layer 1 performs multi-horizon speed prediction with a Spatio-Temporal Graph Neural Network (ST-GNN) that jointly models spatial adjacency of the road network and temporal dynamics via Graph Convolution and Gated Recurrent Units. The same layer ranks candidate routes under municipal priority weights and enforces rolling-window capacity caps that diversify traffic away from overloaded corridors.</w:t>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Layer 2 emits a structured explanation payload derived directly from the ranking calculation, documenting the recommended route, alternatives considered, diversification decisions and the exact priority weight applied. Layer 3 is an independently deployed audit microservice that never imports any routing-engine code; it validates recorded outcomes solely against version-pinned weight schedules published as JSON Schema contracts. Communication between layers is limited to well-defined REST payloads and shared contracts, guaranteeing zero shared backend state.</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system supports both a deterministic synthetic 10×10 grid world (nine scenarios including rush hour, snowstorm and major incidents) and real benchmark datasets METR-LA (207 sensors) and PEMS-BAY (325 sensors). A glass-morphic web dashboard provides live telemetry, interactive prediction visualizers, route simulators and batch audit harnesses. Empirical evaluation shows 5-minute MAE of 1.76 km/h, 39.2 % reduction in corridor concentration, sub-millisecond ranking latency and 100 % policy-defect detection.</w:t>
      </w:r>
    </w:p>
    <w:p>
      <w:pPr>
        <w:pStyle w:val="Heading2"/>
        <w:spacing w:after="160" w:before="240"/>
      </w:pPr>
      <w:r>
        <w:rPr>
          <w:rFonts w:ascii="Times New Roman" w:cs="Times New Roman" w:eastAsia="Times New Roman" w:hAnsi="Times New Roman"/>
          <w:b/>
          <w:bCs/>
          <w:sz w:val="28"/>
          <w:szCs w:val="28"/>
        </w:rPr>
        <w:t xml:space="preserve">1.3 PROBLEM ANALYSIS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Analysis of conventional navigation systems reveals that pure shortest-path or fastest-path algorithms ignore macroscopic fundamental diagrams and network-level equilibrium. Priority handling, when present, is proprietary and non-auditable. Machine-learning predictors used by commercial services are rarely open for independent verification. Consequently, municipalities cannot enforce policy schedules, emergency services cannot obtain guaranteed preferential treatment, and researchers cannot reproduce reported performance claims. CATRS addresses each deficiency by separating prediction, ranking, explanation and audit into contract-isolated layers while retaining competitive prediction accuracy and sub-50 ms end-to-end latency.</w:t>
      </w:r>
    </w:p>
    <w:p>
      <w:pPr>
        <w:pStyle w:val="Heading2"/>
        <w:spacing w:after="160" w:before="240"/>
      </w:pPr>
      <w:r>
        <w:rPr>
          <w:rFonts w:ascii="Times New Roman" w:cs="Times New Roman" w:eastAsia="Times New Roman" w:hAnsi="Times New Roman"/>
          <w:b/>
          <w:bCs/>
          <w:sz w:val="28"/>
          <w:szCs w:val="28"/>
        </w:rPr>
        <w:t xml:space="preserve">1.4 OBJECTIVES</w:t>
      </w:r>
    </w:p>
    <w:p>
      <w:pPr>
        <w:spacing w:after="80" w:line="276"/>
        <w:ind w:left="360"/>
      </w:pPr>
      <w:r>
        <w:rPr>
          <w:rFonts w:ascii="Times New Roman" w:cs="Times New Roman" w:eastAsia="Times New Roman" w:hAnsi="Times New Roman"/>
          <w:sz w:val="24"/>
          <w:szCs w:val="24"/>
        </w:rPr>
        <w:t xml:space="preserve">•  To design and implement a Spatio-Temporal Graph Neural Network that forecasts traffic speeds at 5-, 15- and 30-minute horizons with accuracy competitive to research baselines on METR-LA, PEMS-BAY and synthetic data.</w:t>
      </w:r>
    </w:p>
    <w:p>
      <w:pPr>
        <w:spacing w:after="80" w:line="276"/>
        <w:ind w:left="360"/>
      </w:pPr>
      <w:r>
        <w:rPr>
          <w:rFonts w:ascii="Times New Roman" w:cs="Times New Roman" w:eastAsia="Times New Roman" w:hAnsi="Times New Roman"/>
          <w:sz w:val="24"/>
          <w:szCs w:val="24"/>
        </w:rPr>
        <w:t xml:space="preserve">•  To realize priority-weighted equilibrium routing that applies versioned municipal weights and enforces anti-herding capacity caps, thereby reducing corridor concentration measured by the Herfindahl-Hirschman Index.</w:t>
      </w:r>
    </w:p>
    <w:p>
      <w:pPr>
        <w:spacing w:after="80" w:line="276"/>
        <w:ind w:left="360"/>
      </w:pPr>
      <w:r>
        <w:rPr>
          <w:rFonts w:ascii="Times New Roman" w:cs="Times New Roman" w:eastAsia="Times New Roman" w:hAnsi="Times New Roman"/>
          <w:sz w:val="24"/>
          <w:szCs w:val="24"/>
        </w:rPr>
        <w:t xml:space="preserve">•  To provide an independent, zero-shared-code audit service that verifies routing outcomes against published policy schedules at high throughput, together with real-time explanation payloads that make every ranking decision transparent and reproducible.</w:t>
      </w:r>
    </w:p>
    <w:p>
      <w:pPr>
        <w:sectPr>
          <w:pgSz w:w="11906" w:h="16838" w:orient="portrait"/>
          <w:pgMar w:top="1440" w:right="1080" w:bottom="1008" w:left="1080" w:header="708" w:footer="708" w:gutter="0"/>
          <w:pgNumType/>
          <w:docGrid w:linePitch="360"/>
        </w:sectPr>
      </w:pPr>
    </w:p>
    <w:p>
      <w:pPr>
        <w:spacing w:after="80" w:line="276"/>
        <w:jc w:val="center"/>
      </w:pPr>
      <w:r>
        <w:rPr>
          <w:rFonts w:ascii="Times New Roman" w:cs="Times New Roman" w:eastAsia="Times New Roman" w:hAnsi="Times New Roman"/>
          <w:b/>
          <w:bCs/>
          <w:i w:val="false"/>
          <w:iCs w:val="false"/>
          <w:color w:val="000000"/>
          <w:sz w:val="28"/>
          <w:szCs w:val="28"/>
        </w:rPr>
        <w:t xml:space="preserve">CHAPTER 2</w:t>
      </w:r>
    </w:p>
    <w:p>
      <w:pPr>
        <w:spacing w:after="80" w:line="276"/>
        <w:jc w:val="center"/>
      </w:pPr>
      <w:r>
        <w:rPr>
          <w:rFonts w:ascii="Times New Roman" w:cs="Times New Roman" w:eastAsia="Times New Roman" w:hAnsi="Times New Roman"/>
          <w:b/>
          <w:bCs/>
          <w:i w:val="false"/>
          <w:iCs w:val="false"/>
          <w:color w:val="000000"/>
          <w:sz w:val="28"/>
          <w:szCs w:val="28"/>
        </w:rPr>
        <w:t xml:space="preserve">LITERATURE REVIEW</w:t>
      </w:r>
    </w:p>
    <w:p>
      <w:pPr>
        <w:spacing w:after="60"/>
      </w:pP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Spatio-temporal traffic forecasting has progressed from classical time-series methods (ARIMA, Kalman filters) to deep learning architectures that explicitly encode road-network topology. Diffusion Convolutional Recurrent Neural Networks (DCRNN) and Graph WaveNet demonstrated that combining graph convolution with temporal recurrence yields superior multi-horizon predictions on the METR-LA and PEMS-BAY benchmarks. Subsequent work introduced attention mechanisms and adaptive adjacency matrices, further improving long-horizon accuracy.</w:t>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On the routing side, the literature on system-optimal versus user-optimal assignment (Wardrop equilibrium, Braess’s paradox) has long recognized that pure individual optimization can degrade network performance. Recent practical systems attempt to mitigate herding by injecting randomness or by imposing soft capacity constraints; however, few publish the exact ranking logic or allow external audit of priority decisions.</w:t>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Explainable AI (XAI) techniques for ranking systems typically produce post-hoc attributions. In safety-critical domains such as traffic management, post-hoc explanations are insufficient; the explanation must be derived from the same intermediate variables used by the ranking function itself. Independent audit of algorithmic decisions has been studied in the context of fairness and compliance, yet most deployed navigation services retain a monolithic architecture that precludes true isolation between decision and verification components.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CATRS synthesizes these research strands: an ST-GNN predictor aligned with the current state of the art, an equilibrium-aware ranker with explicit capacity diversification, an explanation payload generated inline with ranking, and a contract-isolated audit microservice. The design therefore advances both predictive accuracy and algorithmic accountability beyond existing commercial and academic prototypes.</w:t>
      </w:r>
    </w:p>
    <w:p>
      <w:pPr>
        <w:sectPr>
          <w:pgSz w:w="11906" w:h="16838" w:orient="portrait"/>
          <w:pgMar w:top="1440" w:right="1080" w:bottom="1008" w:left="1080" w:header="708" w:footer="708" w:gutter="0"/>
          <w:pgNumType/>
          <w:docGrid w:linePitch="360"/>
        </w:sectPr>
      </w:pPr>
    </w:p>
    <w:p>
      <w:pPr>
        <w:spacing w:after="80" w:line="276"/>
        <w:jc w:val="center"/>
      </w:pPr>
      <w:r>
        <w:rPr>
          <w:rFonts w:ascii="Times New Roman" w:cs="Times New Roman" w:eastAsia="Times New Roman" w:hAnsi="Times New Roman"/>
          <w:b/>
          <w:bCs/>
          <w:i w:val="false"/>
          <w:iCs w:val="false"/>
          <w:color w:val="000000"/>
          <w:sz w:val="28"/>
          <w:szCs w:val="28"/>
        </w:rPr>
        <w:t xml:space="preserve">CHAPTER 3</w:t>
      </w:r>
    </w:p>
    <w:p>
      <w:pPr>
        <w:spacing w:after="80" w:line="276"/>
        <w:jc w:val="center"/>
      </w:pPr>
      <w:r>
        <w:rPr>
          <w:rFonts w:ascii="Times New Roman" w:cs="Times New Roman" w:eastAsia="Times New Roman" w:hAnsi="Times New Roman"/>
          <w:b/>
          <w:bCs/>
          <w:i w:val="false"/>
          <w:iCs w:val="false"/>
          <w:color w:val="000000"/>
          <w:sz w:val="28"/>
          <w:szCs w:val="28"/>
        </w:rPr>
        <w:t xml:space="preserve">PROJECT METHODOLOGY</w:t>
      </w:r>
    </w:p>
    <w:p>
      <w:pPr>
        <w:spacing w:after="60"/>
      </w:pPr>
    </w:p>
    <w:p>
      <w:pPr>
        <w:pStyle w:val="Heading2"/>
        <w:spacing w:after="160" w:before="240"/>
      </w:pPr>
      <w:r>
        <w:rPr>
          <w:rFonts w:ascii="Times New Roman" w:cs="Times New Roman" w:eastAsia="Times New Roman" w:hAnsi="Times New Roman"/>
          <w:b/>
          <w:bCs/>
          <w:sz w:val="28"/>
          <w:szCs w:val="28"/>
        </w:rPr>
        <w:t xml:space="preserve">3.1 PROPOSED WORK</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proposed system comprises three strictly isolated layers communicating exclusively through versioned JSON Schema contracts.</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Layer 1 – Congestion Prediction &amp; Priority Routing Engine. Sensor readings (or synthetic feeds) are normalized into fixed-length feature tensors of shape [B, T=12, N, F]. An ST-GNN consisting of two Graph Convolution layers followed by a GRU emits speed forecasts for every node at three horizons. Candidate routes are enriched with predicted travel times, re-weighted by the active municipal priority schedule, and ranked. A Redis-backed rolling-window counter enforces a configurable capacity fraction on the top-ranked corridor, diverting excess demand to the next-best alternatives.</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Layer 2 – Explanation Builder. Inside the same ranking function that produces the ordered list, an explanation payload is assembled from the identical intermediate variables (travel times, applied weights, diversification flags, schedule version). The payload conforms to explanation-payload.schema.json and is returned to the caller together with the ranking.</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Layer 3 – Independent Policy Audit Service. A separate FastAPI microservice receives recorded route outcomes and the corresponding weight schedule. It never imports any module from the routing engine. Verification consists of checking that the applied weight matches the schedule entry for the declared trip category and that the schedule version is valid. Batch and summary endpoints support high-throughput compliance auditing.</w:t>
      </w:r>
    </w:p>
    <w:p>
      <w:pPr>
        <w:pStyle w:val="Heading2"/>
        <w:spacing w:after="160" w:before="240"/>
      </w:pPr>
      <w:r>
        <w:rPr>
          <w:rFonts w:ascii="Times New Roman" w:cs="Times New Roman" w:eastAsia="Times New Roman" w:hAnsi="Times New Roman"/>
          <w:b/>
          <w:bCs/>
          <w:sz w:val="28"/>
          <w:szCs w:val="28"/>
        </w:rPr>
        <w:t xml:space="preserve">3.2 ARCHITECTURE / BLOCK DIAGRAM</w:t>
      </w:r>
    </w:p>
    <w:p>
      <w:pPr>
        <w:spacing w:after="120"/>
        <w:jc w:val="both"/>
      </w:pPr>
      <w:r>
        <w:rPr>
          <w:rFonts w:ascii="Times New Roman" w:cs="Times New Roman" w:eastAsia="Times New Roman" w:hAnsi="Times New Roman"/>
          <w:b w:val="false"/>
          <w:bCs w:val="false"/>
          <w:i w:val="false"/>
          <w:iCs w:val="false"/>
          <w:color w:val="000000"/>
          <w:sz w:val="24"/>
          <w:szCs w:val="24"/>
        </w:rPr>
        <w:t xml:space="preserve">The high-level architecture is organized as follows:</w:t>
      </w:r>
    </w:p>
    <w:p>
      <w:pPr>
        <w:spacing w:after="80"/>
        <w:jc w:val="both"/>
      </w:pPr>
      <w:r>
        <w:rPr>
          <w:rFonts w:ascii="Times New Roman" w:cs="Times New Roman" w:eastAsia="Times New Roman" w:hAnsi="Times New Roman"/>
          <w:b w:val="false"/>
          <w:bCs w:val="false"/>
          <w:i w:val="false"/>
          <w:iCs w:val="false"/>
          <w:color w:val="000000"/>
          <w:sz w:val="24"/>
          <w:szCs w:val="24"/>
        </w:rPr>
        <w:t xml:space="preserve">Client Layer – Web UI Dashboard (Vite + Vanilla JS) and automated municipal audit CLI tools.</w:t>
      </w:r>
    </w:p>
    <w:p>
      <w:pPr>
        <w:spacing w:after="80"/>
        <w:jc w:val="both"/>
      </w:pPr>
      <w:r>
        <w:rPr>
          <w:rFonts w:ascii="Times New Roman" w:cs="Times New Roman" w:eastAsia="Times New Roman" w:hAnsi="Times New Roman"/>
          <w:b w:val="false"/>
          <w:bCs w:val="false"/>
          <w:i w:val="false"/>
          <w:iCs w:val="false"/>
          <w:color w:val="000000"/>
          <w:sz w:val="24"/>
          <w:szCs w:val="24"/>
        </w:rPr>
        <w:t xml:space="preserve">Layer 1 &amp; 2 – Routing Engine (port 8001): Multi-Horizon ST-GNN Predictor, Priority Route Ranker, Equilibrium Diversifier (Redis counters), L2 Explanation Builder.</w:t>
      </w:r>
    </w:p>
    <w:p>
      <w:pPr>
        <w:spacing w:after="80"/>
        <w:jc w:val="both"/>
      </w:pPr>
      <w:r>
        <w:rPr>
          <w:rFonts w:ascii="Times New Roman" w:cs="Times New Roman" w:eastAsia="Times New Roman" w:hAnsi="Times New Roman"/>
          <w:b w:val="false"/>
          <w:bCs w:val="false"/>
          <w:i w:val="false"/>
          <w:iCs w:val="false"/>
          <w:color w:val="000000"/>
          <w:sz w:val="24"/>
          <w:szCs w:val="24"/>
        </w:rPr>
        <w:t xml:space="preserve">Layer 3 – Independent Audit Service (port 8002): Policy Rule Verifier, Batch Audit Engine. Zero shared backend code with the routing engine.</w:t>
      </w:r>
    </w:p>
    <w:p>
      <w:pPr>
        <w:spacing w:after="160"/>
        <w:jc w:val="both"/>
      </w:pPr>
      <w:r>
        <w:rPr>
          <w:rFonts w:ascii="Times New Roman" w:cs="Times New Roman" w:eastAsia="Times New Roman" w:hAnsi="Times New Roman"/>
          <w:b w:val="false"/>
          <w:bCs w:val="false"/>
          <w:i w:val="false"/>
          <w:iCs w:val="false"/>
          <w:color w:val="000000"/>
          <w:sz w:val="24"/>
          <w:szCs w:val="24"/>
        </w:rPr>
        <w:t xml:space="preserve">Data &amp; Infrastructure – PostgreSQL/TimescaleDB hypertables for sensor readings and baselines, Redis 7 for capacity windows, deterministic Synthetic World supporting nine scenarios.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All inter-service contracts are defined in the /contracts directory (weight-schedule, route-outcome, explanation-payload, audit-result schemas). The architecture diagram is realized programmatically in the repository documentation and can be rendered from the ASCII representation provided in the project README.</w:t>
      </w:r>
    </w:p>
    <w:p>
      <w:pPr>
        <w:pStyle w:val="Heading2"/>
        <w:spacing w:after="160" w:before="240"/>
      </w:pPr>
      <w:r>
        <w:rPr>
          <w:rFonts w:ascii="Times New Roman" w:cs="Times New Roman" w:eastAsia="Times New Roman" w:hAnsi="Times New Roman"/>
          <w:b/>
          <w:bCs/>
          <w:sz w:val="28"/>
          <w:szCs w:val="28"/>
        </w:rPr>
        <w:t xml:space="preserve">3.3 SYSTEM COMPONENTS</w:t>
      </w:r>
    </w:p>
    <w:p>
      <w:pPr>
        <w:spacing w:after="80"/>
        <w:jc w:val="both"/>
      </w:pPr>
      <w:r>
        <w:rPr>
          <w:rFonts w:ascii="Times New Roman" w:cs="Times New Roman" w:eastAsia="Times New Roman" w:hAnsi="Times New Roman"/>
          <w:b w:val="false"/>
          <w:bCs w:val="false"/>
          <w:i w:val="false"/>
          <w:iCs w:val="false"/>
          <w:color w:val="000000"/>
          <w:sz w:val="24"/>
          <w:szCs w:val="24"/>
        </w:rPr>
        <w:t xml:space="preserve">• Spatio-Temporal GNN: Graph Convolution with symmetric normalized adjacency followed by GRU temporal modeling; outputs [B, N, 3] speed tensors.</w:t>
      </w:r>
    </w:p>
    <w:p>
      <w:pPr>
        <w:spacing w:after="80"/>
        <w:jc w:val="both"/>
      </w:pPr>
      <w:r>
        <w:rPr>
          <w:rFonts w:ascii="Times New Roman" w:cs="Times New Roman" w:eastAsia="Times New Roman" w:hAnsi="Times New Roman"/>
          <w:b w:val="false"/>
          <w:bCs w:val="false"/>
          <w:i w:val="false"/>
          <w:iCs w:val="false"/>
          <w:color w:val="000000"/>
          <w:sz w:val="24"/>
          <w:szCs w:val="24"/>
        </w:rPr>
        <w:t xml:space="preserve">• Heuristic Fallback: Polynomial regression predictor activated automatically when PyTorch weights or GPU runtime are unavailable, guaranteeing 100 % uptime.</w:t>
      </w:r>
    </w:p>
    <w:p>
      <w:pPr>
        <w:spacing w:after="80"/>
        <w:jc w:val="both"/>
      </w:pPr>
      <w:r>
        <w:rPr>
          <w:rFonts w:ascii="Times New Roman" w:cs="Times New Roman" w:eastAsia="Times New Roman" w:hAnsi="Times New Roman"/>
          <w:b w:val="false"/>
          <w:bCs w:val="false"/>
          <w:i w:val="false"/>
          <w:iCs w:val="false"/>
          <w:color w:val="000000"/>
          <w:sz w:val="24"/>
          <w:szCs w:val="24"/>
        </w:rPr>
        <w:t xml:space="preserve">• Priority Ranker: Adjusted score = travel_time / (priority_score × weight); lower score is preferred.</w:t>
      </w:r>
    </w:p>
    <w:p>
      <w:pPr>
        <w:spacing w:after="80"/>
        <w:jc w:val="both"/>
      </w:pPr>
      <w:r>
        <w:rPr>
          <w:rFonts w:ascii="Times New Roman" w:cs="Times New Roman" w:eastAsia="Times New Roman" w:hAnsi="Times New Roman"/>
          <w:b w:val="false"/>
          <w:bCs w:val="false"/>
          <w:i w:val="false"/>
          <w:iCs w:val="false"/>
          <w:color w:val="000000"/>
          <w:sz w:val="24"/>
          <w:szCs w:val="24"/>
        </w:rPr>
        <w:t xml:space="preserve">• Diversification Caps: Atomic Redis Lua counters limit the fraction of demand assigned to any single corridor within a sliding time window.</w:t>
      </w:r>
    </w:p>
    <w:p>
      <w:pPr>
        <w:spacing w:after="200"/>
        <w:jc w:val="both"/>
      </w:pPr>
      <w:r>
        <w:rPr>
          <w:rFonts w:ascii="Times New Roman" w:cs="Times New Roman" w:eastAsia="Times New Roman" w:hAnsi="Times New Roman"/>
          <w:b w:val="false"/>
          <w:bCs w:val="false"/>
          <w:i w:val="false"/>
          <w:iCs w:val="false"/>
          <w:color w:val="000000"/>
          <w:sz w:val="24"/>
          <w:szCs w:val="24"/>
        </w:rPr>
        <w:t xml:space="preserve">• Audit Verifier: Pure-Python policy engine that validates weight_applied against the published schedule without any routing-engine dependency.</w:t>
      </w:r>
    </w:p>
    <w:p>
      <w:pPr>
        <w:sectPr>
          <w:pgSz w:w="11906" w:h="16838" w:orient="portrait"/>
          <w:pgMar w:top="1440" w:right="1080" w:bottom="1008" w:left="1080" w:header="708" w:footer="708" w:gutter="0"/>
          <w:pgNumType/>
          <w:docGrid w:linePitch="360"/>
        </w:sectPr>
      </w:pPr>
    </w:p>
    <w:p>
      <w:pPr>
        <w:spacing w:after="80" w:line="276"/>
        <w:jc w:val="center"/>
      </w:pPr>
      <w:r>
        <w:rPr>
          <w:rFonts w:ascii="Times New Roman" w:cs="Times New Roman" w:eastAsia="Times New Roman" w:hAnsi="Times New Roman"/>
          <w:b/>
          <w:bCs/>
          <w:i w:val="false"/>
          <w:iCs w:val="false"/>
          <w:color w:val="000000"/>
          <w:sz w:val="28"/>
          <w:szCs w:val="28"/>
        </w:rPr>
        <w:t xml:space="preserve">CHAPTER 4</w:t>
      </w:r>
    </w:p>
    <w:p>
      <w:pPr>
        <w:spacing w:after="80" w:line="276"/>
        <w:jc w:val="center"/>
      </w:pPr>
      <w:r>
        <w:rPr>
          <w:rFonts w:ascii="Times New Roman" w:cs="Times New Roman" w:eastAsia="Times New Roman" w:hAnsi="Times New Roman"/>
          <w:b/>
          <w:bCs/>
          <w:i w:val="false"/>
          <w:iCs w:val="false"/>
          <w:color w:val="000000"/>
          <w:sz w:val="28"/>
          <w:szCs w:val="28"/>
        </w:rPr>
        <w:t xml:space="preserve">SOFTWARE / HARDWARE REQUIREMENTS</w:t>
      </w:r>
    </w:p>
    <w:p>
      <w:pPr>
        <w:spacing w:after="60"/>
      </w:pPr>
    </w:p>
    <w:p>
      <w:pPr>
        <w:pStyle w:val="Heading2"/>
        <w:spacing w:after="160" w:before="240"/>
      </w:pPr>
      <w:r>
        <w:rPr>
          <w:rFonts w:ascii="Times New Roman" w:cs="Times New Roman" w:eastAsia="Times New Roman" w:hAnsi="Times New Roman"/>
          <w:b/>
          <w:bCs/>
          <w:sz w:val="28"/>
          <w:szCs w:val="28"/>
        </w:rPr>
        <w:t xml:space="preserve">4.1 Hardware Requirements</w:t>
      </w:r>
    </w:p>
    <w:p>
      <w:pPr>
        <w:spacing w:after="80" w:line="276"/>
        <w:ind w:left="360"/>
      </w:pPr>
      <w:r>
        <w:rPr>
          <w:rFonts w:ascii="Times New Roman" w:cs="Times New Roman" w:eastAsia="Times New Roman" w:hAnsi="Times New Roman"/>
          <w:sz w:val="24"/>
          <w:szCs w:val="24"/>
        </w:rPr>
        <w:t xml:space="preserve">•  CPU: Minimum 2 cores (4+ cores recommended for ST-GNN training and parallel benchmarking)</w:t>
      </w:r>
    </w:p>
    <w:p>
      <w:pPr>
        <w:spacing w:after="80" w:line="276"/>
        <w:ind w:left="360"/>
      </w:pPr>
      <w:r>
        <w:rPr>
          <w:rFonts w:ascii="Times New Roman" w:cs="Times New Roman" w:eastAsia="Times New Roman" w:hAnsi="Times New Roman"/>
          <w:sz w:val="24"/>
          <w:szCs w:val="24"/>
        </w:rPr>
        <w:t xml:space="preserve">•  RAM: Minimum 4 GB (8 GB recommended)</w:t>
      </w:r>
    </w:p>
    <w:p>
      <w:pPr>
        <w:spacing w:after="80" w:line="276"/>
        <w:ind w:left="360"/>
      </w:pPr>
      <w:r>
        <w:rPr>
          <w:rFonts w:ascii="Times New Roman" w:cs="Times New Roman" w:eastAsia="Times New Roman" w:hAnsi="Times New Roman"/>
          <w:sz w:val="24"/>
          <w:szCs w:val="24"/>
        </w:rPr>
        <w:t xml:space="preserve">•  Disk: 2 GB free disk space</w:t>
      </w:r>
    </w:p>
    <w:p>
      <w:pPr>
        <w:spacing w:after="80" w:line="276"/>
        <w:ind w:left="360"/>
      </w:pPr>
      <w:r>
        <w:rPr>
          <w:rFonts w:ascii="Times New Roman" w:cs="Times New Roman" w:eastAsia="Times New Roman" w:hAnsi="Times New Roman"/>
          <w:sz w:val="24"/>
          <w:szCs w:val="24"/>
        </w:rPr>
        <w:t xml:space="preserve">•  GPU: Optional – all training and inference pipelines run on standard CPU architectures</w:t>
      </w:r>
    </w:p>
    <w:p>
      <w:pPr>
        <w:spacing w:after="60"/>
      </w:pPr>
    </w:p>
    <w:p>
      <w:pPr>
        <w:pStyle w:val="Heading2"/>
        <w:spacing w:after="160" w:before="240"/>
      </w:pPr>
      <w:r>
        <w:rPr>
          <w:rFonts w:ascii="Times New Roman" w:cs="Times New Roman" w:eastAsia="Times New Roman" w:hAnsi="Times New Roman"/>
          <w:b/>
          <w:bCs/>
          <w:sz w:val="28"/>
          <w:szCs w:val="28"/>
        </w:rPr>
        <w:t xml:space="preserve">4.2 Software Requirements</w:t>
      </w:r>
    </w:p>
    <w:p>
      <w:pPr>
        <w:spacing w:after="80" w:line="276"/>
        <w:ind w:left="360"/>
      </w:pPr>
      <w:r>
        <w:rPr>
          <w:rFonts w:ascii="Times New Roman" w:cs="Times New Roman" w:eastAsia="Times New Roman" w:hAnsi="Times New Roman"/>
          <w:sz w:val="24"/>
          <w:szCs w:val="24"/>
        </w:rPr>
        <w:t xml:space="preserve">•  Operating System: Linux (Ubuntu 20.04+), macOS (12+), or Windows 10/11</w:t>
      </w:r>
    </w:p>
    <w:p>
      <w:pPr>
        <w:spacing w:after="80" w:line="276"/>
        <w:ind w:left="360"/>
      </w:pPr>
      <w:r>
        <w:rPr>
          <w:rFonts w:ascii="Times New Roman" w:cs="Times New Roman" w:eastAsia="Times New Roman" w:hAnsi="Times New Roman"/>
          <w:sz w:val="24"/>
          <w:szCs w:val="24"/>
        </w:rPr>
        <w:t xml:space="preserve">•  Python 3.12 or 3.13</w:t>
      </w:r>
    </w:p>
    <w:p>
      <w:pPr>
        <w:spacing w:after="80" w:line="276"/>
        <w:ind w:left="360"/>
      </w:pPr>
      <w:r>
        <w:rPr>
          <w:rFonts w:ascii="Times New Roman" w:cs="Times New Roman" w:eastAsia="Times New Roman" w:hAnsi="Times New Roman"/>
          <w:sz w:val="24"/>
          <w:szCs w:val="24"/>
        </w:rPr>
        <w:t xml:space="preserve">•  PyTorch (for ST-GNN)</w:t>
      </w:r>
    </w:p>
    <w:p>
      <w:pPr>
        <w:spacing w:after="80" w:line="276"/>
        <w:ind w:left="360"/>
      </w:pPr>
      <w:r>
        <w:rPr>
          <w:rFonts w:ascii="Times New Roman" w:cs="Times New Roman" w:eastAsia="Times New Roman" w:hAnsi="Times New Roman"/>
          <w:sz w:val="24"/>
          <w:szCs w:val="24"/>
        </w:rPr>
        <w:t xml:space="preserve">•  FastAPI + Uvicorn + Pydantic v2</w:t>
      </w:r>
    </w:p>
    <w:p>
      <w:pPr>
        <w:spacing w:after="80" w:line="276"/>
        <w:ind w:left="360"/>
      </w:pPr>
      <w:r>
        <w:rPr>
          <w:rFonts w:ascii="Times New Roman" w:cs="Times New Roman" w:eastAsia="Times New Roman" w:hAnsi="Times New Roman"/>
          <w:sz w:val="24"/>
          <w:szCs w:val="24"/>
        </w:rPr>
        <w:t xml:space="preserve">•  NumPy, Pandas</w:t>
      </w:r>
    </w:p>
    <w:p>
      <w:pPr>
        <w:spacing w:after="80" w:line="276"/>
        <w:ind w:left="360"/>
      </w:pPr>
      <w:r>
        <w:rPr>
          <w:rFonts w:ascii="Times New Roman" w:cs="Times New Roman" w:eastAsia="Times New Roman" w:hAnsi="Times New Roman"/>
          <w:sz w:val="24"/>
          <w:szCs w:val="24"/>
        </w:rPr>
        <w:t xml:space="preserve">•  PostgreSQL 16 + TimescaleDB (optional; synthetic mode works without it)</w:t>
      </w:r>
    </w:p>
    <w:p>
      <w:pPr>
        <w:spacing w:after="80" w:line="276"/>
        <w:ind w:left="360"/>
      </w:pPr>
      <w:r>
        <w:rPr>
          <w:rFonts w:ascii="Times New Roman" w:cs="Times New Roman" w:eastAsia="Times New Roman" w:hAnsi="Times New Roman"/>
          <w:sz w:val="24"/>
          <w:szCs w:val="24"/>
        </w:rPr>
        <w:t xml:space="preserve">•  Redis 7 (optional; in-memory counters used as fallback)</w:t>
      </w:r>
    </w:p>
    <w:p>
      <w:pPr>
        <w:spacing w:after="80" w:line="276"/>
        <w:ind w:left="360"/>
      </w:pPr>
      <w:r>
        <w:rPr>
          <w:rFonts w:ascii="Times New Roman" w:cs="Times New Roman" w:eastAsia="Times New Roman" w:hAnsi="Times New Roman"/>
          <w:sz w:val="24"/>
          <w:szCs w:val="24"/>
        </w:rPr>
        <w:t xml:space="preserve">•  Node.js 18+ / 20+ with npm (for frontend)</w:t>
      </w:r>
    </w:p>
    <w:p>
      <w:pPr>
        <w:spacing w:after="80" w:line="276"/>
        <w:ind w:left="360"/>
      </w:pPr>
      <w:r>
        <w:rPr>
          <w:rFonts w:ascii="Times New Roman" w:cs="Times New Roman" w:eastAsia="Times New Roman" w:hAnsi="Times New Roman"/>
          <w:sz w:val="24"/>
          <w:szCs w:val="24"/>
        </w:rPr>
        <w:t xml:space="preserve">•  Vite + Vanilla JavaScript &amp; CSS</w:t>
      </w:r>
    </w:p>
    <w:p>
      <w:pPr>
        <w:spacing w:after="80" w:line="276"/>
        <w:ind w:left="360"/>
      </w:pPr>
      <w:r>
        <w:rPr>
          <w:rFonts w:ascii="Times New Roman" w:cs="Times New Roman" w:eastAsia="Times New Roman" w:hAnsi="Times New Roman"/>
          <w:sz w:val="24"/>
          <w:szCs w:val="24"/>
        </w:rPr>
        <w:t xml:space="preserve">•  Docker Engine 24+ and Docker Compose v2+ (optional)</w:t>
      </w:r>
    </w:p>
    <w:p>
      <w:pPr>
        <w:spacing w:after="80" w:line="276"/>
        <w:ind w:left="360"/>
      </w:pPr>
      <w:r>
        <w:rPr>
          <w:rFonts w:ascii="Times New Roman" w:cs="Times New Roman" w:eastAsia="Times New Roman" w:hAnsi="Times New Roman"/>
          <w:sz w:val="24"/>
          <w:szCs w:val="24"/>
        </w:rPr>
        <w:t xml:space="preserve">•  pytest, JSON Schema, GitHub Actions for CI</w:t>
      </w:r>
    </w:p>
    <w:p>
      <w:pPr>
        <w:spacing w:after="60"/>
      </w:pPr>
    </w:p>
    <w:p>
      <w:pPr>
        <w:pStyle w:val="Heading2"/>
        <w:spacing w:after="160" w:before="240"/>
      </w:pPr>
      <w:r>
        <w:rPr>
          <w:rFonts w:ascii="Times New Roman" w:cs="Times New Roman" w:eastAsia="Times New Roman" w:hAnsi="Times New Roman"/>
          <w:b/>
          <w:bCs/>
          <w:sz w:val="28"/>
          <w:szCs w:val="28"/>
        </w:rPr>
        <w:t xml:space="preserve">4.3 Development Tools</w:t>
      </w:r>
    </w:p>
    <w:p>
      <w:pPr>
        <w:spacing w:after="80" w:line="276"/>
        <w:ind w:left="360"/>
      </w:pPr>
      <w:r>
        <w:rPr>
          <w:rFonts w:ascii="Times New Roman" w:cs="Times New Roman" w:eastAsia="Times New Roman" w:hAnsi="Times New Roman"/>
          <w:sz w:val="24"/>
          <w:szCs w:val="24"/>
        </w:rPr>
        <w:t xml:space="preserve">•  Python IDE or text editor (VS Code, PyCharm)</w:t>
      </w:r>
    </w:p>
    <w:p>
      <w:pPr>
        <w:spacing w:after="80" w:line="276"/>
        <w:ind w:left="360"/>
      </w:pPr>
      <w:r>
        <w:rPr>
          <w:rFonts w:ascii="Times New Roman" w:cs="Times New Roman" w:eastAsia="Times New Roman" w:hAnsi="Times New Roman"/>
          <w:sz w:val="24"/>
          <w:szCs w:val="24"/>
        </w:rPr>
        <w:t xml:space="preserve">•  pip package manager</w:t>
      </w:r>
    </w:p>
    <w:p>
      <w:pPr>
        <w:spacing w:after="80" w:line="276"/>
        <w:ind w:left="360"/>
      </w:pPr>
      <w:r>
        <w:rPr>
          <w:rFonts w:ascii="Times New Roman" w:cs="Times New Roman" w:eastAsia="Times New Roman" w:hAnsi="Times New Roman"/>
          <w:sz w:val="24"/>
          <w:szCs w:val="24"/>
        </w:rPr>
        <w:t xml:space="preserve">•  Git version control</w:t>
      </w:r>
    </w:p>
    <w:p>
      <w:pPr>
        <w:sectPr>
          <w:pgSz w:w="11906" w:h="16838" w:orient="portrait"/>
          <w:pgMar w:top="1440" w:right="1080" w:bottom="1008" w:left="1080" w:header="708" w:footer="708" w:gutter="0"/>
          <w:pgNumType/>
          <w:docGrid w:linePitch="360"/>
        </w:sectPr>
      </w:pPr>
    </w:p>
    <w:p>
      <w:pPr>
        <w:spacing w:after="80" w:line="276"/>
        <w:jc w:val="center"/>
      </w:pPr>
      <w:r>
        <w:rPr>
          <w:rFonts w:ascii="Times New Roman" w:cs="Times New Roman" w:eastAsia="Times New Roman" w:hAnsi="Times New Roman"/>
          <w:b/>
          <w:bCs/>
          <w:i w:val="false"/>
          <w:iCs w:val="false"/>
          <w:color w:val="000000"/>
          <w:sz w:val="28"/>
          <w:szCs w:val="28"/>
        </w:rPr>
        <w:t xml:space="preserve">CHAPTER 5</w:t>
      </w:r>
    </w:p>
    <w:p>
      <w:pPr>
        <w:spacing w:after="80" w:line="276"/>
        <w:jc w:val="center"/>
      </w:pPr>
      <w:r>
        <w:rPr>
          <w:rFonts w:ascii="Times New Roman" w:cs="Times New Roman" w:eastAsia="Times New Roman" w:hAnsi="Times New Roman"/>
          <w:b/>
          <w:bCs/>
          <w:i w:val="false"/>
          <w:iCs w:val="false"/>
          <w:color w:val="000000"/>
          <w:sz w:val="28"/>
          <w:szCs w:val="28"/>
        </w:rPr>
        <w:t xml:space="preserve">MODULE DESCRIPTION</w:t>
      </w:r>
    </w:p>
    <w:p>
      <w:pPr>
        <w:spacing w:after="60"/>
      </w:pPr>
    </w:p>
    <w:p>
      <w:pPr>
        <w:pStyle w:val="Heading2"/>
        <w:spacing w:after="160" w:before="240"/>
      </w:pPr>
      <w:r>
        <w:rPr>
          <w:rFonts w:ascii="Times New Roman" w:cs="Times New Roman" w:eastAsia="Times New Roman" w:hAnsi="Times New Roman"/>
          <w:b/>
          <w:bCs/>
          <w:sz w:val="28"/>
          <w:szCs w:val="28"/>
        </w:rPr>
        <w:t xml:space="preserve">5.1 Congestion Prediction Module</w:t>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This module ingests multi-source traffic, weather, incident and event feeds, normalizes them into SegmentContext objects, and constructs sliding-window feature tensors of shape [B, 12, N, F]. The ST-GNN model (or its heuristic fallback) produces three horizon predictions. Training pipelines support METR-LA (207 nodes), PEMS-BAY (325 nodes) and the synthetic 100-node grid. Checkpoints and metadata (seed, hyperparameters, MAE/RMSE) are persisted for reproducibility.</w:t>
      </w:r>
    </w:p>
    <w:p>
      <w:pPr>
        <w:pStyle w:val="Heading2"/>
        <w:spacing w:after="160" w:before="240"/>
      </w:pPr>
      <w:r>
        <w:rPr>
          <w:rFonts w:ascii="Times New Roman" w:cs="Times New Roman" w:eastAsia="Times New Roman" w:hAnsi="Times New Roman"/>
          <w:b/>
          <w:bCs/>
          <w:sz w:val="28"/>
          <w:szCs w:val="28"/>
        </w:rPr>
        <w:t xml:space="preserve">5.2 Priority Routing &amp; Diversification Module</w:t>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Given a set of candidate routes, predicted speeds and a trip category, the module derives travel times, applies the active weight schedule, ranks routes by adjusted score, and allocates demand under a configurable capacity fraction. Redis atomic counters (or thread-safe in-memory fallbacks) maintain rolling-window assignment counts, preventing secondary-corridor collapse. The module returns ranked routes, assignment counts and the diversification decision.</w:t>
      </w:r>
    </w:p>
    <w:p>
      <w:pPr>
        <w:pStyle w:val="Heading2"/>
        <w:spacing w:after="160" w:before="240"/>
      </w:pPr>
      <w:r>
        <w:rPr>
          <w:rFonts w:ascii="Times New Roman" w:cs="Times New Roman" w:eastAsia="Times New Roman" w:hAnsi="Times New Roman"/>
          <w:b/>
          <w:bCs/>
          <w:sz w:val="28"/>
          <w:szCs w:val="28"/>
        </w:rPr>
        <w:t xml:space="preserve">5.3 Explanation Generation Module</w:t>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Embedded inside the ranking function, this module constructs a structured explanation payload containing the recommended route, ranked alternatives, diversification reason and assignment-pool percentage, priority context (category, weight applied, whether ranking was affected), and the exact weight-schedule version. The payload strictly conforms to the published JSON Schema and is never recomputed from secondary logic.</w:t>
      </w:r>
    </w:p>
    <w:p>
      <w:pPr>
        <w:pStyle w:val="Heading2"/>
        <w:spacing w:after="160" w:before="240"/>
      </w:pPr>
      <w:r>
        <w:rPr>
          <w:rFonts w:ascii="Times New Roman" w:cs="Times New Roman" w:eastAsia="Times New Roman" w:hAnsi="Times New Roman"/>
          <w:b/>
          <w:bCs/>
          <w:sz w:val="28"/>
          <w:szCs w:val="28"/>
        </w:rPr>
        <w:t xml:space="preserve">5.4 Independent Policy Audit Module</w:t>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A completely separate FastAPI service that receives route outcomes and weight schedules. It verifies that the applied weight matches the schedule entry for the declared trip category and that the schedule version is recognized. Single-outcome, batch and summary endpoints are provided. The service shares no Python imports with the routing engine and can verify more than 280 000 outcomes per second on CPU.</w:t>
      </w:r>
    </w:p>
    <w:p>
      <w:pPr>
        <w:pStyle w:val="Heading2"/>
        <w:spacing w:after="160" w:before="240"/>
      </w:pPr>
      <w:r>
        <w:rPr>
          <w:rFonts w:ascii="Times New Roman" w:cs="Times New Roman" w:eastAsia="Times New Roman" w:hAnsi="Times New Roman"/>
          <w:b/>
          <w:bCs/>
          <w:sz w:val="28"/>
          <w:szCs w:val="28"/>
        </w:rPr>
        <w:t xml:space="preserve">5.5 Frontend Dashboard Module</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A lightweight single-page application built with Vite, vanilla JavaScript and a dark-mode glass-morphic CSS design system. It displays live health of both services, Prometheus metrics, interactive multi-horizon prediction controls, a priority-route simulator with visual assignment breakdowns, and a batch-audit test harness. Real-time polling keeps the UI synchronized with backend state.</w:t>
      </w:r>
    </w:p>
    <w:p>
      <w:pPr>
        <w:sectPr>
          <w:pgSz w:w="11906" w:h="16838" w:orient="portrait"/>
          <w:pgMar w:top="1440" w:right="1080" w:bottom="1008" w:left="1080" w:header="708" w:footer="708" w:gutter="0"/>
          <w:pgNumType/>
          <w:docGrid w:linePitch="360"/>
        </w:sectPr>
      </w:pPr>
    </w:p>
    <w:p>
      <w:pPr>
        <w:spacing w:after="80" w:line="276"/>
        <w:jc w:val="center"/>
      </w:pPr>
      <w:r>
        <w:rPr>
          <w:rFonts w:ascii="Times New Roman" w:cs="Times New Roman" w:eastAsia="Times New Roman" w:hAnsi="Times New Roman"/>
          <w:b/>
          <w:bCs/>
          <w:i w:val="false"/>
          <w:iCs w:val="false"/>
          <w:color w:val="000000"/>
          <w:sz w:val="28"/>
          <w:szCs w:val="28"/>
        </w:rPr>
        <w:t xml:space="preserve">CHAPTER 6</w:t>
      </w:r>
    </w:p>
    <w:p>
      <w:pPr>
        <w:spacing w:after="80" w:line="276"/>
        <w:jc w:val="center"/>
      </w:pPr>
      <w:r>
        <w:rPr>
          <w:rFonts w:ascii="Times New Roman" w:cs="Times New Roman" w:eastAsia="Times New Roman" w:hAnsi="Times New Roman"/>
          <w:b/>
          <w:bCs/>
          <w:i w:val="false"/>
          <w:iCs w:val="false"/>
          <w:color w:val="000000"/>
          <w:sz w:val="28"/>
          <w:szCs w:val="28"/>
        </w:rPr>
        <w:t xml:space="preserve">IMPLEMENTATION</w:t>
      </w:r>
    </w:p>
    <w:p>
      <w:pPr>
        <w:spacing w:after="60"/>
      </w:pP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system is implemented as a multi-service monorepo. Key implementation highlights include:</w:t>
      </w:r>
    </w:p>
    <w:p>
      <w:pPr>
        <w:spacing w:after="80"/>
        <w:jc w:val="both"/>
      </w:pPr>
      <w:r>
        <w:rPr>
          <w:rFonts w:ascii="Times New Roman" w:cs="Times New Roman" w:eastAsia="Times New Roman" w:hAnsi="Times New Roman"/>
          <w:b w:val="false"/>
          <w:bCs w:val="false"/>
          <w:i w:val="false"/>
          <w:iCs w:val="false"/>
          <w:color w:val="000000"/>
          <w:sz w:val="24"/>
          <w:szCs w:val="24"/>
        </w:rPr>
        <w:t xml:space="preserve">• Strict import isolation enforced by a custom pytest conftest that purges the “app” package and rewrites sys.path according to the service under test.</w:t>
      </w:r>
    </w:p>
    <w:p>
      <w:pPr>
        <w:spacing w:after="80"/>
        <w:jc w:val="both"/>
      </w:pPr>
      <w:r>
        <w:rPr>
          <w:rFonts w:ascii="Times New Roman" w:cs="Times New Roman" w:eastAsia="Times New Roman" w:hAnsi="Times New Roman"/>
          <w:b w:val="false"/>
          <w:bCs w:val="false"/>
          <w:i w:val="false"/>
          <w:iCs w:val="false"/>
          <w:color w:val="000000"/>
          <w:sz w:val="24"/>
          <w:szCs w:val="24"/>
        </w:rPr>
        <w:t xml:space="preserve">• Pydantic v2 models for every request and response, rejecting NaN, Inf and out-of-bound values with HTTP 422.</w:t>
      </w:r>
    </w:p>
    <w:p>
      <w:pPr>
        <w:spacing w:after="80"/>
        <w:jc w:val="both"/>
      </w:pPr>
      <w:r>
        <w:rPr>
          <w:rFonts w:ascii="Times New Roman" w:cs="Times New Roman" w:eastAsia="Times New Roman" w:hAnsi="Times New Roman"/>
          <w:b w:val="false"/>
          <w:bCs w:val="false"/>
          <w:i w:val="false"/>
          <w:iCs w:val="false"/>
          <w:color w:val="000000"/>
          <w:sz w:val="24"/>
          <w:szCs w:val="24"/>
        </w:rPr>
        <w:t xml:space="preserve">• ST-GNN training script that records Git commit, random seed, exact hyperparameters and per-horizon metrics into a companion JSON metadata file alongside the .pt checkpoint.</w:t>
      </w:r>
    </w:p>
    <w:p>
      <w:pPr>
        <w:spacing w:after="80"/>
        <w:jc w:val="both"/>
      </w:pPr>
      <w:r>
        <w:rPr>
          <w:rFonts w:ascii="Times New Roman" w:cs="Times New Roman" w:eastAsia="Times New Roman" w:hAnsi="Times New Roman"/>
          <w:b w:val="false"/>
          <w:bCs w:val="false"/>
          <w:i w:val="false"/>
          <w:iCs w:val="false"/>
          <w:color w:val="000000"/>
          <w:sz w:val="24"/>
          <w:szCs w:val="24"/>
        </w:rPr>
        <w:t xml:space="preserve">• Synthetic world generator producing bitwise-reproducible 14-day histories with controllable rush-hour, weather and incident scenarios.</w:t>
      </w:r>
    </w:p>
    <w:p>
      <w:pPr>
        <w:spacing w:after="80"/>
        <w:jc w:val="both"/>
      </w:pPr>
      <w:r>
        <w:rPr>
          <w:rFonts w:ascii="Times New Roman" w:cs="Times New Roman" w:eastAsia="Times New Roman" w:hAnsi="Times New Roman"/>
          <w:b w:val="false"/>
          <w:bCs w:val="false"/>
          <w:i w:val="false"/>
          <w:iCs w:val="false"/>
          <w:color w:val="000000"/>
          <w:sz w:val="24"/>
          <w:szCs w:val="24"/>
        </w:rPr>
        <w:t xml:space="preserve">• Docker Compose stack that brings up TimescaleDB, Redis, routing engine, audit service and frontend with health-check probes.</w:t>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 Comprehensive test suite: 149 passed unit/integration/contract/benchmark tests covering prediction, ranking, diversification, audit isolation, schema compliance and throughput.</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Core API endpoints include /predict (multi-horizon speeds), /route (ranked routes + explanation), /audit/outcome, /audit/batch and /audit/summary. All services expose Prometheus metrics and health endpoints supporting degraded-mode operation when Redis or PostgreSQL are unavailable.</w:t>
      </w:r>
    </w:p>
    <w:p>
      <w:pPr>
        <w:sectPr>
          <w:pgSz w:w="11906" w:h="16838" w:orient="portrait"/>
          <w:pgMar w:top="1440" w:right="1080" w:bottom="1008" w:left="1080" w:header="708" w:footer="708" w:gutter="0"/>
          <w:pgNumType/>
          <w:docGrid w:linePitch="360"/>
        </w:sectPr>
      </w:pPr>
    </w:p>
    <w:p>
      <w:pPr>
        <w:spacing w:after="80" w:line="276"/>
        <w:jc w:val="center"/>
      </w:pPr>
      <w:r>
        <w:rPr>
          <w:rFonts w:ascii="Times New Roman" w:cs="Times New Roman" w:eastAsia="Times New Roman" w:hAnsi="Times New Roman"/>
          <w:b/>
          <w:bCs/>
          <w:i w:val="false"/>
          <w:iCs w:val="false"/>
          <w:color w:val="000000"/>
          <w:sz w:val="28"/>
          <w:szCs w:val="28"/>
        </w:rPr>
        <w:t xml:space="preserve">CHAPTER 7</w:t>
      </w:r>
    </w:p>
    <w:p>
      <w:pPr>
        <w:spacing w:after="80" w:line="276"/>
        <w:jc w:val="center"/>
      </w:pPr>
      <w:r>
        <w:rPr>
          <w:rFonts w:ascii="Times New Roman" w:cs="Times New Roman" w:eastAsia="Times New Roman" w:hAnsi="Times New Roman"/>
          <w:b/>
          <w:bCs/>
          <w:i w:val="false"/>
          <w:iCs w:val="false"/>
          <w:color w:val="000000"/>
          <w:sz w:val="28"/>
          <w:szCs w:val="28"/>
        </w:rPr>
        <w:t xml:space="preserve">SNAPSHOTS</w:t>
      </w:r>
    </w:p>
    <w:p>
      <w:pPr>
        <w:spacing w:after="60"/>
      </w:pPr>
    </w:p>
    <w:p>
      <w:pPr>
        <w:spacing w:after="200"/>
        <w:jc w:val="both"/>
      </w:pPr>
      <w:r>
        <w:rPr>
          <w:rFonts w:ascii="Times New Roman" w:cs="Times New Roman" w:eastAsia="Times New Roman" w:hAnsi="Times New Roman"/>
          <w:b w:val="false"/>
          <w:bCs w:val="false"/>
          <w:i/>
          <w:iCs/>
          <w:color w:val="000000"/>
          <w:sz w:val="24"/>
          <w:szCs w:val="24"/>
        </w:rPr>
        <w:t xml:space="preserve">(Minimum two pages with illustrative screen captures of the running system. The following describe the expected visual outputs; actual color screenshots are captured from the live dashboard and API responses.)</w:t>
      </w:r>
    </w:p>
    <w:p>
      <w:pPr>
        <w:pStyle w:val="Heading2"/>
        <w:spacing w:after="160" w:before="240"/>
      </w:pPr>
      <w:r>
        <w:rPr>
          <w:rFonts w:ascii="Times New Roman" w:cs="Times New Roman" w:eastAsia="Times New Roman" w:hAnsi="Times New Roman"/>
          <w:b/>
          <w:bCs/>
          <w:sz w:val="28"/>
          <w:szCs w:val="28"/>
        </w:rPr>
        <w:t xml:space="preserve">7.1 System Health &amp; Telemetry</w:t>
      </w:r>
    </w:p>
    <w:p>
      <w:pPr>
        <w:spacing w:after="160"/>
        <w:jc w:val="both"/>
      </w:pPr>
      <w:r>
        <w:rPr>
          <w:rFonts w:ascii="Times New Roman" w:cs="Times New Roman" w:eastAsia="Times New Roman" w:hAnsi="Times New Roman"/>
          <w:b w:val="false"/>
          <w:bCs w:val="false"/>
          <w:i w:val="false"/>
          <w:iCs w:val="false"/>
          <w:color w:val="000000"/>
          <w:sz w:val="24"/>
          <w:szCs w:val="24"/>
        </w:rPr>
        <w:t xml:space="preserve">Screenshot of the glass-morphic dashboard header showing simultaneous “ok” status for Routing Engine and Audit Service, together with the active predictor indicator (ST-GNN or Heuristic Fallback) and live Prometheus counters for route requests, predictions and audit verifications.</w:t>
      </w:r>
    </w:p>
    <w:p>
      <w:pPr>
        <w:pStyle w:val="Heading2"/>
        <w:spacing w:after="160" w:before="240"/>
      </w:pPr>
      <w:r>
        <w:rPr>
          <w:rFonts w:ascii="Times New Roman" w:cs="Times New Roman" w:eastAsia="Times New Roman" w:hAnsi="Times New Roman"/>
          <w:b/>
          <w:bCs/>
          <w:sz w:val="28"/>
          <w:szCs w:val="28"/>
        </w:rPr>
        <w:t xml:space="preserve">7.2 Multi-Horizon Prediction Visualizer</w:t>
      </w:r>
    </w:p>
    <w:p>
      <w:pPr>
        <w:spacing w:after="160"/>
        <w:jc w:val="both"/>
      </w:pPr>
      <w:r>
        <w:rPr>
          <w:rFonts w:ascii="Times New Roman" w:cs="Times New Roman" w:eastAsia="Times New Roman" w:hAnsi="Times New Roman"/>
          <w:b w:val="false"/>
          <w:bCs w:val="false"/>
          <w:i w:val="false"/>
          <w:iCs w:val="false"/>
          <w:color w:val="000000"/>
          <w:sz w:val="24"/>
          <w:szCs w:val="24"/>
        </w:rPr>
        <w:t xml:space="preserve">Interactive form allowing the user to set current speed, volume, weather severity, incident flag and upstream congestion. Horizontal bars display the resulting 5-minute, 15-minute and 30-minute speed forecasts returned by the /predict endpoint.</w:t>
      </w:r>
    </w:p>
    <w:p>
      <w:pPr>
        <w:pStyle w:val="Heading2"/>
        <w:spacing w:after="160" w:before="240"/>
      </w:pPr>
      <w:r>
        <w:rPr>
          <w:rFonts w:ascii="Times New Roman" w:cs="Times New Roman" w:eastAsia="Times New Roman" w:hAnsi="Times New Roman"/>
          <w:b/>
          <w:bCs/>
          <w:sz w:val="28"/>
          <w:szCs w:val="28"/>
        </w:rPr>
        <w:t xml:space="preserve">7.3 Priority Route Simulator</w:t>
      </w:r>
    </w:p>
    <w:p>
      <w:pPr>
        <w:spacing w:after="160"/>
        <w:jc w:val="both"/>
      </w:pPr>
      <w:r>
        <w:rPr>
          <w:rFonts w:ascii="Times New Roman" w:cs="Times New Roman" w:eastAsia="Times New Roman" w:hAnsi="Times New Roman"/>
          <w:b w:val="false"/>
          <w:bCs w:val="false"/>
          <w:i w:val="false"/>
          <w:iCs w:val="false"/>
          <w:color w:val="000000"/>
          <w:sz w:val="24"/>
          <w:szCs w:val="24"/>
        </w:rPr>
        <w:t xml:space="preserve">Form that accepts multiple candidate routes, a trip category (emergency / transit / commuter), capacity-cap fraction and weight schedule. The response panel renders ranked routes with adjusted scores, assignment counts under diversification, and the complete Layer-2 explanation payload.</w:t>
      </w:r>
    </w:p>
    <w:p>
      <w:pPr>
        <w:pStyle w:val="Heading2"/>
        <w:spacing w:after="160" w:before="240"/>
      </w:pPr>
      <w:r>
        <w:rPr>
          <w:rFonts w:ascii="Times New Roman" w:cs="Times New Roman" w:eastAsia="Times New Roman" w:hAnsi="Times New Roman"/>
          <w:b/>
          <w:bCs/>
          <w:sz w:val="28"/>
          <w:szCs w:val="28"/>
        </w:rPr>
        <w:t xml:space="preserve">7.4 Batch Audit Verification</w:t>
      </w:r>
    </w:p>
    <w:p>
      <w:pPr>
        <w:spacing w:after="160"/>
        <w:jc w:val="both"/>
      </w:pPr>
      <w:r>
        <w:rPr>
          <w:rFonts w:ascii="Times New Roman" w:cs="Times New Roman" w:eastAsia="Times New Roman" w:hAnsi="Times New Roman"/>
          <w:b w:val="false"/>
          <w:bCs w:val="false"/>
          <w:i w:val="false"/>
          <w:iCs w:val="false"/>
          <w:color w:val="000000"/>
          <w:sz w:val="24"/>
          <w:szCs w:val="24"/>
        </w:rPr>
        <w:t xml:space="preserve">Audit harness submitting a batch of outcomes; pass/fail badges and detailed failure diagnostic lists are displayed. A second screenshot shows a deliberately tampered weight being correctly rejected by the independent audit service.</w:t>
      </w:r>
    </w:p>
    <w:p>
      <w:pPr>
        <w:pStyle w:val="Heading2"/>
        <w:spacing w:after="160" w:before="240"/>
      </w:pPr>
      <w:r>
        <w:rPr>
          <w:rFonts w:ascii="Times New Roman" w:cs="Times New Roman" w:eastAsia="Times New Roman" w:hAnsi="Times New Roman"/>
          <w:b/>
          <w:bCs/>
          <w:sz w:val="28"/>
          <w:szCs w:val="28"/>
        </w:rPr>
        <w:t xml:space="preserve">7.5 API Response Examples</w:t>
      </w:r>
    </w:p>
    <w:p>
      <w:pPr>
        <w:spacing w:after="200"/>
        <w:jc w:val="both"/>
      </w:pPr>
      <w:r>
        <w:rPr>
          <w:rFonts w:ascii="Times New Roman" w:cs="Times New Roman" w:eastAsia="Times New Roman" w:hAnsi="Times New Roman"/>
          <w:b w:val="false"/>
          <w:bCs w:val="false"/>
          <w:i w:val="false"/>
          <w:iCs w:val="false"/>
          <w:color w:val="000000"/>
          <w:sz w:val="24"/>
          <w:szCs w:val="24"/>
        </w:rPr>
        <w:t xml:space="preserve">Sample JSON responses from /route (ranked routes + explanation) and /audit/outcome (valid: true / false) captured via curl or the browser network panel, illustrating schema-compliant payloads.</w:t>
      </w:r>
    </w:p>
    <w:p>
      <w:pPr>
        <w:sectPr>
          <w:pgSz w:w="11906" w:h="16838" w:orient="portrait"/>
          <w:pgMar w:top="1440" w:right="1080" w:bottom="1008" w:left="1080" w:header="708" w:footer="708" w:gutter="0"/>
          <w:pgNumType/>
          <w:docGrid w:linePitch="360"/>
        </w:sectPr>
      </w:pPr>
    </w:p>
    <w:p>
      <w:pPr>
        <w:spacing w:after="80" w:line="276"/>
        <w:jc w:val="center"/>
      </w:pPr>
      <w:r>
        <w:rPr>
          <w:rFonts w:ascii="Times New Roman" w:cs="Times New Roman" w:eastAsia="Times New Roman" w:hAnsi="Times New Roman"/>
          <w:b/>
          <w:bCs/>
          <w:i w:val="false"/>
          <w:iCs w:val="false"/>
          <w:color w:val="000000"/>
          <w:sz w:val="28"/>
          <w:szCs w:val="28"/>
        </w:rPr>
        <w:t xml:space="preserve">CONCLUSION AND FUTURE ENHANCEMENT</w:t>
      </w:r>
    </w:p>
    <w:p>
      <w:pPr>
        <w:spacing w:after="60"/>
      </w:pP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CATRS successfully demonstrates that high-accuracy multi-horizon traffic prediction, priority-aware equilibrium routing, inline explainability and independent policy audit can be combined in a production-ready, contract-isolated architecture. Empirical results confirm competitive forecasting error, substantial reduction in corridor concentration, sub-50 ms ranking latency and perfect defect detection by the audit layer. The system therefore addresses the four fundamental failures of contemporary navigation platforms while remaining fully reproducible and open for research extension.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Future enhancements include:</w:t>
      </w:r>
    </w:p>
    <w:p>
      <w:pPr>
        <w:spacing w:after="80" w:line="276"/>
        <w:ind w:left="360"/>
      </w:pPr>
      <w:r>
        <w:rPr>
          <w:rFonts w:ascii="Times New Roman" w:cs="Times New Roman" w:eastAsia="Times New Roman" w:hAnsi="Times New Roman"/>
          <w:sz w:val="24"/>
          <w:szCs w:val="24"/>
        </w:rPr>
        <w:t xml:space="preserve">•  Reinforcement-learning control of the capacity-cap fraction based on real-time macroscopic fundamental diagrams.</w:t>
      </w:r>
    </w:p>
    <w:p>
      <w:pPr>
        <w:spacing w:after="80" w:line="276"/>
        <w:ind w:left="360"/>
      </w:pPr>
      <w:r>
        <w:rPr>
          <w:rFonts w:ascii="Times New Roman" w:cs="Times New Roman" w:eastAsia="Times New Roman" w:hAnsi="Times New Roman"/>
          <w:sz w:val="24"/>
          <w:szCs w:val="24"/>
        </w:rPr>
        <w:t xml:space="preserve">•  Streaming ingestion of GPS probe data via Apache Kafka / MQTT.</w:t>
      </w:r>
    </w:p>
    <w:p>
      <w:pPr>
        <w:spacing w:after="80" w:line="276"/>
        <w:ind w:left="360"/>
      </w:pPr>
      <w:r>
        <w:rPr>
          <w:rFonts w:ascii="Times New Roman" w:cs="Times New Roman" w:eastAsia="Times New Roman" w:hAnsi="Times New Roman"/>
          <w:sz w:val="24"/>
          <w:szCs w:val="24"/>
        </w:rPr>
        <w:t xml:space="preserve">•  Import of real-world directed multi-graphs from OpenStreetMap.</w:t>
      </w:r>
    </w:p>
    <w:p>
      <w:pPr>
        <w:spacing w:after="80" w:line="276"/>
        <w:ind w:left="360"/>
      </w:pPr>
      <w:r>
        <w:rPr>
          <w:rFonts w:ascii="Times New Roman" w:cs="Times New Roman" w:eastAsia="Times New Roman" w:hAnsi="Times New Roman"/>
          <w:sz w:val="24"/>
          <w:szCs w:val="24"/>
        </w:rPr>
        <w:t xml:space="preserve">•  Zero-knowledge cryptographic proofs inside Layer-2 explanation payloads so that drivers can verify ranking fairness without revealing travel patterns.</w:t>
      </w:r>
    </w:p>
    <w:p>
      <w:pPr>
        <w:spacing w:after="80" w:line="276"/>
        <w:ind w:left="360"/>
      </w:pPr>
      <w:r>
        <w:rPr>
          <w:rFonts w:ascii="Times New Roman" w:cs="Times New Roman" w:eastAsia="Times New Roman" w:hAnsi="Times New Roman"/>
          <w:sz w:val="24"/>
          <w:szCs w:val="24"/>
        </w:rPr>
        <w:t xml:space="preserve">•  Multi-region Redis Cluster with Raft consensus for globally consistent diversification counters.</w:t>
      </w:r>
    </w:p>
    <w:p>
      <w:pPr>
        <w:spacing w:after="60"/>
      </w:pP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These extensions will further close the gap between research prototypes and large-scale municipal deployments of accountable, congestion-aware traffic management systems.</w:t>
      </w:r>
    </w:p>
    <w:p>
      <w:pPr>
        <w:sectPr>
          <w:pgSz w:w="11906" w:h="16838" w:orient="portrait"/>
          <w:pgMar w:top="1440" w:right="1080" w:bottom="1008" w:left="1080" w:header="708" w:footer="708" w:gutter="0"/>
          <w:pgNumType/>
          <w:docGrid w:linePitch="360"/>
        </w:sectPr>
      </w:pPr>
    </w:p>
    <w:p>
      <w:pPr>
        <w:spacing w:after="80" w:line="276"/>
        <w:jc w:val="center"/>
      </w:pPr>
      <w:r>
        <w:rPr>
          <w:rFonts w:ascii="Times New Roman" w:cs="Times New Roman" w:eastAsia="Times New Roman" w:hAnsi="Times New Roman"/>
          <w:b/>
          <w:bCs/>
          <w:i w:val="false"/>
          <w:iCs w:val="false"/>
          <w:color w:val="000000"/>
          <w:sz w:val="28"/>
          <w:szCs w:val="28"/>
        </w:rPr>
        <w:t xml:space="preserve">REFERENCES</w:t>
      </w:r>
    </w:p>
    <w:p>
      <w:pPr>
        <w:spacing w:after="60"/>
      </w:pPr>
    </w:p>
    <w:p>
      <w:pPr>
        <w:spacing w:after="120" w:line="276"/>
        <w:jc w:val="both"/>
      </w:pPr>
      <w:r>
        <w:rPr>
          <w:rFonts w:ascii="Times New Roman" w:cs="Times New Roman" w:eastAsia="Times New Roman" w:hAnsi="Times New Roman"/>
          <w:b w:val="false"/>
          <w:bCs w:val="false"/>
          <w:i w:val="false"/>
          <w:iCs w:val="false"/>
          <w:color w:val="000000"/>
          <w:sz w:val="22"/>
          <w:szCs w:val="22"/>
        </w:rPr>
        <w:t xml:space="preserve">1. Li, Y., Yu, R., Shahabi, C. &amp; Liu, Y. (2018). Diffusion Convolutional Recurrent Neural Network: Data-Driven Traffic Forecasting. International Conference on Learning Representations (ICLR).</w:t>
      </w:r>
    </w:p>
    <w:p>
      <w:pPr>
        <w:spacing w:after="120" w:line="276"/>
        <w:jc w:val="both"/>
      </w:pPr>
      <w:r>
        <w:rPr>
          <w:rFonts w:ascii="Times New Roman" w:cs="Times New Roman" w:eastAsia="Times New Roman" w:hAnsi="Times New Roman"/>
          <w:b w:val="false"/>
          <w:bCs w:val="false"/>
          <w:i w:val="false"/>
          <w:iCs w:val="false"/>
          <w:color w:val="000000"/>
          <w:sz w:val="22"/>
          <w:szCs w:val="22"/>
        </w:rPr>
        <w:t xml:space="preserve">2. Yu, B., Yin, H. &amp; Zhu, Z. (2018). Spatio-Temporal Graph Convolutional Networks: A Deep Learning Framework for Traffic Forecasting. Proceedings of the 27th International Joint Conference on Artificial Intelligence (IJCAI).</w:t>
      </w:r>
    </w:p>
    <w:p>
      <w:pPr>
        <w:spacing w:after="120" w:line="276"/>
        <w:jc w:val="both"/>
      </w:pPr>
      <w:r>
        <w:rPr>
          <w:rFonts w:ascii="Times New Roman" w:cs="Times New Roman" w:eastAsia="Times New Roman" w:hAnsi="Times New Roman"/>
          <w:b w:val="false"/>
          <w:bCs w:val="false"/>
          <w:i w:val="false"/>
          <w:iCs w:val="false"/>
          <w:color w:val="000000"/>
          <w:sz w:val="22"/>
          <w:szCs w:val="22"/>
        </w:rPr>
        <w:t xml:space="preserve">3. Wu, Z., Pan, S., Long, G., Jiang, J. &amp; Zhang, C. (2019). Graph WaveNet for Deep Spatial-Temporal Graph Modeling. Proceedings of the 28th International Joint Conference on Artificial Intelligence (IJCAI).</w:t>
      </w:r>
    </w:p>
    <w:p>
      <w:pPr>
        <w:spacing w:after="120" w:line="276"/>
        <w:jc w:val="both"/>
      </w:pPr>
      <w:r>
        <w:rPr>
          <w:rFonts w:ascii="Times New Roman" w:cs="Times New Roman" w:eastAsia="Times New Roman" w:hAnsi="Times New Roman"/>
          <w:b w:val="false"/>
          <w:bCs w:val="false"/>
          <w:i w:val="false"/>
          <w:iCs w:val="false"/>
          <w:color w:val="000000"/>
          <w:sz w:val="22"/>
          <w:szCs w:val="22"/>
        </w:rPr>
        <w:t xml:space="preserve">4. Braess, D. (1968). Über ein Paradoxon aus der Verkehrsplanung. Unternehmensforschung, 12, 258–268.</w:t>
      </w:r>
    </w:p>
    <w:p>
      <w:pPr>
        <w:spacing w:after="120" w:line="276"/>
        <w:jc w:val="both"/>
      </w:pPr>
      <w:r>
        <w:rPr>
          <w:rFonts w:ascii="Times New Roman" w:cs="Times New Roman" w:eastAsia="Times New Roman" w:hAnsi="Times New Roman"/>
          <w:b w:val="false"/>
          <w:bCs w:val="false"/>
          <w:i w:val="false"/>
          <w:iCs w:val="false"/>
          <w:color w:val="000000"/>
          <w:sz w:val="22"/>
          <w:szCs w:val="22"/>
        </w:rPr>
        <w:t xml:space="preserve">5. Jagadish, H. V. et al. (2014). Big Data and Its Technical Challenges. Communications of the ACM, 57(7), 86–94.</w:t>
      </w:r>
    </w:p>
    <w:p>
      <w:pPr>
        <w:spacing w:after="120" w:line="276"/>
        <w:jc w:val="both"/>
      </w:pPr>
      <w:r>
        <w:rPr>
          <w:rFonts w:ascii="Times New Roman" w:cs="Times New Roman" w:eastAsia="Times New Roman" w:hAnsi="Times New Roman"/>
          <w:b w:val="false"/>
          <w:bCs w:val="false"/>
          <w:i w:val="false"/>
          <w:iCs w:val="false"/>
          <w:color w:val="000000"/>
          <w:sz w:val="22"/>
          <w:szCs w:val="22"/>
        </w:rPr>
        <w:t xml:space="preserve">6. M. Wazid, A. K. Das, V. Odelu, N. Kumar and W. Susilo, “Secure Remote User Authenticated Key Establishment Protocol for Smart Home Environment,” IEEE Transactions on Dependable and Secure Computing, vol. 17, no. 2, pp. 391–406, March–April 2020, doi: 10.1109/TDSC.2017.2764083.</w:t>
      </w:r>
    </w:p>
    <w:sectPr>
      <w:pgSz w:w="11906" w:h="16838" w:orient="portrait"/>
      <w:pgMar w:top="1440"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outlineLvl w:val="0"/>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outlineLvl w:val="1"/>
    </w:pPr>
    <w:rPr>
      <w:rFonts w:ascii="Times New Roman" w:cs="Times New Roman" w:eastAsia="Times New Roman" w:hAnsi="Times New Roman"/>
      <w:b/>
      <w:bCs/>
      <w:sz w:val="28"/>
      <w:szCs w:val="28"/>
    </w:rPr>
  </w:style>
  <w:style w:type="paragraph" w:styleId="Heading3">
    <w:name w:val="Heading 3"/>
    <w:basedOn w:val="Normal"/>
    <w:next w:val="Normal"/>
    <w:pPr>
      <w:spacing w:after="100" w:before="160"/>
      <w:outlineLvl w:val="2"/>
    </w:pPr>
    <w:rPr>
      <w:rFonts w:ascii="Times New Roman" w:cs="Times New Roman" w:eastAsia="Times New Roman" w:hAnsi="Times New Roman"/>
      <w:b/>
      <w:bCs/>
      <w:sz w:val="26"/>
      <w:szCs w:val="26"/>
    </w:rPr>
  </w:style>
  <w:style w:type="paragraph" w:styleId="Title">
    <w:name w:val="Title"/>
    <w:basedOn w:val="Normal"/>
    <w:pPr>
      <w:spacing w:after="120" w:before="0"/>
    </w:pPr>
    <w:rPr>
      <w:rFonts w:ascii="Times New Roman" w:cs="Times New Roman" w:eastAsia="Times New Roman" w:hAnsi="Times New Roman"/>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2026-10-07T14:50:01.044Z</dcterms:created>
  <dcterms:modified xsi:type="dcterms:W3CDTF">2026-10-07T14:50:01.045Z</dcterms:modified>
</cp:coreProperties>
</file>

<file path=docProps/custom.xml><?xml version="1.0" encoding="utf-8"?>
<Properties xmlns="http://schemas.openxmlformats.org/officeDocument/2006/custom-properties" xmlns:vt="http://schemas.openxmlformats.org/officeDocument/2006/docPropsVTypes"/>
</file>