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FinTrust Week 2: Business Findings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Finding 1: Channel Dominance &amp; Revenue Concentration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Finding: Mobile and POS channels dominate platform monetary throughput, accounting for over 75% of total transaction value.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Evidence: The Mobile App channel generated 240.10M NGN and POS generated 104.35M NGN out of the total platform volume.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Business Meaning: Customer preference heavily favors mobile and in-person POS channels; engineering and product teams must prioritize mobile app UI/UX reliability, speed, and continuous uptime to protect core revenue streams.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Finding 2: Operational Success vs. Technical Bottlenecks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Finding: Platform operational reliability is strong, though minor technical leakage persists in failed and pending states.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Evidence: The overall transaction success rate stands at 90.47% (10,856 successful transactions), leaving 630 failed and 188 pending transactions.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Business Meaning: While nine out of ten transactions succeed smoothly, recurring payment gateway failures or network timeouts can degrade user trust, signaling a need for improved API integration with financial partners.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Finding 3: Customer Segments and Liquidity Drivers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Finding: The Everyday customer segment drives the highest transactional frequency and volume across the platform.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Evidence: The Everyday segment generated 5,644 transactions totaling 261.46M NGN, outperforming Premium, Student, and SME segments.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Business Meaning: Mass-market retail customers form the backbone of FinTrust's liquidity; marketing strategies should focus on retention incentives and loyalty programs tailored to everyday consumer banking habits.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Finding 4: Risk Review Efficacy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Finding: Automated risk-review controls are effectively intercepting suspicious activities without bottlenecking legitimate transactions.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Evidence: A total of 19.60% of transactions (2,352 records) were flagged for risk review, with the vast majority of successfully completed transactions passing compliance checks.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Business Meaning: The risk engine provides robust fraud protection without introducing excessive friction that would otherwise frustrate legitimate users during routine checkout or transfer processes.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Finding 5: Transaction Type Spending Disparities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Finding: High-value capital movement is heavily concentrated in direct deposits and wire transfers rather than micro-purchases.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Evidence: Deposits average 98,633.33 NGN and Transfers average 67,037.67 NGN, whereas Airtime/Data purchases average only 8,249.93 NGN.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Business Meaning: Income-generating asset accumulation relies on high-value inbound transfers and deposits, whereas retail micro-transactions serve primarily as tools for daily user engagement and frequency.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