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5EEC1" w14:textId="766754B6" w:rsidR="00C44F78" w:rsidRPr="00C44F78" w:rsidRDefault="00C44F78" w:rsidP="00C44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</w:p>
    <w:p w14:paraId="4E3552CE" w14:textId="77777777" w:rsidR="00C44F78" w:rsidRPr="00C44F78" w:rsidRDefault="00C44F78" w:rsidP="00C44F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C44F78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pict w14:anchorId="073515B5">
          <v:rect id="_x0000_i1025" style="width:0;height:1.5pt" o:hralign="center" o:hrstd="t" o:hr="t" fillcolor="#a0a0a0" stroked="f"/>
        </w:pict>
      </w:r>
    </w:p>
    <w:p w14:paraId="6EB689DE" w14:textId="77777777" w:rsidR="00C44F78" w:rsidRPr="00C44F78" w:rsidRDefault="00C44F78" w:rsidP="00C44F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W"/>
          <w14:ligatures w14:val="none"/>
        </w:rPr>
      </w:pPr>
      <w:r w:rsidRPr="00C44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W"/>
          <w14:ligatures w14:val="none"/>
        </w:rPr>
        <w:t>KEY FUNCTIONALITIES FOR THE NEW SOFTWARE</w:t>
      </w:r>
    </w:p>
    <w:p w14:paraId="6BD3EC1A" w14:textId="77777777" w:rsidR="00C44F78" w:rsidRPr="00C44F78" w:rsidRDefault="00C44F78" w:rsidP="00C44F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C44F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W"/>
          <w14:ligatures w14:val="none"/>
        </w:rPr>
        <w:t>Aged Analysis</w:t>
      </w:r>
    </w:p>
    <w:p w14:paraId="3C15955C" w14:textId="64B657A1" w:rsidR="00C44F78" w:rsidRPr="00C44F78" w:rsidRDefault="00C44F78" w:rsidP="00C44F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C44F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W"/>
          <w14:ligatures w14:val="none"/>
        </w:rPr>
        <w:t>Set of bank accounts</w:t>
      </w:r>
      <w:r w:rsidRPr="00C44F78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 xml:space="preserve">, e.g. FBC Bank, EcoCash, </w:t>
      </w:r>
      <w:r w:rsidR="00E80901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 xml:space="preserve">ZB Bank, </w:t>
      </w:r>
      <w:proofErr w:type="spellStart"/>
      <w:proofErr w:type="gramStart"/>
      <w:r w:rsidR="00E80901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CABS,</w:t>
      </w:r>
      <w:r w:rsidRPr="00C44F78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Cash</w:t>
      </w:r>
      <w:proofErr w:type="spellEnd"/>
      <w:proofErr w:type="gramEnd"/>
      <w:r w:rsidRPr="00C44F78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, etc., supporting USD and ZWG</w:t>
      </w:r>
    </w:p>
    <w:p w14:paraId="230FC443" w14:textId="77777777" w:rsidR="00C44F78" w:rsidRPr="00C44F78" w:rsidRDefault="00C44F78" w:rsidP="00C44F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C44F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W"/>
          <w14:ligatures w14:val="none"/>
        </w:rPr>
        <w:t>Different income accounts</w:t>
      </w:r>
    </w:p>
    <w:p w14:paraId="2EE91003" w14:textId="77777777" w:rsidR="00C44F78" w:rsidRPr="00C44F78" w:rsidRDefault="00C44F78" w:rsidP="00C44F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C44F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W"/>
          <w14:ligatures w14:val="none"/>
        </w:rPr>
        <w:t>Internal users</w:t>
      </w:r>
      <w:r w:rsidRPr="00C44F78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 xml:space="preserve"> should be able to view different types of reports, including:</w:t>
      </w:r>
    </w:p>
    <w:p w14:paraId="3E181C7B" w14:textId="77777777" w:rsidR="00C44F78" w:rsidRPr="00C44F78" w:rsidRDefault="00C44F78" w:rsidP="00C44F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C44F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W"/>
          <w14:ligatures w14:val="none"/>
        </w:rPr>
        <w:t>Reallocation functionality</w:t>
      </w:r>
    </w:p>
    <w:p w14:paraId="3E0968E9" w14:textId="77777777" w:rsidR="00C44F78" w:rsidRPr="00C44F78" w:rsidRDefault="00C44F78" w:rsidP="00C44F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C44F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W"/>
          <w14:ligatures w14:val="none"/>
        </w:rPr>
        <w:t>Reconciliation functionality</w:t>
      </w:r>
    </w:p>
    <w:p w14:paraId="0A0A7E67" w14:textId="77777777" w:rsidR="00C44F78" w:rsidRPr="00C44F78" w:rsidRDefault="00C44F78" w:rsidP="00C44F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C44F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W"/>
          <w14:ligatures w14:val="none"/>
        </w:rPr>
        <w:t>Uniform amount charge on master file</w:t>
      </w:r>
    </w:p>
    <w:p w14:paraId="4F9FDB08" w14:textId="77777777" w:rsidR="00C44F78" w:rsidRPr="00C44F78" w:rsidRDefault="00C44F78" w:rsidP="00C44F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C44F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W"/>
          <w14:ligatures w14:val="none"/>
        </w:rPr>
        <w:t>Billing</w:t>
      </w:r>
    </w:p>
    <w:p w14:paraId="42A2A2CA" w14:textId="77777777" w:rsidR="00C44F78" w:rsidRPr="00C44F78" w:rsidRDefault="00C44F78" w:rsidP="00C44F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C44F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W"/>
          <w14:ligatures w14:val="none"/>
        </w:rPr>
        <w:t>Mailing functionality</w:t>
      </w:r>
    </w:p>
    <w:p w14:paraId="744BF3E6" w14:textId="77777777" w:rsidR="00C44F78" w:rsidRPr="00C44F78" w:rsidRDefault="00C44F78" w:rsidP="00C44F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C44F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W"/>
          <w14:ligatures w14:val="none"/>
        </w:rPr>
        <w:t>Expenditure item creation functionality</w:t>
      </w:r>
    </w:p>
    <w:p w14:paraId="20D8BA90" w14:textId="77777777" w:rsidR="00C44F78" w:rsidRPr="00C44F78" w:rsidRDefault="00C44F78" w:rsidP="00C44F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C44F78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pict w14:anchorId="1A8E755B">
          <v:rect id="_x0000_i1026" style="width:0;height:1.5pt" o:hralign="center" o:hrstd="t" o:hr="t" fillcolor="#a0a0a0" stroked="f"/>
        </w:pict>
      </w:r>
    </w:p>
    <w:p w14:paraId="3579F177" w14:textId="77777777" w:rsidR="00C44F78" w:rsidRPr="00C44F78" w:rsidRDefault="00C44F78" w:rsidP="00C44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W"/>
          <w14:ligatures w14:val="none"/>
        </w:rPr>
      </w:pPr>
      <w:r w:rsidRPr="00C44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W"/>
          <w14:ligatures w14:val="none"/>
        </w:rPr>
        <w:t>1. Aged Analysis</w:t>
      </w:r>
    </w:p>
    <w:p w14:paraId="22314331" w14:textId="77777777" w:rsidR="00C44F78" w:rsidRPr="00C44F78" w:rsidRDefault="00C44F78" w:rsidP="00C44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C44F78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The aged analysis should be in 30-day increments: (0–30), (31–60), (61–90), (91–120), and 120+ days.</w:t>
      </w:r>
    </w:p>
    <w:p w14:paraId="56EB63ED" w14:textId="77777777" w:rsidR="00C44F78" w:rsidRPr="00C44F78" w:rsidRDefault="00C44F78" w:rsidP="00C44F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C44F78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pict w14:anchorId="6638EB2A">
          <v:rect id="_x0000_i1027" style="width:0;height:1.5pt" o:hralign="center" o:hrstd="t" o:hr="t" fillcolor="#a0a0a0" stroked="f"/>
        </w:pict>
      </w:r>
    </w:p>
    <w:p w14:paraId="1F654C9F" w14:textId="77777777" w:rsidR="00C44F78" w:rsidRPr="00C44F78" w:rsidRDefault="00C44F78" w:rsidP="00C44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W"/>
          <w14:ligatures w14:val="none"/>
        </w:rPr>
      </w:pPr>
      <w:r w:rsidRPr="00C44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W"/>
          <w14:ligatures w14:val="none"/>
        </w:rPr>
        <w:t>2. Bank Accounts</w:t>
      </w:r>
    </w:p>
    <w:p w14:paraId="0C393B38" w14:textId="77777777" w:rsidR="00C44F78" w:rsidRPr="00C44F78" w:rsidRDefault="00C44F78" w:rsidP="00C44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C44F78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A set of bank accounts makes it possible for us to issue a receipt to a client showing the correct bank account into which the payment was transferred.</w:t>
      </w:r>
    </w:p>
    <w:p w14:paraId="0AA18374" w14:textId="77777777" w:rsidR="00C44F78" w:rsidRPr="00C44F78" w:rsidRDefault="00C44F78" w:rsidP="00C44F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C44F78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pict w14:anchorId="30A2928F">
          <v:rect id="_x0000_i1028" style="width:0;height:1.5pt" o:hralign="center" o:hrstd="t" o:hr="t" fillcolor="#a0a0a0" stroked="f"/>
        </w:pict>
      </w:r>
    </w:p>
    <w:p w14:paraId="713C9DC7" w14:textId="77777777" w:rsidR="00C44F78" w:rsidRPr="00C44F78" w:rsidRDefault="00C44F78" w:rsidP="00C44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W"/>
          <w14:ligatures w14:val="none"/>
        </w:rPr>
      </w:pPr>
      <w:r w:rsidRPr="00C44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W"/>
          <w14:ligatures w14:val="none"/>
        </w:rPr>
        <w:t>3. Income Accounts</w:t>
      </w:r>
    </w:p>
    <w:p w14:paraId="3D7DD4AD" w14:textId="77777777" w:rsidR="00C44F78" w:rsidRPr="00C44F78" w:rsidRDefault="00C44F78" w:rsidP="00C44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C44F78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Different income accounts help us record different income items separately and should include the following:</w:t>
      </w:r>
    </w:p>
    <w:p w14:paraId="1F54D494" w14:textId="77777777" w:rsidR="00C44F78" w:rsidRPr="00C44F78" w:rsidRDefault="00C44F78" w:rsidP="00C44F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C44F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W"/>
          <w14:ligatures w14:val="none"/>
        </w:rPr>
        <w:t>Rent Income</w:t>
      </w:r>
      <w:r w:rsidRPr="00C44F78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 xml:space="preserve"> – For recording rental payments from tenants on behalf of landlords whose properties we manage.</w:t>
      </w:r>
    </w:p>
    <w:p w14:paraId="146C028B" w14:textId="77777777" w:rsidR="00C44F78" w:rsidRPr="00C44F78" w:rsidRDefault="00C44F78" w:rsidP="00C44F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C44F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W"/>
          <w14:ligatures w14:val="none"/>
        </w:rPr>
        <w:t>Levy Income</w:t>
      </w:r>
      <w:r w:rsidRPr="00C44F78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 xml:space="preserve"> – For recording levy payments from tenants/landlords on behalf of residential associations for flats or cluster houses we manage.</w:t>
      </w:r>
    </w:p>
    <w:p w14:paraId="0EAA3AA2" w14:textId="77777777" w:rsidR="00C44F78" w:rsidRPr="00C44F78" w:rsidRDefault="00C44F78" w:rsidP="00C44F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W"/>
          <w14:ligatures w14:val="none"/>
        </w:rPr>
      </w:pPr>
      <w:r w:rsidRPr="00C44F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W"/>
          <w14:ligatures w14:val="none"/>
        </w:rPr>
        <w:t>Special Levy Income</w:t>
      </w:r>
      <w:r w:rsidRPr="00C44F78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 xml:space="preserve"> – For recording special levy payments from tenants/landlords on behalf of residential associations for flats or cluster houses we manage.</w:t>
      </w:r>
      <w:r w:rsidRPr="00C44F78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br/>
        <w:t xml:space="preserve">Special levies are usually once-off payments for projects such as </w:t>
      </w:r>
      <w:r w:rsidRPr="00C44F7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W"/>
          <w14:ligatures w14:val="none"/>
        </w:rPr>
        <w:t>boundary wall construction, flat painting, borehole drilling, etc.</w:t>
      </w:r>
    </w:p>
    <w:p w14:paraId="33980BCE" w14:textId="77777777" w:rsidR="00C44F78" w:rsidRPr="00C44F78" w:rsidRDefault="00C44F78" w:rsidP="00C44F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C44F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W"/>
          <w14:ligatures w14:val="none"/>
        </w:rPr>
        <w:lastRenderedPageBreak/>
        <w:t>Rates Income</w:t>
      </w:r>
      <w:r w:rsidRPr="00C44F78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 xml:space="preserve"> – For recording rates payments from tenants/landlords on behalf of landlords or residential associations whose flats or cluster houses we manage.</w:t>
      </w:r>
    </w:p>
    <w:p w14:paraId="6B09A517" w14:textId="77777777" w:rsidR="00C44F78" w:rsidRPr="00C44F78" w:rsidRDefault="00C44F78" w:rsidP="00C44F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C44F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W"/>
          <w14:ligatures w14:val="none"/>
        </w:rPr>
        <w:t>Parking Income</w:t>
      </w:r>
      <w:r w:rsidRPr="00C44F78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 xml:space="preserve"> – For recording parking payments from tenants/landlords on behalf of residential associations whose flats or cluster houses we manage.</w:t>
      </w:r>
    </w:p>
    <w:p w14:paraId="6C0F5997" w14:textId="77777777" w:rsidR="00C44F78" w:rsidRPr="00C44F78" w:rsidRDefault="00C44F78" w:rsidP="00C44F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C44F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W"/>
          <w14:ligatures w14:val="none"/>
        </w:rPr>
        <w:t>VAT Income</w:t>
      </w:r>
      <w:r w:rsidRPr="00C44F78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 xml:space="preserve"> – For recording VAT payments from tenants on behalf of landlords whose properties we manage.</w:t>
      </w:r>
    </w:p>
    <w:p w14:paraId="23ECE7F9" w14:textId="77777777" w:rsidR="00C44F78" w:rsidRPr="00C44F78" w:rsidRDefault="00C44F78" w:rsidP="00C44F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C44F78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pict w14:anchorId="67DD4BCB">
          <v:rect id="_x0000_i1029" style="width:0;height:1.5pt" o:hralign="center" o:hrstd="t" o:hr="t" fillcolor="#a0a0a0" stroked="f"/>
        </w:pict>
      </w:r>
    </w:p>
    <w:p w14:paraId="528C0782" w14:textId="77777777" w:rsidR="00C44F78" w:rsidRPr="00C44F78" w:rsidRDefault="00C44F78" w:rsidP="00C44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W"/>
          <w14:ligatures w14:val="none"/>
        </w:rPr>
      </w:pPr>
      <w:r w:rsidRPr="00C44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W"/>
          <w14:ligatures w14:val="none"/>
        </w:rPr>
        <w:t>4. Reports</w:t>
      </w:r>
    </w:p>
    <w:p w14:paraId="6108EE13" w14:textId="77777777" w:rsidR="00C44F78" w:rsidRPr="00C44F78" w:rsidRDefault="00C44F78" w:rsidP="00C44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C44F78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 xml:space="preserve">Our current system generates the following reports, except </w:t>
      </w:r>
      <w:r w:rsidRPr="00C44F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W"/>
          <w14:ligatures w14:val="none"/>
        </w:rPr>
        <w:t>Receipt Listing</w:t>
      </w:r>
      <w:r w:rsidRPr="00C44F78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 xml:space="preserve">, </w:t>
      </w:r>
      <w:r w:rsidRPr="00C44F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W"/>
          <w14:ligatures w14:val="none"/>
        </w:rPr>
        <w:t>Commission Analysis</w:t>
      </w:r>
      <w:r w:rsidRPr="00C44F78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 xml:space="preserve">, and </w:t>
      </w:r>
      <w:r w:rsidRPr="00C44F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W"/>
          <w14:ligatures w14:val="none"/>
        </w:rPr>
        <w:t>Income Item Analysis</w:t>
      </w:r>
      <w:r w:rsidRPr="00C44F78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:</w:t>
      </w:r>
    </w:p>
    <w:p w14:paraId="2EA245AA" w14:textId="77777777" w:rsidR="00C44F78" w:rsidRPr="00C44F78" w:rsidRDefault="00C44F78" w:rsidP="00C44F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C44F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W"/>
          <w14:ligatures w14:val="none"/>
        </w:rPr>
        <w:t>Income &amp; Expenditure Report</w:t>
      </w:r>
      <w:r w:rsidRPr="00C44F78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 xml:space="preserve"> – A general report showing all income and expenditure items for landlords and residential associations.</w:t>
      </w:r>
      <w:r w:rsidRPr="00C44F78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br/>
        <w:t xml:space="preserve">The final balance reflects </w:t>
      </w:r>
      <w:r w:rsidRPr="00C44F7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W"/>
          <w14:ligatures w14:val="none"/>
        </w:rPr>
        <w:t>SURPLUS</w:t>
      </w:r>
      <w:r w:rsidRPr="00C44F78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 xml:space="preserve"> or </w:t>
      </w:r>
      <w:r w:rsidRPr="00C44F7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W"/>
          <w14:ligatures w14:val="none"/>
        </w:rPr>
        <w:t>EXCESS OF EXPENDITURE OVER INCOME</w:t>
      </w:r>
      <w:r w:rsidRPr="00C44F78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 xml:space="preserve"> instead of </w:t>
      </w:r>
      <w:r w:rsidRPr="00C44F7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W"/>
          <w14:ligatures w14:val="none"/>
        </w:rPr>
        <w:t>PROFIT/LOSS</w:t>
      </w:r>
      <w:r w:rsidRPr="00C44F78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 xml:space="preserve"> as used in income statements.</w:t>
      </w:r>
    </w:p>
    <w:p w14:paraId="225760C7" w14:textId="77777777" w:rsidR="00C44F78" w:rsidRPr="00C44F78" w:rsidRDefault="00C44F78" w:rsidP="00C44F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C44F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W"/>
          <w14:ligatures w14:val="none"/>
        </w:rPr>
        <w:t>Landlord Account Summary</w:t>
      </w:r>
      <w:r w:rsidRPr="00C44F78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 xml:space="preserve"> – Video explanation</w:t>
      </w:r>
    </w:p>
    <w:p w14:paraId="0D2879DA" w14:textId="77777777" w:rsidR="00C44F78" w:rsidRPr="00C44F78" w:rsidRDefault="00C44F78" w:rsidP="00C44F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C44F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W"/>
          <w14:ligatures w14:val="none"/>
        </w:rPr>
        <w:t>Deposit Account Summary</w:t>
      </w:r>
      <w:r w:rsidRPr="00C44F78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 xml:space="preserve"> – Video explanation</w:t>
      </w:r>
    </w:p>
    <w:p w14:paraId="64D76594" w14:textId="77777777" w:rsidR="00C44F78" w:rsidRPr="00C44F78" w:rsidRDefault="00C44F78" w:rsidP="00C44F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C44F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W"/>
          <w14:ligatures w14:val="none"/>
        </w:rPr>
        <w:t>Tenant Account Summary</w:t>
      </w:r>
      <w:r w:rsidRPr="00C44F78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 xml:space="preserve"> – Video explanation</w:t>
      </w:r>
    </w:p>
    <w:p w14:paraId="3660C040" w14:textId="77777777" w:rsidR="00C44F78" w:rsidRPr="00C44F78" w:rsidRDefault="00C44F78" w:rsidP="00C44F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C44F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W"/>
          <w14:ligatures w14:val="none"/>
        </w:rPr>
        <w:t>Rent Rollover Report</w:t>
      </w:r>
      <w:r w:rsidRPr="00C44F78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 xml:space="preserve"> – Video explanation</w:t>
      </w:r>
    </w:p>
    <w:p w14:paraId="38BC16CA" w14:textId="77777777" w:rsidR="00C44F78" w:rsidRPr="00C44F78" w:rsidRDefault="00C44F78" w:rsidP="00C44F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C44F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W"/>
          <w14:ligatures w14:val="none"/>
        </w:rPr>
        <w:t>Commission Report</w:t>
      </w:r>
      <w:r w:rsidRPr="00C44F78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 xml:space="preserve"> – Video explanation</w:t>
      </w:r>
    </w:p>
    <w:p w14:paraId="22C31E6C" w14:textId="77777777" w:rsidR="00C44F78" w:rsidRPr="00C44F78" w:rsidRDefault="00C44F78" w:rsidP="00C44F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C44F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W"/>
          <w14:ligatures w14:val="none"/>
        </w:rPr>
        <w:t>Lease Charge Summary</w:t>
      </w:r>
      <w:r w:rsidRPr="00C44F78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 xml:space="preserve"> – Video explanation</w:t>
      </w:r>
    </w:p>
    <w:p w14:paraId="3272E350" w14:textId="77777777" w:rsidR="00C44F78" w:rsidRPr="00C44F78" w:rsidRDefault="00C44F78" w:rsidP="00C44F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W"/>
          <w14:ligatures w14:val="none"/>
        </w:rPr>
      </w:pPr>
      <w:r w:rsidRPr="00C44F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W"/>
          <w14:ligatures w14:val="none"/>
        </w:rPr>
        <w:t>Receipt Listing</w:t>
      </w:r>
      <w:r w:rsidRPr="00C44F78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 xml:space="preserve"> – Shows all receipts from all bank accounts and all income sources/items highlighted in point 3 above.</w:t>
      </w:r>
      <w:r w:rsidRPr="00C44F78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br/>
        <w:t xml:space="preserve">Components include (but are not limited to): </w:t>
      </w:r>
      <w:r w:rsidRPr="00C44F7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W"/>
          <w14:ligatures w14:val="none"/>
        </w:rPr>
        <w:t>Date, Transaction ID, Income Item/Source, Tenant ID, Landlord ID, Property ID, Bank or Journal Reference, Currency, and Amount.</w:t>
      </w:r>
    </w:p>
    <w:p w14:paraId="7C8731E0" w14:textId="77777777" w:rsidR="00C44F78" w:rsidRPr="00C44F78" w:rsidRDefault="00C44F78" w:rsidP="00C44F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C44F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W"/>
          <w14:ligatures w14:val="none"/>
        </w:rPr>
        <w:t>Commission Analysis</w:t>
      </w:r>
      <w:r w:rsidRPr="00C44F78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 xml:space="preserve"> – Shows total commissions received from individual income items, expressed as a proportion of total commissions from all income items.</w:t>
      </w:r>
      <w:r w:rsidRPr="00C44F78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br/>
        <w:t>This analysis can also be done by property to show the contribution of each property to total commissions for a given period.</w:t>
      </w:r>
      <w:r w:rsidRPr="00C44F78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br/>
        <w:t>Pie charts and bar charts would be useful for presenting this data.</w:t>
      </w:r>
    </w:p>
    <w:p w14:paraId="699158F5" w14:textId="77777777" w:rsidR="00C44F78" w:rsidRPr="00C44F78" w:rsidRDefault="00C44F78" w:rsidP="00C44F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C44F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W"/>
          <w14:ligatures w14:val="none"/>
        </w:rPr>
        <w:t>Income Item Analysis</w:t>
      </w:r>
      <w:r w:rsidRPr="00C44F78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 xml:space="preserve"> – Similar to Commission Analysis, but it considers total income amounts before the managing agent’s commission and includes all income items, even those not subject to commission.</w:t>
      </w:r>
      <w:r w:rsidRPr="00C44F78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br/>
        <w:t>In Commission Analysis, income items with null commission values are excluded by default.</w:t>
      </w:r>
      <w:r w:rsidRPr="00C44F78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br/>
        <w:t>Income Item Analysis should also allow users to extract data showing which bank accounts hold transactions for a specific income item over a specified period (e.g., total rentals paid via the FBC Nostro account in December 2025 or between 20 December 2025 and 8 January 2026).</w:t>
      </w:r>
    </w:p>
    <w:p w14:paraId="080E8F24" w14:textId="77777777" w:rsidR="00C44F78" w:rsidRPr="00C44F78" w:rsidRDefault="00C44F78" w:rsidP="00C44F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C44F78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pict w14:anchorId="2FB18E67">
          <v:rect id="_x0000_i1030" style="width:0;height:1.5pt" o:hralign="center" o:hrstd="t" o:hr="t" fillcolor="#a0a0a0" stroked="f"/>
        </w:pict>
      </w:r>
    </w:p>
    <w:p w14:paraId="53914B58" w14:textId="77777777" w:rsidR="00C44F78" w:rsidRDefault="00C44F78" w:rsidP="00C44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W"/>
          <w14:ligatures w14:val="none"/>
        </w:rPr>
      </w:pPr>
    </w:p>
    <w:p w14:paraId="29D12332" w14:textId="77777777" w:rsidR="00C44F78" w:rsidRDefault="00C44F78" w:rsidP="00C44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W"/>
          <w14:ligatures w14:val="none"/>
        </w:rPr>
      </w:pPr>
    </w:p>
    <w:p w14:paraId="357B8E25" w14:textId="080458D9" w:rsidR="00C44F78" w:rsidRDefault="00C44F78" w:rsidP="00C44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W"/>
          <w14:ligatures w14:val="none"/>
        </w:rPr>
      </w:pPr>
      <w:r w:rsidRPr="00C44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W"/>
          <w14:ligatures w14:val="none"/>
        </w:rPr>
        <w:lastRenderedPageBreak/>
        <w:t>5. Reallocation Functionality</w:t>
      </w:r>
    </w:p>
    <w:p w14:paraId="64883548" w14:textId="225C9502" w:rsidR="00C44F78" w:rsidRPr="00C44F78" w:rsidRDefault="00C44F78" w:rsidP="00C44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W"/>
          <w14:ligatures w14:val="none"/>
        </w:rPr>
      </w:pPr>
      <w:r w:rsidRPr="00C44F78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This functionality allows preparers of landlords’ and residential associations’ statements to reallocate expenses to more appropriate expense accounts after initial allocation by a cashier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 xml:space="preserve"> </w:t>
      </w:r>
      <w:r w:rsidRPr="00C44F78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 xml:space="preserve">or data capture </w:t>
      </w:r>
      <w:r w:rsidRPr="00C44F78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clerk. This</w:t>
      </w:r>
      <w:r w:rsidRPr="00C44F78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 xml:space="preserve"> ensures higher-quality reports for our clients.</w:t>
      </w:r>
    </w:p>
    <w:p w14:paraId="5870F8DA" w14:textId="77777777" w:rsidR="00C44F78" w:rsidRPr="00C44F78" w:rsidRDefault="00C44F78" w:rsidP="00C44F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C44F78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pict w14:anchorId="49B0CF39">
          <v:rect id="_x0000_i1031" style="width:0;height:1.5pt" o:hralign="center" o:hrstd="t" o:hr="t" fillcolor="#a0a0a0" stroked="f"/>
        </w:pict>
      </w:r>
    </w:p>
    <w:p w14:paraId="01079A0B" w14:textId="77777777" w:rsidR="00C44F78" w:rsidRPr="00C44F78" w:rsidRDefault="00C44F78" w:rsidP="00C44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W"/>
          <w14:ligatures w14:val="none"/>
        </w:rPr>
      </w:pPr>
      <w:r w:rsidRPr="00C44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W"/>
          <w14:ligatures w14:val="none"/>
        </w:rPr>
        <w:t>6. Reconciliation Functionality</w:t>
      </w:r>
    </w:p>
    <w:p w14:paraId="1BAD391E" w14:textId="77777777" w:rsidR="00C44F78" w:rsidRPr="00C44F78" w:rsidRDefault="00C44F78" w:rsidP="00C44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C44F78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This functionality helps compare bank account balances with system balances.</w:t>
      </w:r>
      <w:r w:rsidRPr="00C44F78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br/>
        <w:t>Reconciliation reports must be generated within the system and exportable to Excel for further formatting.</w:t>
      </w:r>
    </w:p>
    <w:p w14:paraId="5F74F250" w14:textId="77777777" w:rsidR="00C44F78" w:rsidRPr="00C44F78" w:rsidRDefault="00C44F78" w:rsidP="00C44F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C44F78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pict w14:anchorId="1F0A9454">
          <v:rect id="_x0000_i1032" style="width:0;height:1.5pt" o:hralign="center" o:hrstd="t" o:hr="t" fillcolor="#a0a0a0" stroked="f"/>
        </w:pict>
      </w:r>
    </w:p>
    <w:p w14:paraId="2480D82B" w14:textId="77777777" w:rsidR="00C44F78" w:rsidRPr="00C44F78" w:rsidRDefault="00C44F78" w:rsidP="00C44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W"/>
          <w14:ligatures w14:val="none"/>
        </w:rPr>
      </w:pPr>
      <w:r w:rsidRPr="00C44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W"/>
          <w14:ligatures w14:val="none"/>
        </w:rPr>
        <w:t>7. Uniform Amount Charge on Master File</w:t>
      </w:r>
    </w:p>
    <w:p w14:paraId="7DF1B765" w14:textId="77777777" w:rsidR="00C44F78" w:rsidRPr="00C44F78" w:rsidRDefault="00C44F78" w:rsidP="00C44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C44F78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This functionality allows setting a uniform levy charge for all tenants/account holders within a residential association.</w:t>
      </w:r>
      <w:r w:rsidRPr="00C44F78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br/>
        <w:t>For example, if 100 leases are due for levy review, updating one field to apply the charge across all leases under a property saves time and reduces errors, especially where all units have the same levy amount.</w:t>
      </w:r>
    </w:p>
    <w:p w14:paraId="3D158C5C" w14:textId="77777777" w:rsidR="00C44F78" w:rsidRPr="00C44F78" w:rsidRDefault="00C44F78" w:rsidP="00C44F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C44F78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pict w14:anchorId="73E90D17">
          <v:rect id="_x0000_i1033" style="width:0;height:1.5pt" o:hralign="center" o:hrstd="t" o:hr="t" fillcolor="#a0a0a0" stroked="f"/>
        </w:pict>
      </w:r>
    </w:p>
    <w:p w14:paraId="7EB68A32" w14:textId="77777777" w:rsidR="00C44F78" w:rsidRPr="00C44F78" w:rsidRDefault="00C44F78" w:rsidP="00C44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W"/>
          <w14:ligatures w14:val="none"/>
        </w:rPr>
      </w:pPr>
      <w:r w:rsidRPr="00C44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W"/>
          <w14:ligatures w14:val="none"/>
        </w:rPr>
        <w:t>8. Billing Deletion Functionality</w:t>
      </w:r>
    </w:p>
    <w:p w14:paraId="3BE0AC21" w14:textId="7D1CAC43" w:rsidR="00C44F78" w:rsidRPr="00C44F78" w:rsidRDefault="00C44F78" w:rsidP="00C44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C44F78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Sometimes changes to rental or levy charges are communicated after monthly billing has already been completed.</w:t>
      </w:r>
      <w:r w:rsidRPr="00C44F78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br/>
        <w:t>This functionality allows billing to be reset to null for a specific month, keeping accounts clean.</w:t>
      </w:r>
      <w:r w:rsidRPr="00C44F78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br/>
        <w:t xml:space="preserve">Billing deletion can be done by property (for residential associations) or by lease ID (for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 xml:space="preserve">both </w:t>
      </w:r>
      <w:r w:rsidRPr="00C44F78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rental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 xml:space="preserve"> and residential association</w:t>
      </w:r>
      <w:r w:rsidRPr="00C44F78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 xml:space="preserve"> leases).</w:t>
      </w:r>
    </w:p>
    <w:p w14:paraId="35385384" w14:textId="77777777" w:rsidR="00C44F78" w:rsidRPr="00C44F78" w:rsidRDefault="00C44F78" w:rsidP="00C44F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C44F78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pict w14:anchorId="4EA81C7F">
          <v:rect id="_x0000_i1034" style="width:0;height:1.5pt" o:hralign="center" o:hrstd="t" o:hr="t" fillcolor="#a0a0a0" stroked="f"/>
        </w:pict>
      </w:r>
    </w:p>
    <w:p w14:paraId="4CE8CD83" w14:textId="77777777" w:rsidR="00C44F78" w:rsidRPr="00C44F78" w:rsidRDefault="00C44F78" w:rsidP="00C44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W"/>
          <w14:ligatures w14:val="none"/>
        </w:rPr>
      </w:pPr>
      <w:r w:rsidRPr="00C44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W"/>
          <w14:ligatures w14:val="none"/>
        </w:rPr>
        <w:t>9. Mailing Functionality</w:t>
      </w:r>
    </w:p>
    <w:p w14:paraId="1A20FD46" w14:textId="77777777" w:rsidR="00C44F78" w:rsidRPr="00C44F78" w:rsidRDefault="00C44F78" w:rsidP="00C44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C44F78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This allows sending emails to all tenants with a single click.</w:t>
      </w:r>
      <w:r w:rsidRPr="00C44F78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br/>
        <w:t>There should also be an option to select specific properties or tenants instead of targeting everyone.</w:t>
      </w:r>
    </w:p>
    <w:p w14:paraId="7EA1225E" w14:textId="77777777" w:rsidR="00C44F78" w:rsidRPr="00C44F78" w:rsidRDefault="00C44F78" w:rsidP="00C44F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C44F78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pict w14:anchorId="225A18C4">
          <v:rect id="_x0000_i1035" style="width:0;height:1.5pt" o:hralign="center" o:hrstd="t" o:hr="t" fillcolor="#a0a0a0" stroked="f"/>
        </w:pict>
      </w:r>
    </w:p>
    <w:p w14:paraId="06B07C58" w14:textId="77777777" w:rsidR="00C44F78" w:rsidRPr="00C44F78" w:rsidRDefault="00C44F78" w:rsidP="00C44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W"/>
          <w14:ligatures w14:val="none"/>
        </w:rPr>
      </w:pPr>
      <w:r w:rsidRPr="00C44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W"/>
          <w14:ligatures w14:val="none"/>
        </w:rPr>
        <w:t>10. Expenditure Item Creation Functionality</w:t>
      </w:r>
    </w:p>
    <w:p w14:paraId="3B9EE9C0" w14:textId="77777777" w:rsidR="00C44F78" w:rsidRPr="00C44F78" w:rsidRDefault="00C44F78" w:rsidP="00C44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C44F78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The software must allow for the creation of new expenditure items.</w:t>
      </w:r>
    </w:p>
    <w:p w14:paraId="5A7A43EA" w14:textId="77777777" w:rsidR="00C44F78" w:rsidRPr="00C44F78" w:rsidRDefault="00C44F78" w:rsidP="00C44F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C44F78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lastRenderedPageBreak/>
        <w:pict w14:anchorId="7574EEDE">
          <v:rect id="_x0000_i1036" style="width:0;height:1.5pt" o:hralign="center" o:hrstd="t" o:hr="t" fillcolor="#a0a0a0" stroked="f"/>
        </w:pict>
      </w:r>
    </w:p>
    <w:p w14:paraId="1F8C47B2" w14:textId="77777777" w:rsidR="00C44F78" w:rsidRPr="00C44F78" w:rsidRDefault="00C44F78" w:rsidP="00C44F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W"/>
          <w14:ligatures w14:val="none"/>
        </w:rPr>
      </w:pPr>
      <w:r w:rsidRPr="00C44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W"/>
          <w14:ligatures w14:val="none"/>
        </w:rPr>
        <w:t>Other Considerations</w:t>
      </w:r>
    </w:p>
    <w:p w14:paraId="63A7296A" w14:textId="77777777" w:rsidR="00C44F78" w:rsidRPr="00C44F78" w:rsidRDefault="00C44F78" w:rsidP="00C44F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C44F78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Tenants for rentals should be differentiated from tenants for levies in naming conventions; however, they should share all other attributes and originate from the same module.</w:t>
      </w:r>
    </w:p>
    <w:p w14:paraId="1EECB8BA" w14:textId="77777777" w:rsidR="00C44F78" w:rsidRPr="00C44F78" w:rsidRDefault="00C44F78" w:rsidP="00C44F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C44F78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Lease and property pairing should be created as a single item at the same time.</w:t>
      </w:r>
    </w:p>
    <w:p w14:paraId="7A777CA7" w14:textId="77777777" w:rsidR="00C44F78" w:rsidRPr="00C44F78" w:rsidRDefault="00C44F78" w:rsidP="00C44F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C44F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W"/>
          <w14:ligatures w14:val="none"/>
        </w:rPr>
        <w:t>One lease per tenant/account holder</w:t>
      </w:r>
      <w:r w:rsidRPr="00C44F78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 xml:space="preserve"> – A lease must not be linked to more than one tenant, and a tenant must not be linked to more than one lease.</w:t>
      </w:r>
    </w:p>
    <w:p w14:paraId="54F5FEA4" w14:textId="77777777" w:rsidR="00C44F78" w:rsidRPr="00C44F78" w:rsidRDefault="00C44F78" w:rsidP="00C44F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C44F78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Tenant portals should be available for tenants to access their accounts.</w:t>
      </w:r>
    </w:p>
    <w:p w14:paraId="7C36A9AC" w14:textId="77777777" w:rsidR="00C44F78" w:rsidRPr="00C44F78" w:rsidRDefault="00C44F78" w:rsidP="00C44F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C44F78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The system should allow different levels of access, privileges, and unique credentials for all users.</w:t>
      </w:r>
    </w:p>
    <w:p w14:paraId="5818325B" w14:textId="77777777" w:rsidR="00C44F78" w:rsidRPr="00C44F78" w:rsidRDefault="00C44F78" w:rsidP="00C44F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C44F78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pict w14:anchorId="21FCA86C">
          <v:rect id="_x0000_i1037" style="width:0;height:1.5pt" o:hralign="center" o:hrstd="t" o:hr="t" fillcolor="#a0a0a0" stroked="f"/>
        </w:pict>
      </w:r>
    </w:p>
    <w:p w14:paraId="585F7815" w14:textId="4F8C6B09" w:rsidR="00C44F78" w:rsidRPr="00C44F78" w:rsidRDefault="00C44F78" w:rsidP="00C44F7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</w:p>
    <w:p w14:paraId="1B46CA13" w14:textId="77777777" w:rsidR="007F49AA" w:rsidRDefault="007F49AA"/>
    <w:sectPr w:rsidR="007F49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5657D"/>
    <w:multiLevelType w:val="multilevel"/>
    <w:tmpl w:val="8D824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930B69"/>
    <w:multiLevelType w:val="multilevel"/>
    <w:tmpl w:val="F8124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39281E"/>
    <w:multiLevelType w:val="multilevel"/>
    <w:tmpl w:val="6100A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6D4F0C"/>
    <w:multiLevelType w:val="multilevel"/>
    <w:tmpl w:val="8BD8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287D88"/>
    <w:multiLevelType w:val="multilevel"/>
    <w:tmpl w:val="24F8B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2678088">
    <w:abstractNumId w:val="4"/>
  </w:num>
  <w:num w:numId="2" w16cid:durableId="702486594">
    <w:abstractNumId w:val="1"/>
  </w:num>
  <w:num w:numId="3" w16cid:durableId="1702126005">
    <w:abstractNumId w:val="3"/>
  </w:num>
  <w:num w:numId="4" w16cid:durableId="225839079">
    <w:abstractNumId w:val="0"/>
  </w:num>
  <w:num w:numId="5" w16cid:durableId="8055827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F78"/>
    <w:rsid w:val="000E11EF"/>
    <w:rsid w:val="003B77CD"/>
    <w:rsid w:val="007F49AA"/>
    <w:rsid w:val="0099082C"/>
    <w:rsid w:val="00C44F78"/>
    <w:rsid w:val="00E80901"/>
    <w:rsid w:val="00E9777E"/>
    <w:rsid w:val="00FD6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CA6A9"/>
  <w15:chartTrackingRefBased/>
  <w15:docId w15:val="{9A00C2F8-85E2-4D31-9941-7926FD557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F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F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F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F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F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F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F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F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F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F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F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F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F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F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F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F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F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871</Words>
  <Characters>4967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Gift Chipunza</dc:creator>
  <cp:keywords/>
  <dc:description/>
  <cp:lastModifiedBy>Gift Chipunza</cp:lastModifiedBy>
  <cp:revision>3</cp:revision>
  <dcterms:created xsi:type="dcterms:W3CDTF">2026-01-23T10:41:00Z</dcterms:created>
  <dcterms:modified xsi:type="dcterms:W3CDTF">2026-01-23T11:07:00Z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5776a681-7da2-4c1c-87ec-22ff3a04491f</vt:lpwstr>
  </property>
</Properties>
</file>