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F7A3C" w14:textId="77777777" w:rsidR="000F3A25" w:rsidRDefault="000F3A25" w:rsidP="00D537DE">
      <w:pPr>
        <w:spacing w:line="360" w:lineRule="auto"/>
        <w:rPr>
          <w:rFonts w:ascii="Arial" w:hAnsi="Arial" w:cs="Arial"/>
          <w:b/>
        </w:rPr>
      </w:pPr>
    </w:p>
    <w:p w14:paraId="21315805" w14:textId="77777777" w:rsidR="000F3A25" w:rsidRDefault="000F3A25" w:rsidP="00D537DE">
      <w:pPr>
        <w:spacing w:line="360" w:lineRule="auto"/>
        <w:rPr>
          <w:rFonts w:ascii="Arial" w:hAnsi="Arial" w:cs="Arial"/>
        </w:rPr>
      </w:pPr>
    </w:p>
    <w:tbl>
      <w:tblPr>
        <w:tblStyle w:val="TableGrid"/>
        <w:tblW w:w="8408" w:type="dxa"/>
        <w:tblInd w:w="108" w:type="dxa"/>
        <w:tblLayout w:type="fixed"/>
        <w:tblLook w:val="04A0" w:firstRow="1" w:lastRow="0" w:firstColumn="1" w:lastColumn="0" w:noHBand="0" w:noVBand="1"/>
      </w:tblPr>
      <w:tblGrid>
        <w:gridCol w:w="2127"/>
        <w:gridCol w:w="6281"/>
      </w:tblGrid>
      <w:tr w:rsidR="000F3A25" w14:paraId="3016253B" w14:textId="77777777">
        <w:trPr>
          <w:trHeight w:val="475"/>
        </w:trPr>
        <w:tc>
          <w:tcPr>
            <w:tcW w:w="2127" w:type="dxa"/>
          </w:tcPr>
          <w:p w14:paraId="7D0A73FB" w14:textId="77777777" w:rsidR="000F3A25" w:rsidRDefault="007A6B86" w:rsidP="00D537DE">
            <w:pPr>
              <w:spacing w:line="360" w:lineRule="auto"/>
              <w:rPr>
                <w:rFonts w:ascii="Arial" w:hAnsi="Arial" w:cs="Arial"/>
                <w:b/>
              </w:rPr>
            </w:pPr>
            <w:r>
              <w:rPr>
                <w:rFonts w:ascii="Arial" w:hAnsi="Arial" w:cs="Arial"/>
                <w:b/>
              </w:rPr>
              <w:t>Module Code:</w:t>
            </w:r>
          </w:p>
        </w:tc>
        <w:tc>
          <w:tcPr>
            <w:tcW w:w="6281" w:type="dxa"/>
          </w:tcPr>
          <w:p w14:paraId="15105EEB" w14:textId="77777777" w:rsidR="000F3A25" w:rsidRDefault="007A6B86" w:rsidP="00D537DE">
            <w:pPr>
              <w:spacing w:line="360" w:lineRule="auto"/>
              <w:rPr>
                <w:rFonts w:ascii="Arial" w:eastAsia="SimSun" w:hAnsi="Arial" w:cs="Arial"/>
                <w:lang w:eastAsia="zh-CN"/>
              </w:rPr>
            </w:pPr>
            <w:r>
              <w:rPr>
                <w:rFonts w:ascii="Arial" w:eastAsia="SimSun" w:hAnsi="Arial" w:cs="Arial" w:hint="eastAsia"/>
                <w:lang w:eastAsia="zh-CN"/>
              </w:rPr>
              <w:t>6154</w:t>
            </w:r>
          </w:p>
        </w:tc>
      </w:tr>
    </w:tbl>
    <w:p w14:paraId="5C9F0353" w14:textId="77777777" w:rsidR="000F3A25" w:rsidRDefault="000F3A25" w:rsidP="00D537DE">
      <w:pPr>
        <w:spacing w:line="360" w:lineRule="auto"/>
        <w:rPr>
          <w:rFonts w:ascii="Arial" w:hAnsi="Arial" w:cs="Arial"/>
        </w:rPr>
      </w:pPr>
    </w:p>
    <w:tbl>
      <w:tblPr>
        <w:tblStyle w:val="TableGrid"/>
        <w:tblW w:w="8408" w:type="dxa"/>
        <w:tblInd w:w="108" w:type="dxa"/>
        <w:tblLayout w:type="fixed"/>
        <w:tblLook w:val="04A0" w:firstRow="1" w:lastRow="0" w:firstColumn="1" w:lastColumn="0" w:noHBand="0" w:noVBand="1"/>
      </w:tblPr>
      <w:tblGrid>
        <w:gridCol w:w="2127"/>
        <w:gridCol w:w="6281"/>
      </w:tblGrid>
      <w:tr w:rsidR="000F3A25" w14:paraId="2DA4333A" w14:textId="77777777">
        <w:trPr>
          <w:trHeight w:val="414"/>
        </w:trPr>
        <w:tc>
          <w:tcPr>
            <w:tcW w:w="2127" w:type="dxa"/>
            <w:vMerge w:val="restart"/>
          </w:tcPr>
          <w:p w14:paraId="5B4F7E83" w14:textId="77777777" w:rsidR="000F3A25" w:rsidRDefault="007A6B86" w:rsidP="00D537DE">
            <w:pPr>
              <w:spacing w:line="360" w:lineRule="auto"/>
              <w:rPr>
                <w:rFonts w:ascii="Arial" w:hAnsi="Arial" w:cs="Arial"/>
                <w:b/>
              </w:rPr>
            </w:pPr>
            <w:r>
              <w:rPr>
                <w:rFonts w:ascii="Arial" w:hAnsi="Arial" w:cs="Arial"/>
                <w:b/>
              </w:rPr>
              <w:t>Student Registration No:</w:t>
            </w:r>
          </w:p>
        </w:tc>
        <w:tc>
          <w:tcPr>
            <w:tcW w:w="6281" w:type="dxa"/>
          </w:tcPr>
          <w:p w14:paraId="13B54EFE" w14:textId="77777777" w:rsidR="000F3A25" w:rsidRDefault="007A6B86" w:rsidP="00D537DE">
            <w:pPr>
              <w:spacing w:line="360" w:lineRule="auto"/>
              <w:rPr>
                <w:rFonts w:ascii="Arial" w:eastAsia="SimSun" w:hAnsi="Arial" w:cs="Arial"/>
                <w:lang w:eastAsia="zh-CN"/>
              </w:rPr>
            </w:pPr>
            <w:r>
              <w:rPr>
                <w:rFonts w:ascii="Arial" w:eastAsia="SimSun" w:hAnsi="Arial" w:cs="Arial" w:hint="eastAsia"/>
                <w:lang w:eastAsia="zh-CN"/>
              </w:rPr>
              <w:t>180237704</w:t>
            </w:r>
          </w:p>
        </w:tc>
      </w:tr>
      <w:tr w:rsidR="000F3A25" w14:paraId="091A414B" w14:textId="77777777">
        <w:trPr>
          <w:trHeight w:val="205"/>
        </w:trPr>
        <w:tc>
          <w:tcPr>
            <w:tcW w:w="2127" w:type="dxa"/>
            <w:vMerge/>
          </w:tcPr>
          <w:p w14:paraId="0F4E0074" w14:textId="77777777" w:rsidR="000F3A25" w:rsidRDefault="000F3A25" w:rsidP="00D537DE">
            <w:pPr>
              <w:spacing w:line="360" w:lineRule="auto"/>
              <w:rPr>
                <w:rFonts w:ascii="Arial" w:hAnsi="Arial" w:cs="Arial"/>
              </w:rPr>
            </w:pPr>
          </w:p>
        </w:tc>
        <w:tc>
          <w:tcPr>
            <w:tcW w:w="6281" w:type="dxa"/>
          </w:tcPr>
          <w:p w14:paraId="3E742773" w14:textId="77777777" w:rsidR="000F3A25" w:rsidRDefault="007A6B86" w:rsidP="00D537DE">
            <w:pPr>
              <w:spacing w:line="360" w:lineRule="auto"/>
              <w:rPr>
                <w:rFonts w:ascii="Arial" w:hAnsi="Arial" w:cs="Arial"/>
                <w:i/>
                <w:sz w:val="20"/>
                <w:szCs w:val="20"/>
              </w:rPr>
            </w:pPr>
            <w:r>
              <w:rPr>
                <w:rFonts w:ascii="Arial" w:hAnsi="Arial" w:cs="Arial"/>
                <w:i/>
                <w:sz w:val="20"/>
                <w:szCs w:val="20"/>
              </w:rPr>
              <w:t>enter registration number found on your UCard, e.g. 160000000</w:t>
            </w:r>
          </w:p>
        </w:tc>
      </w:tr>
    </w:tbl>
    <w:p w14:paraId="4F479DE8" w14:textId="77777777" w:rsidR="000F3A25" w:rsidRDefault="000F3A25" w:rsidP="00D537DE">
      <w:pPr>
        <w:spacing w:line="360" w:lineRule="auto"/>
        <w:rPr>
          <w:rFonts w:ascii="Arial" w:hAnsi="Arial" w:cs="Arial"/>
        </w:rPr>
      </w:pPr>
    </w:p>
    <w:tbl>
      <w:tblPr>
        <w:tblStyle w:val="TableGrid"/>
        <w:tblW w:w="8408" w:type="dxa"/>
        <w:tblInd w:w="108" w:type="dxa"/>
        <w:tblLayout w:type="fixed"/>
        <w:tblLook w:val="04A0" w:firstRow="1" w:lastRow="0" w:firstColumn="1" w:lastColumn="0" w:noHBand="0" w:noVBand="1"/>
      </w:tblPr>
      <w:tblGrid>
        <w:gridCol w:w="2127"/>
        <w:gridCol w:w="6281"/>
      </w:tblGrid>
      <w:tr w:rsidR="000F3A25" w14:paraId="0D2A3404" w14:textId="77777777">
        <w:trPr>
          <w:trHeight w:val="414"/>
        </w:trPr>
        <w:tc>
          <w:tcPr>
            <w:tcW w:w="2127" w:type="dxa"/>
            <w:vMerge w:val="restart"/>
          </w:tcPr>
          <w:p w14:paraId="0981A7F3" w14:textId="77777777" w:rsidR="000F3A25" w:rsidRDefault="007A6B86" w:rsidP="00D537DE">
            <w:pPr>
              <w:spacing w:line="360" w:lineRule="auto"/>
              <w:rPr>
                <w:rFonts w:ascii="Arial" w:hAnsi="Arial" w:cs="Arial"/>
                <w:b/>
              </w:rPr>
            </w:pPr>
            <w:r>
              <w:rPr>
                <w:rFonts w:ascii="Arial" w:hAnsi="Arial" w:cs="Arial"/>
                <w:b/>
              </w:rPr>
              <w:t>Essay Question/Title:</w:t>
            </w:r>
          </w:p>
        </w:tc>
        <w:tc>
          <w:tcPr>
            <w:tcW w:w="6281" w:type="dxa"/>
          </w:tcPr>
          <w:p w14:paraId="4E14C083" w14:textId="77777777" w:rsidR="000F3A25" w:rsidRDefault="007A6B86" w:rsidP="00D537DE">
            <w:pPr>
              <w:spacing w:line="360" w:lineRule="auto"/>
              <w:rPr>
                <w:rFonts w:ascii="Arial" w:hAnsi="Arial" w:cs="Arial"/>
              </w:rPr>
            </w:pPr>
            <w:bookmarkStart w:id="0" w:name="OLE_LINK1"/>
            <w:r>
              <w:rPr>
                <w:rFonts w:ascii="Arial" w:hAnsi="Arial" w:cs="Arial" w:hint="eastAsia"/>
              </w:rPr>
              <w:t>“</w:t>
            </w:r>
            <w:r>
              <w:rPr>
                <w:rFonts w:ascii="Arial" w:hAnsi="Arial" w:cs="Arial" w:hint="eastAsia"/>
              </w:rPr>
              <w:t>We are, in my view, right to be cautious about adopting a general requirement of good faith in contracts</w:t>
            </w:r>
            <w:r>
              <w:rPr>
                <w:rFonts w:ascii="Arial" w:hAnsi="Arial" w:cs="Arial" w:hint="eastAsia"/>
              </w:rPr>
              <w:t>”</w:t>
            </w:r>
            <w:r>
              <w:rPr>
                <w:rFonts w:ascii="Arial" w:hAnsi="Arial" w:cs="Arial" w:hint="eastAsia"/>
              </w:rPr>
              <w:t xml:space="preserve"> Goode, The Shaping of Commercial Law in the Hamlyn Lectures, Commercial Law in the next Millennium [1997] p19Critically discuss the English Courts</w:t>
            </w:r>
            <w:r>
              <w:rPr>
                <w:rFonts w:ascii="Arial" w:hAnsi="Arial" w:cs="Arial" w:hint="eastAsia"/>
              </w:rPr>
              <w:t>’</w:t>
            </w:r>
            <w:r>
              <w:rPr>
                <w:rFonts w:ascii="Arial" w:hAnsi="Arial" w:cs="Arial" w:hint="eastAsia"/>
              </w:rPr>
              <w:t xml:space="preserve"> approach to good faith in the light of the above statement</w:t>
            </w:r>
            <w:bookmarkEnd w:id="0"/>
          </w:p>
        </w:tc>
      </w:tr>
      <w:tr w:rsidR="000F3A25" w14:paraId="739550AC" w14:textId="77777777">
        <w:trPr>
          <w:trHeight w:val="205"/>
        </w:trPr>
        <w:tc>
          <w:tcPr>
            <w:tcW w:w="2127" w:type="dxa"/>
            <w:vMerge/>
          </w:tcPr>
          <w:p w14:paraId="271A2970" w14:textId="77777777" w:rsidR="000F3A25" w:rsidRDefault="000F3A25" w:rsidP="00D537DE">
            <w:pPr>
              <w:spacing w:line="360" w:lineRule="auto"/>
              <w:rPr>
                <w:rFonts w:ascii="Arial" w:hAnsi="Arial" w:cs="Arial"/>
              </w:rPr>
            </w:pPr>
          </w:p>
        </w:tc>
        <w:tc>
          <w:tcPr>
            <w:tcW w:w="6281" w:type="dxa"/>
          </w:tcPr>
          <w:p w14:paraId="31B47911" w14:textId="77777777" w:rsidR="000F3A25" w:rsidRDefault="007A6B86" w:rsidP="00D537DE">
            <w:pPr>
              <w:spacing w:line="360" w:lineRule="auto"/>
              <w:rPr>
                <w:rFonts w:ascii="Arial" w:hAnsi="Arial" w:cs="Arial"/>
                <w:i/>
                <w:sz w:val="20"/>
                <w:szCs w:val="20"/>
              </w:rPr>
            </w:pPr>
            <w:r>
              <w:rPr>
                <w:rFonts w:ascii="Arial" w:hAnsi="Arial" w:cs="Arial"/>
                <w:i/>
                <w:sz w:val="20"/>
                <w:szCs w:val="20"/>
              </w:rPr>
              <w:t>Enter essay question number and question title</w:t>
            </w:r>
          </w:p>
        </w:tc>
      </w:tr>
    </w:tbl>
    <w:p w14:paraId="4244CBF9" w14:textId="77777777" w:rsidR="000F3A25" w:rsidRDefault="000F3A25" w:rsidP="00D537DE">
      <w:pPr>
        <w:spacing w:line="360" w:lineRule="auto"/>
        <w:rPr>
          <w:rFonts w:ascii="Arial" w:hAnsi="Arial" w:cs="Arial"/>
        </w:rPr>
      </w:pPr>
    </w:p>
    <w:tbl>
      <w:tblPr>
        <w:tblStyle w:val="TableGrid"/>
        <w:tblW w:w="8408" w:type="dxa"/>
        <w:tblInd w:w="108" w:type="dxa"/>
        <w:tblLayout w:type="fixed"/>
        <w:tblLook w:val="04A0" w:firstRow="1" w:lastRow="0" w:firstColumn="1" w:lastColumn="0" w:noHBand="0" w:noVBand="1"/>
      </w:tblPr>
      <w:tblGrid>
        <w:gridCol w:w="2127"/>
        <w:gridCol w:w="6281"/>
      </w:tblGrid>
      <w:tr w:rsidR="000F3A25" w14:paraId="44AE200B" w14:textId="77777777">
        <w:trPr>
          <w:trHeight w:val="475"/>
        </w:trPr>
        <w:tc>
          <w:tcPr>
            <w:tcW w:w="2127" w:type="dxa"/>
          </w:tcPr>
          <w:p w14:paraId="6451E21A" w14:textId="77777777" w:rsidR="000F3A25" w:rsidRDefault="007A6B86" w:rsidP="00D537DE">
            <w:pPr>
              <w:spacing w:line="360" w:lineRule="auto"/>
              <w:rPr>
                <w:rFonts w:ascii="Arial" w:hAnsi="Arial" w:cs="Arial"/>
                <w:b/>
              </w:rPr>
            </w:pPr>
            <w:r>
              <w:rPr>
                <w:rFonts w:ascii="Arial" w:hAnsi="Arial" w:cs="Arial"/>
                <w:b/>
              </w:rPr>
              <w:t>Word Count:</w:t>
            </w:r>
          </w:p>
        </w:tc>
        <w:tc>
          <w:tcPr>
            <w:tcW w:w="6281" w:type="dxa"/>
          </w:tcPr>
          <w:p w14:paraId="345BE6B3" w14:textId="77777777" w:rsidR="000F3A25" w:rsidRDefault="000F3A25" w:rsidP="00D537DE">
            <w:pPr>
              <w:spacing w:line="360" w:lineRule="auto"/>
              <w:rPr>
                <w:rFonts w:ascii="Arial" w:hAnsi="Arial" w:cs="Arial"/>
              </w:rPr>
            </w:pPr>
          </w:p>
        </w:tc>
      </w:tr>
    </w:tbl>
    <w:p w14:paraId="6710169E" w14:textId="77777777" w:rsidR="000F3A25" w:rsidRDefault="000F3A25" w:rsidP="00D537DE">
      <w:pPr>
        <w:spacing w:line="360" w:lineRule="auto"/>
        <w:rPr>
          <w:rFonts w:ascii="Arial" w:hAnsi="Arial" w:cs="Arial"/>
        </w:rPr>
        <w:sectPr w:rsidR="000F3A25">
          <w:headerReference w:type="default" r:id="rId9"/>
          <w:footerReference w:type="default" r:id="rId10"/>
          <w:headerReference w:type="first" r:id="rId11"/>
          <w:pgSz w:w="11900" w:h="16840"/>
          <w:pgMar w:top="1440" w:right="1800" w:bottom="1440" w:left="1800" w:header="708" w:footer="708" w:gutter="0"/>
          <w:cols w:space="708"/>
          <w:titlePg/>
          <w:docGrid w:linePitch="360"/>
        </w:sectPr>
      </w:pPr>
    </w:p>
    <w:p w14:paraId="6F409652" w14:textId="77777777" w:rsidR="000F3A25" w:rsidRPr="00B56864" w:rsidRDefault="007A6B86" w:rsidP="00D537DE">
      <w:pPr>
        <w:tabs>
          <w:tab w:val="center" w:pos="4213"/>
          <w:tab w:val="left" w:pos="5615"/>
        </w:tabs>
        <w:spacing w:afterLines="100" w:after="240" w:line="360" w:lineRule="auto"/>
        <w:jc w:val="both"/>
        <w:rPr>
          <w:rFonts w:ascii="Arial" w:eastAsia="SimSun" w:hAnsi="Arial" w:cs="Arial"/>
          <w:b/>
          <w:color w:val="548DD4" w:themeColor="text2" w:themeTint="99"/>
          <w:lang w:eastAsia="zh-CN"/>
        </w:rPr>
      </w:pPr>
      <w:r w:rsidRPr="00B56864">
        <w:rPr>
          <w:rFonts w:ascii="Arial" w:eastAsia="SimSun" w:hAnsi="Arial" w:cs="Arial"/>
          <w:b/>
          <w:color w:val="548DD4" w:themeColor="text2" w:themeTint="99"/>
          <w:lang w:eastAsia="zh-CN"/>
        </w:rPr>
        <w:lastRenderedPageBreak/>
        <w:t>1. Introduction</w:t>
      </w:r>
    </w:p>
    <w:p w14:paraId="1BD3A959" w14:textId="7DEDED71" w:rsidR="00D537DE"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t xml:space="preserve">In the global legal system, British contract law has its own </w:t>
      </w:r>
      <w:r w:rsidR="00A82411">
        <w:rPr>
          <w:rFonts w:ascii="Arial" w:hAnsi="Arial" w:cs="Arial"/>
          <w:color w:val="548DD4" w:themeColor="text2" w:themeTint="99"/>
        </w:rPr>
        <w:t>unique features. For one</w:t>
      </w:r>
      <w:r w:rsidRPr="00B56864">
        <w:rPr>
          <w:rFonts w:ascii="Arial" w:hAnsi="Arial" w:cs="Arial"/>
          <w:color w:val="548DD4" w:themeColor="text2" w:themeTint="99"/>
        </w:rPr>
        <w:t xml:space="preserve"> to protect the </w:t>
      </w:r>
      <w:r w:rsidR="00A82411" w:rsidRPr="00B56864">
        <w:rPr>
          <w:rFonts w:ascii="Arial" w:hAnsi="Arial" w:cs="Arial" w:hint="default"/>
          <w:color w:val="548DD4" w:themeColor="text2" w:themeTint="99"/>
        </w:rPr>
        <w:t>sacredness</w:t>
      </w:r>
      <w:r w:rsidRPr="00B56864">
        <w:rPr>
          <w:rFonts w:ascii="Arial" w:hAnsi="Arial" w:cs="Arial"/>
          <w:color w:val="548DD4" w:themeColor="text2" w:themeTint="99"/>
        </w:rPr>
        <w:t xml:space="preserve"> of the </w:t>
      </w:r>
      <w:r w:rsidR="00A82411" w:rsidRPr="00B56864">
        <w:rPr>
          <w:rFonts w:ascii="Arial" w:hAnsi="Arial" w:cs="Arial" w:hint="default"/>
          <w:color w:val="548DD4" w:themeColor="text2" w:themeTint="99"/>
        </w:rPr>
        <w:t>agreement</w:t>
      </w:r>
      <w:r w:rsidRPr="00B56864">
        <w:rPr>
          <w:rFonts w:ascii="Arial" w:hAnsi="Arial" w:cs="Arial"/>
          <w:color w:val="548DD4" w:themeColor="text2" w:themeTint="99"/>
        </w:rPr>
        <w:t xml:space="preserve"> </w:t>
      </w:r>
      <w:r w:rsidR="00A82411" w:rsidRPr="00B56864">
        <w:rPr>
          <w:rFonts w:ascii="Arial" w:hAnsi="Arial" w:cs="Arial" w:hint="default"/>
          <w:color w:val="548DD4" w:themeColor="text2" w:themeTint="99"/>
        </w:rPr>
        <w:t xml:space="preserve">and </w:t>
      </w:r>
      <w:r w:rsidR="00A82411">
        <w:rPr>
          <w:rFonts w:ascii="Arial" w:hAnsi="Arial" w:cs="Arial" w:hint="default"/>
          <w:color w:val="548DD4" w:themeColor="text2" w:themeTint="99"/>
        </w:rPr>
        <w:t xml:space="preserve">also </w:t>
      </w:r>
      <w:r w:rsidRPr="00B56864">
        <w:rPr>
          <w:rFonts w:ascii="Arial" w:hAnsi="Arial" w:cs="Arial"/>
          <w:color w:val="548DD4" w:themeColor="text2" w:themeTint="99"/>
        </w:rPr>
        <w:t xml:space="preserve">the autonomy of the parties, the British contract law did not introduce the principle of good faith. Secondly, British law is rooted in the traditional </w:t>
      </w:r>
      <w:r w:rsidR="00A82411" w:rsidRPr="00B56864">
        <w:rPr>
          <w:rFonts w:ascii="Arial" w:hAnsi="Arial" w:cs="Arial" w:hint="default"/>
          <w:color w:val="548DD4" w:themeColor="text2" w:themeTint="99"/>
        </w:rPr>
        <w:t>belief</w:t>
      </w:r>
      <w:r w:rsidRPr="00B56864">
        <w:rPr>
          <w:rFonts w:ascii="Arial" w:hAnsi="Arial" w:cs="Arial"/>
          <w:color w:val="548DD4" w:themeColor="text2" w:themeTint="99"/>
        </w:rPr>
        <w:t xml:space="preserve"> of </w:t>
      </w:r>
      <w:r w:rsidR="00A82411" w:rsidRPr="00B56864">
        <w:rPr>
          <w:rFonts w:ascii="Arial" w:hAnsi="Arial" w:cs="Arial" w:hint="default"/>
          <w:color w:val="548DD4" w:themeColor="text2" w:themeTint="99"/>
        </w:rPr>
        <w:t>self-determination</w:t>
      </w:r>
      <w:r w:rsidRPr="00B56864">
        <w:rPr>
          <w:rFonts w:ascii="Arial" w:hAnsi="Arial" w:cs="Arial"/>
          <w:color w:val="548DD4" w:themeColor="text2" w:themeTint="99"/>
        </w:rPr>
        <w:t xml:space="preserve"> of contract and is unwilling </w:t>
      </w:r>
      <w:r w:rsidR="00A82411" w:rsidRPr="00B56864">
        <w:rPr>
          <w:rFonts w:ascii="Arial" w:hAnsi="Arial" w:cs="Arial" w:hint="default"/>
          <w:color w:val="548DD4" w:themeColor="text2" w:themeTint="99"/>
        </w:rPr>
        <w:t>towards</w:t>
      </w:r>
      <w:r w:rsidRPr="00B56864">
        <w:rPr>
          <w:rFonts w:ascii="Arial" w:hAnsi="Arial" w:cs="Arial"/>
          <w:color w:val="548DD4" w:themeColor="text2" w:themeTint="99"/>
        </w:rPr>
        <w:t xml:space="preserve"> </w:t>
      </w:r>
      <w:r w:rsidR="00A82411" w:rsidRPr="00B56864">
        <w:rPr>
          <w:rFonts w:ascii="Arial" w:hAnsi="Arial" w:cs="Arial" w:hint="default"/>
          <w:color w:val="548DD4" w:themeColor="text2" w:themeTint="99"/>
        </w:rPr>
        <w:t>accept</w:t>
      </w:r>
      <w:r w:rsidR="00A82411">
        <w:rPr>
          <w:rFonts w:ascii="Arial" w:hAnsi="Arial" w:cs="Arial" w:hint="default"/>
          <w:color w:val="548DD4" w:themeColor="text2" w:themeTint="99"/>
        </w:rPr>
        <w:t xml:space="preserve">ing </w:t>
      </w:r>
      <w:r w:rsidR="00A82411" w:rsidRPr="00B56864">
        <w:rPr>
          <w:rFonts w:ascii="Arial" w:hAnsi="Arial" w:cs="Arial" w:hint="default"/>
          <w:color w:val="548DD4" w:themeColor="text2" w:themeTint="99"/>
        </w:rPr>
        <w:t>the</w:t>
      </w:r>
      <w:r w:rsidRPr="00B56864">
        <w:rPr>
          <w:rFonts w:ascii="Arial" w:hAnsi="Arial" w:cs="Arial"/>
          <w:color w:val="548DD4" w:themeColor="text2" w:themeTint="99"/>
        </w:rPr>
        <w:t xml:space="preserve"> alleged vagueness of the principle of good faith. Instead, they are willing to accept guidance from more specific cases. Finally, some scholars believe that the introduction of a vague and general concept of the principle of good faith will lead judges to add personal subjective feelings into judgment.</w:t>
      </w:r>
    </w:p>
    <w:p w14:paraId="221481FE" w14:textId="7ACB2AF5" w:rsidR="000F3A25"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t xml:space="preserve">This article will focus on the following aspects. What is the status of the </w:t>
      </w:r>
      <w:r w:rsidR="00A82411" w:rsidRPr="00B56864">
        <w:rPr>
          <w:rFonts w:ascii="Arial" w:hAnsi="Arial" w:cs="Arial" w:hint="default"/>
          <w:color w:val="548DD4" w:themeColor="text2" w:themeTint="99"/>
        </w:rPr>
        <w:t>code</w:t>
      </w:r>
      <w:r w:rsidRPr="00B56864">
        <w:rPr>
          <w:rFonts w:ascii="Arial" w:hAnsi="Arial" w:cs="Arial"/>
          <w:color w:val="548DD4" w:themeColor="text2" w:themeTint="99"/>
        </w:rPr>
        <w:t xml:space="preserve"> of </w:t>
      </w:r>
      <w:r w:rsidR="00A82411" w:rsidRPr="00B56864">
        <w:rPr>
          <w:rFonts w:ascii="Arial" w:hAnsi="Arial" w:cs="Arial" w:hint="default"/>
          <w:color w:val="548DD4" w:themeColor="text2" w:themeTint="99"/>
        </w:rPr>
        <w:t>upright</w:t>
      </w:r>
      <w:r w:rsidRPr="00B56864">
        <w:rPr>
          <w:rFonts w:ascii="Arial" w:hAnsi="Arial" w:cs="Arial"/>
          <w:color w:val="548DD4" w:themeColor="text2" w:themeTint="99"/>
        </w:rPr>
        <w:t xml:space="preserve"> </w:t>
      </w:r>
      <w:r w:rsidR="00A82411" w:rsidRPr="00B56864">
        <w:rPr>
          <w:rFonts w:ascii="Arial" w:hAnsi="Arial" w:cs="Arial" w:hint="default"/>
          <w:color w:val="548DD4" w:themeColor="text2" w:themeTint="99"/>
        </w:rPr>
        <w:t>belief</w:t>
      </w:r>
      <w:r w:rsidRPr="00B56864">
        <w:rPr>
          <w:rFonts w:ascii="Arial" w:hAnsi="Arial" w:cs="Arial"/>
          <w:color w:val="548DD4" w:themeColor="text2" w:themeTint="99"/>
        </w:rPr>
        <w:t xml:space="preserve"> as a legalized moral obligation in the British legal profession? What </w:t>
      </w:r>
      <w:r w:rsidRPr="00B56864">
        <w:rPr>
          <w:rFonts w:ascii="Arial" w:hAnsi="Arial" w:cs="Arial" w:hint="default"/>
          <w:color w:val="548DD4" w:themeColor="text2" w:themeTint="99"/>
        </w:rPr>
        <w:t>are</w:t>
      </w:r>
      <w:r w:rsidRPr="00B56864">
        <w:rPr>
          <w:rFonts w:ascii="Arial" w:hAnsi="Arial" w:cs="Arial"/>
          <w:color w:val="548DD4" w:themeColor="text2" w:themeTint="99"/>
        </w:rPr>
        <w:t xml:space="preserve"> the attitude of the British courts and the British legal community towards the </w:t>
      </w:r>
      <w:r w:rsidR="00A82411" w:rsidRPr="00B56864">
        <w:rPr>
          <w:rFonts w:ascii="Arial" w:hAnsi="Arial" w:cs="Arial" w:hint="default"/>
          <w:color w:val="548DD4" w:themeColor="text2" w:themeTint="99"/>
        </w:rPr>
        <w:t>code</w:t>
      </w:r>
      <w:r w:rsidRPr="00B56864">
        <w:rPr>
          <w:rFonts w:ascii="Arial" w:hAnsi="Arial" w:cs="Arial"/>
          <w:color w:val="548DD4" w:themeColor="text2" w:themeTint="99"/>
        </w:rPr>
        <w:t xml:space="preserve"> of </w:t>
      </w:r>
      <w:r w:rsidR="00A82411" w:rsidRPr="00B56864">
        <w:rPr>
          <w:rFonts w:ascii="Arial" w:hAnsi="Arial" w:cs="Arial" w:hint="default"/>
          <w:color w:val="548DD4" w:themeColor="text2" w:themeTint="99"/>
        </w:rPr>
        <w:t>upright</w:t>
      </w:r>
      <w:r w:rsidRPr="00B56864">
        <w:rPr>
          <w:rFonts w:ascii="Arial" w:hAnsi="Arial" w:cs="Arial"/>
          <w:color w:val="548DD4" w:themeColor="text2" w:themeTint="99"/>
        </w:rPr>
        <w:t xml:space="preserve"> </w:t>
      </w:r>
      <w:r w:rsidR="00A82411" w:rsidRPr="00B56864">
        <w:rPr>
          <w:rFonts w:ascii="Arial" w:hAnsi="Arial" w:cs="Arial" w:hint="default"/>
          <w:color w:val="548DD4" w:themeColor="text2" w:themeTint="99"/>
        </w:rPr>
        <w:t>belief</w:t>
      </w:r>
      <w:r w:rsidRPr="00B56864">
        <w:rPr>
          <w:rFonts w:ascii="Arial" w:hAnsi="Arial" w:cs="Arial"/>
          <w:color w:val="548DD4" w:themeColor="text2" w:themeTint="99"/>
        </w:rPr>
        <w:t>? What are the attitudes toward the principle of goo</w:t>
      </w:r>
      <w:r w:rsidR="00A82411">
        <w:rPr>
          <w:rFonts w:ascii="Arial" w:hAnsi="Arial" w:cs="Arial"/>
          <w:color w:val="548DD4" w:themeColor="text2" w:themeTint="99"/>
        </w:rPr>
        <w:t>d faith and the reasons towards this</w:t>
      </w:r>
      <w:r w:rsidRPr="00B56864">
        <w:rPr>
          <w:rFonts w:ascii="Arial" w:hAnsi="Arial" w:cs="Arial"/>
          <w:color w:val="548DD4" w:themeColor="text2" w:themeTint="99"/>
        </w:rPr>
        <w:t>? Should the principle of</w:t>
      </w:r>
      <w:r w:rsidR="00A82411">
        <w:rPr>
          <w:rFonts w:ascii="Arial" w:hAnsi="Arial" w:cs="Arial"/>
          <w:color w:val="548DD4" w:themeColor="text2" w:themeTint="99"/>
        </w:rPr>
        <w:t xml:space="preserve"> good faith be introduced to the</w:t>
      </w:r>
      <w:r w:rsidRPr="00B56864">
        <w:rPr>
          <w:rFonts w:ascii="Arial" w:hAnsi="Arial" w:cs="Arial"/>
          <w:color w:val="548DD4" w:themeColor="text2" w:themeTint="99"/>
        </w:rPr>
        <w:t xml:space="preserve"> UK contract law?</w:t>
      </w:r>
    </w:p>
    <w:p w14:paraId="07CBABC4" w14:textId="1075603D" w:rsidR="000F3A25" w:rsidRPr="00B56864" w:rsidRDefault="007A6B86" w:rsidP="00D537DE">
      <w:pPr>
        <w:pStyle w:val="HTMLPreformatted"/>
        <w:shd w:val="clear" w:color="auto" w:fill="FFFFFF"/>
        <w:spacing w:afterLines="100" w:after="240" w:line="360" w:lineRule="auto"/>
        <w:jc w:val="both"/>
        <w:rPr>
          <w:rFonts w:ascii="Arial" w:hAnsi="Arial" w:cs="Arial" w:hint="default"/>
          <w:b/>
          <w:color w:val="548DD4" w:themeColor="text2" w:themeTint="99"/>
        </w:rPr>
      </w:pPr>
      <w:r w:rsidRPr="00B56864">
        <w:rPr>
          <w:rFonts w:ascii="Arial" w:hAnsi="Arial" w:cs="Arial" w:hint="default"/>
          <w:b/>
          <w:color w:val="548DD4" w:themeColor="text2" w:themeTint="99"/>
        </w:rPr>
        <w:t>2. Basic</w:t>
      </w:r>
      <w:r w:rsidR="00A82411">
        <w:rPr>
          <w:rFonts w:ascii="Arial" w:hAnsi="Arial" w:cs="Arial"/>
          <w:b/>
          <w:color w:val="548DD4" w:themeColor="text2" w:themeTint="99"/>
        </w:rPr>
        <w:t xml:space="preserve"> introduction towards the</w:t>
      </w:r>
      <w:r w:rsidRPr="00B56864">
        <w:rPr>
          <w:rFonts w:ascii="Arial" w:hAnsi="Arial" w:cs="Arial"/>
          <w:b/>
          <w:color w:val="548DD4" w:themeColor="text2" w:themeTint="99"/>
        </w:rPr>
        <w:t xml:space="preserve"> principle of good faith in </w:t>
      </w:r>
      <w:r w:rsidRPr="00B56864">
        <w:rPr>
          <w:rFonts w:ascii="Arial" w:hAnsi="Arial" w:cs="Arial" w:hint="default"/>
          <w:b/>
          <w:color w:val="548DD4" w:themeColor="text2" w:themeTint="99"/>
        </w:rPr>
        <w:t xml:space="preserve">the </w:t>
      </w:r>
      <w:r w:rsidRPr="00B56864">
        <w:rPr>
          <w:rFonts w:ascii="Arial" w:hAnsi="Arial" w:cs="Arial"/>
          <w:b/>
          <w:color w:val="548DD4" w:themeColor="text2" w:themeTint="99"/>
        </w:rPr>
        <w:t>UK</w:t>
      </w:r>
    </w:p>
    <w:p w14:paraId="2B89446A" w14:textId="42745D2A" w:rsidR="000F3A25"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t xml:space="preserve">What is the principle of </w:t>
      </w:r>
      <w:r w:rsidR="00A82411" w:rsidRPr="00B56864">
        <w:rPr>
          <w:rFonts w:ascii="Arial" w:hAnsi="Arial" w:cs="Arial" w:hint="default"/>
          <w:color w:val="548DD4" w:themeColor="text2" w:themeTint="99"/>
        </w:rPr>
        <w:t>upright</w:t>
      </w:r>
      <w:r w:rsidRPr="00B56864">
        <w:rPr>
          <w:rFonts w:ascii="Arial" w:hAnsi="Arial" w:cs="Arial"/>
          <w:color w:val="548DD4" w:themeColor="text2" w:themeTint="99"/>
        </w:rPr>
        <w:t xml:space="preserve"> faith, it seems difficul</w:t>
      </w:r>
      <w:r w:rsidR="00B06CF3">
        <w:rPr>
          <w:rFonts w:ascii="Arial" w:hAnsi="Arial" w:cs="Arial"/>
          <w:color w:val="548DD4" w:themeColor="text2" w:themeTint="99"/>
        </w:rPr>
        <w:t xml:space="preserve">t to give a clear </w:t>
      </w:r>
      <w:r w:rsidR="007943BA">
        <w:rPr>
          <w:rFonts w:ascii="Arial" w:hAnsi="Arial" w:cs="Arial" w:hint="default"/>
          <w:color w:val="548DD4" w:themeColor="text2" w:themeTint="99"/>
        </w:rPr>
        <w:t>definition?</w:t>
      </w:r>
      <w:r w:rsidR="00B06CF3">
        <w:rPr>
          <w:rFonts w:ascii="Arial" w:hAnsi="Arial" w:cs="Arial"/>
          <w:color w:val="548DD4" w:themeColor="text2" w:themeTint="99"/>
        </w:rPr>
        <w:t xml:space="preserve"> According to</w:t>
      </w:r>
      <w:r w:rsidRPr="00B56864">
        <w:rPr>
          <w:rFonts w:ascii="Arial" w:hAnsi="Arial" w:cs="Arial"/>
          <w:color w:val="548DD4" w:themeColor="text2" w:themeTint="99"/>
        </w:rPr>
        <w:t xml:space="preserve"> Professor </w:t>
      </w:r>
      <w:r w:rsidRPr="00B06CF3">
        <w:rPr>
          <w:rFonts w:ascii="Arial" w:hAnsi="Arial" w:cs="Arial"/>
          <w:i/>
          <w:color w:val="548DD4" w:themeColor="text2" w:themeTint="99"/>
        </w:rPr>
        <w:t>Roy Goode</w:t>
      </w:r>
      <w:r w:rsidR="00B06CF3">
        <w:rPr>
          <w:rFonts w:ascii="Arial" w:hAnsi="Arial" w:cs="Arial" w:hint="default"/>
          <w:color w:val="548DD4" w:themeColor="text2" w:themeTint="99"/>
        </w:rPr>
        <w:t xml:space="preserve"> he </w:t>
      </w:r>
      <w:r w:rsidRPr="00B56864">
        <w:rPr>
          <w:rFonts w:ascii="Arial" w:hAnsi="Arial" w:cs="Arial"/>
          <w:color w:val="548DD4" w:themeColor="text2" w:themeTint="99"/>
        </w:rPr>
        <w:t xml:space="preserve"> said that </w:t>
      </w:r>
      <w:r w:rsidRPr="00B06CF3">
        <w:rPr>
          <w:rFonts w:ascii="Arial" w:hAnsi="Arial" w:cs="Arial"/>
          <w:i/>
          <w:color w:val="548DD4" w:themeColor="text2" w:themeTint="99"/>
        </w:rPr>
        <w:t>“</w:t>
      </w:r>
      <w:r w:rsidRPr="00B06CF3">
        <w:rPr>
          <w:rFonts w:ascii="Arial" w:hAnsi="Arial" w:cs="Arial" w:hint="default"/>
          <w:i/>
          <w:color w:val="548DD4" w:themeColor="text2" w:themeTint="99"/>
        </w:rPr>
        <w:t>…</w:t>
      </w:r>
      <w:r w:rsidR="00B06CF3">
        <w:rPr>
          <w:rFonts w:ascii="Arial" w:hAnsi="Arial" w:cs="Arial" w:hint="default"/>
          <w:i/>
          <w:color w:val="548DD4" w:themeColor="text2" w:themeTint="99"/>
        </w:rPr>
        <w:t>we do not know quite what [upright</w:t>
      </w:r>
      <w:r w:rsidRPr="00B06CF3">
        <w:rPr>
          <w:rFonts w:ascii="Arial" w:hAnsi="Arial" w:cs="Arial" w:hint="default"/>
          <w:i/>
          <w:color w:val="548DD4" w:themeColor="text2" w:themeTint="99"/>
        </w:rPr>
        <w:t xml:space="preserve"> faith] means”</w:t>
      </w:r>
      <w:r w:rsidRPr="00B56864">
        <w:rPr>
          <w:rFonts w:ascii="Arial" w:hAnsi="Arial" w:cs="Arial" w:hint="default"/>
          <w:color w:val="548DD4" w:themeColor="text2" w:themeTint="99"/>
        </w:rPr>
        <w:footnoteReference w:id="1"/>
      </w:r>
      <w:r w:rsidRPr="00B56864">
        <w:rPr>
          <w:rFonts w:ascii="Arial" w:hAnsi="Arial" w:cs="Arial" w:hint="default"/>
          <w:color w:val="548DD4" w:themeColor="text2" w:themeTint="99"/>
        </w:rPr>
        <w:t>.</w:t>
      </w:r>
      <w:r w:rsidRPr="00B56864">
        <w:rPr>
          <w:rFonts w:ascii="Arial" w:hAnsi="Arial" w:cs="Arial"/>
          <w:color w:val="548DD4" w:themeColor="text2" w:themeTint="99"/>
        </w:rPr>
        <w:t xml:space="preserve">In the UK legal system, there is </w:t>
      </w:r>
      <w:r w:rsidR="002E3F3F">
        <w:rPr>
          <w:rFonts w:ascii="Arial" w:hAnsi="Arial" w:cs="Arial"/>
          <w:color w:val="548DD4" w:themeColor="text2" w:themeTint="99"/>
        </w:rPr>
        <w:t>no such thing as upright faith. The principle of upright</w:t>
      </w:r>
      <w:r w:rsidRPr="00B56864">
        <w:rPr>
          <w:rFonts w:ascii="Arial" w:hAnsi="Arial" w:cs="Arial"/>
          <w:color w:val="548DD4" w:themeColor="text2" w:themeTint="99"/>
        </w:rPr>
        <w:t xml:space="preserve"> faith is reflected in some cases. While British </w:t>
      </w:r>
      <w:r w:rsidR="006365EE">
        <w:rPr>
          <w:rFonts w:ascii="Arial" w:hAnsi="Arial" w:cs="Arial" w:hint="default"/>
          <w:color w:val="548DD4" w:themeColor="text2" w:themeTint="99"/>
        </w:rPr>
        <w:t xml:space="preserve">law </w:t>
      </w:r>
      <w:r w:rsidRPr="00B56864">
        <w:rPr>
          <w:rFonts w:ascii="Arial" w:hAnsi="Arial" w:cs="Arial"/>
          <w:color w:val="548DD4" w:themeColor="text2" w:themeTint="99"/>
        </w:rPr>
        <w:t xml:space="preserve">courts have always been </w:t>
      </w:r>
      <w:r w:rsidR="006365EE" w:rsidRPr="00B56864">
        <w:rPr>
          <w:rFonts w:ascii="Arial" w:hAnsi="Arial" w:cs="Arial" w:hint="default"/>
          <w:color w:val="548DD4" w:themeColor="text2" w:themeTint="99"/>
        </w:rPr>
        <w:t>unwilling</w:t>
      </w:r>
      <w:r w:rsidRPr="00B56864">
        <w:rPr>
          <w:rFonts w:ascii="Arial" w:hAnsi="Arial" w:cs="Arial"/>
          <w:color w:val="548DD4" w:themeColor="text2" w:themeTint="99"/>
        </w:rPr>
        <w:t xml:space="preserve"> to acknowledge the </w:t>
      </w:r>
      <w:r w:rsidR="006365EE" w:rsidRPr="00B56864">
        <w:rPr>
          <w:rFonts w:ascii="Arial" w:hAnsi="Arial" w:cs="Arial" w:hint="default"/>
          <w:color w:val="548DD4" w:themeColor="text2" w:themeTint="99"/>
        </w:rPr>
        <w:t>overall</w:t>
      </w:r>
      <w:r w:rsidRPr="00B56864">
        <w:rPr>
          <w:rFonts w:ascii="Arial" w:hAnsi="Arial" w:cs="Arial"/>
          <w:color w:val="548DD4" w:themeColor="text2" w:themeTint="99"/>
        </w:rPr>
        <w:t xml:space="preserve"> principles of good faith</w:t>
      </w:r>
      <w:r w:rsidRPr="00B56864">
        <w:rPr>
          <w:rFonts w:ascii="Arial" w:hAnsi="Arial" w:cs="Arial" w:hint="default"/>
          <w:color w:val="548DD4" w:themeColor="text2" w:themeTint="99"/>
        </w:rPr>
        <w:t>, m</w:t>
      </w:r>
      <w:r w:rsidRPr="00B56864">
        <w:rPr>
          <w:rFonts w:ascii="Arial" w:hAnsi="Arial" w:cs="Arial"/>
          <w:color w:val="548DD4" w:themeColor="text2" w:themeTint="99"/>
        </w:rPr>
        <w:t xml:space="preserve">ost </w:t>
      </w:r>
      <w:r w:rsidRPr="00B56864">
        <w:rPr>
          <w:rFonts w:ascii="Arial" w:hAnsi="Arial" w:cs="Arial" w:hint="default"/>
          <w:color w:val="548DD4" w:themeColor="text2" w:themeTint="99"/>
        </w:rPr>
        <w:t>judge’s</w:t>
      </w:r>
      <w:r w:rsidRPr="00B56864">
        <w:rPr>
          <w:rFonts w:ascii="Arial" w:hAnsi="Arial" w:cs="Arial"/>
          <w:color w:val="548DD4" w:themeColor="text2" w:themeTint="99"/>
        </w:rPr>
        <w:t xml:space="preserve"> worry th</w:t>
      </w:r>
      <w:r w:rsidR="006365EE">
        <w:rPr>
          <w:rFonts w:ascii="Arial" w:hAnsi="Arial" w:cs="Arial"/>
          <w:color w:val="548DD4" w:themeColor="text2" w:themeTint="99"/>
        </w:rPr>
        <w:t xml:space="preserve">at if they recognize the overall code of </w:t>
      </w:r>
      <w:r w:rsidR="007943BA">
        <w:rPr>
          <w:rFonts w:ascii="Arial" w:hAnsi="Arial" w:cs="Arial" w:hint="default"/>
          <w:color w:val="548DD4" w:themeColor="text2" w:themeTint="99"/>
        </w:rPr>
        <w:t xml:space="preserve">upright </w:t>
      </w:r>
      <w:r w:rsidR="007943BA" w:rsidRPr="00B56864">
        <w:rPr>
          <w:rFonts w:ascii="Arial" w:hAnsi="Arial" w:cs="Arial" w:hint="default"/>
          <w:color w:val="548DD4" w:themeColor="text2" w:themeTint="99"/>
        </w:rPr>
        <w:t>faith</w:t>
      </w:r>
      <w:r w:rsidRPr="00B56864">
        <w:rPr>
          <w:rFonts w:ascii="Arial" w:hAnsi="Arial" w:cs="Arial"/>
          <w:color w:val="548DD4" w:themeColor="text2" w:themeTint="99"/>
        </w:rPr>
        <w:t xml:space="preserve">, they will </w:t>
      </w:r>
      <w:r w:rsidR="007943BA" w:rsidRPr="00B56864">
        <w:rPr>
          <w:rFonts w:ascii="Arial" w:hAnsi="Arial" w:cs="Arial" w:hint="default"/>
          <w:color w:val="548DD4" w:themeColor="text2" w:themeTint="99"/>
        </w:rPr>
        <w:t>take</w:t>
      </w:r>
      <w:r w:rsidRPr="00B56864">
        <w:rPr>
          <w:rFonts w:ascii="Arial" w:hAnsi="Arial" w:cs="Arial"/>
          <w:color w:val="548DD4" w:themeColor="text2" w:themeTint="99"/>
        </w:rPr>
        <w:t xml:space="preserve"> a huge </w:t>
      </w:r>
      <w:r w:rsidR="007943BA" w:rsidRPr="00B56864">
        <w:rPr>
          <w:rFonts w:ascii="Arial" w:hAnsi="Arial" w:cs="Arial" w:hint="default"/>
          <w:color w:val="548DD4" w:themeColor="text2" w:themeTint="99"/>
        </w:rPr>
        <w:t>influence</w:t>
      </w:r>
      <w:r w:rsidRPr="00B56864">
        <w:rPr>
          <w:rFonts w:ascii="Arial" w:hAnsi="Arial" w:cs="Arial"/>
          <w:color w:val="548DD4" w:themeColor="text2" w:themeTint="99"/>
        </w:rPr>
        <w:t xml:space="preserve"> on the principle of </w:t>
      </w:r>
      <w:r w:rsidR="007943BA" w:rsidRPr="00B56864">
        <w:rPr>
          <w:rFonts w:ascii="Arial" w:hAnsi="Arial" w:cs="Arial" w:hint="default"/>
          <w:color w:val="548DD4" w:themeColor="text2" w:themeTint="99"/>
        </w:rPr>
        <w:t>self-determination</w:t>
      </w:r>
      <w:r w:rsidRPr="00B56864">
        <w:rPr>
          <w:rFonts w:ascii="Arial" w:hAnsi="Arial" w:cs="Arial"/>
          <w:color w:val="548DD4" w:themeColor="text2" w:themeTint="99"/>
        </w:rPr>
        <w:t xml:space="preserve"> of </w:t>
      </w:r>
      <w:r w:rsidR="007943BA">
        <w:rPr>
          <w:rFonts w:ascii="Arial" w:hAnsi="Arial" w:cs="Arial" w:hint="default"/>
          <w:color w:val="548DD4" w:themeColor="text2" w:themeTint="99"/>
        </w:rPr>
        <w:t>an agreement</w:t>
      </w:r>
      <w:r w:rsidRPr="00B56864">
        <w:rPr>
          <w:rFonts w:ascii="Arial" w:hAnsi="Arial" w:cs="Arial"/>
          <w:color w:val="548DD4" w:themeColor="text2" w:themeTint="99"/>
        </w:rPr>
        <w:t xml:space="preserve"> and the certainty of the contract</w:t>
      </w:r>
      <w:r w:rsidRPr="00BD3AD1">
        <w:rPr>
          <w:rFonts w:ascii="Arial" w:hAnsi="Arial" w:cs="Arial"/>
          <w:i/>
          <w:color w:val="548DD4" w:themeColor="text2" w:themeTint="99"/>
        </w:rPr>
        <w:t xml:space="preserve">.  </w:t>
      </w:r>
      <w:r w:rsidRPr="00BD3AD1">
        <w:rPr>
          <w:rFonts w:ascii="Helvetica" w:eastAsia="Helvetica" w:hAnsi="Helvetica" w:cs="Helvetica"/>
          <w:i/>
          <w:color w:val="548DD4" w:themeColor="text2" w:themeTint="99"/>
          <w:sz w:val="14"/>
          <w:szCs w:val="14"/>
          <w:shd w:val="clear" w:color="auto" w:fill="FFFFFF"/>
        </w:rPr>
        <w:t> </w:t>
      </w:r>
      <w:r w:rsidR="00BD3AD1" w:rsidRPr="00BD3AD1">
        <w:rPr>
          <w:rFonts w:ascii="Arial" w:hAnsi="Arial" w:cs="Arial" w:hint="default"/>
          <w:i/>
          <w:color w:val="548DD4" w:themeColor="text2" w:themeTint="99"/>
        </w:rPr>
        <w:t>For instance</w:t>
      </w:r>
      <w:r w:rsidRPr="00BD3AD1">
        <w:rPr>
          <w:rFonts w:ascii="Arial" w:hAnsi="Arial" w:cs="Arial" w:hint="default"/>
          <w:i/>
          <w:color w:val="548DD4" w:themeColor="text2" w:themeTint="99"/>
        </w:rPr>
        <w:t>, in James Spencer &amp; Co Ltd v Tame Valley Padding Co Ltd, Potter LJ</w:t>
      </w:r>
      <w:r w:rsidRPr="00B56864">
        <w:rPr>
          <w:rFonts w:ascii="Arial" w:hAnsi="Arial" w:cs="Arial" w:hint="default"/>
          <w:color w:val="548DD4" w:themeColor="text2" w:themeTint="99"/>
        </w:rPr>
        <w:t xml:space="preserve"> held</w:t>
      </w:r>
      <w:r w:rsidRPr="00B56864">
        <w:rPr>
          <w:rStyle w:val="FootnoteReference"/>
          <w:rFonts w:ascii="Arial" w:hAnsi="Arial" w:cs="Arial" w:hint="default"/>
          <w:color w:val="548DD4" w:themeColor="text2" w:themeTint="99"/>
        </w:rPr>
        <w:footnoteReference w:id="2"/>
      </w:r>
      <w:r w:rsidRPr="00B56864">
        <w:rPr>
          <w:rFonts w:ascii="Arial" w:hAnsi="Arial" w:cs="Arial" w:hint="default"/>
          <w:color w:val="548DD4" w:themeColor="text2" w:themeTint="99"/>
        </w:rPr>
        <w:t xml:space="preserve">: </w:t>
      </w:r>
      <w:r w:rsidRPr="00B56864">
        <w:rPr>
          <w:rFonts w:ascii="Arial" w:hAnsi="Arial" w:cs="Arial"/>
          <w:color w:val="548DD4" w:themeColor="text2" w:themeTint="99"/>
        </w:rPr>
        <w:t xml:space="preserve">there is no </w:t>
      </w:r>
      <w:r w:rsidR="00BD3AD1" w:rsidRPr="00B56864">
        <w:rPr>
          <w:rFonts w:ascii="Arial" w:hAnsi="Arial" w:cs="Arial" w:hint="default"/>
          <w:color w:val="548DD4" w:themeColor="text2" w:themeTint="99"/>
        </w:rPr>
        <w:t>overall</w:t>
      </w:r>
      <w:r w:rsidRPr="00B56864">
        <w:rPr>
          <w:rFonts w:ascii="Arial" w:hAnsi="Arial" w:cs="Arial"/>
          <w:color w:val="548DD4" w:themeColor="text2" w:themeTint="99"/>
        </w:rPr>
        <w:t xml:space="preserve"> </w:t>
      </w:r>
      <w:r w:rsidR="00BD3AD1" w:rsidRPr="00B56864">
        <w:rPr>
          <w:rFonts w:ascii="Arial" w:hAnsi="Arial" w:cs="Arial" w:hint="default"/>
          <w:color w:val="548DD4" w:themeColor="text2" w:themeTint="99"/>
        </w:rPr>
        <w:t>principle</w:t>
      </w:r>
      <w:r w:rsidR="00BD3AD1">
        <w:rPr>
          <w:rFonts w:ascii="Arial" w:hAnsi="Arial" w:cs="Arial"/>
          <w:color w:val="548DD4" w:themeColor="text2" w:themeTint="99"/>
        </w:rPr>
        <w:t xml:space="preserve"> of upright</w:t>
      </w:r>
      <w:r w:rsidRPr="00B56864">
        <w:rPr>
          <w:rFonts w:ascii="Arial" w:hAnsi="Arial" w:cs="Arial"/>
          <w:color w:val="548DD4" w:themeColor="text2" w:themeTint="99"/>
        </w:rPr>
        <w:t xml:space="preserve"> faith in the Engli</w:t>
      </w:r>
      <w:r w:rsidR="00A64A18">
        <w:rPr>
          <w:rFonts w:ascii="Arial" w:hAnsi="Arial" w:cs="Arial"/>
          <w:color w:val="548DD4" w:themeColor="text2" w:themeTint="99"/>
        </w:rPr>
        <w:t>sh law of agreement</w:t>
      </w:r>
      <w:r w:rsidRPr="00B56864">
        <w:rPr>
          <w:rFonts w:ascii="Arial" w:hAnsi="Arial" w:cs="Arial"/>
          <w:color w:val="548DD4" w:themeColor="text2" w:themeTint="99"/>
        </w:rPr>
        <w:t>. As long as the plaintiff does not violate the terms of the contract, they can do whatever they want</w:t>
      </w:r>
    </w:p>
    <w:p w14:paraId="4C12518D" w14:textId="7E915FA5" w:rsidR="000F3A25"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lastRenderedPageBreak/>
        <w:t>Traditionally, English</w:t>
      </w:r>
      <w:r w:rsidR="00833802">
        <w:rPr>
          <w:rFonts w:ascii="Arial" w:hAnsi="Arial" w:cs="Arial" w:hint="default"/>
          <w:color w:val="548DD4" w:themeColor="text2" w:themeTint="99"/>
        </w:rPr>
        <w:t xml:space="preserve"> law </w:t>
      </w:r>
      <w:r w:rsidR="00833802" w:rsidRPr="00B56864">
        <w:rPr>
          <w:rFonts w:ascii="Arial" w:hAnsi="Arial" w:cs="Arial" w:hint="default"/>
          <w:color w:val="548DD4" w:themeColor="text2" w:themeTint="99"/>
        </w:rPr>
        <w:t>courts</w:t>
      </w:r>
      <w:r w:rsidRPr="00B56864">
        <w:rPr>
          <w:rFonts w:ascii="Arial" w:hAnsi="Arial" w:cs="Arial"/>
          <w:color w:val="548DD4" w:themeColor="text2" w:themeTint="99"/>
        </w:rPr>
        <w:t xml:space="preserve"> have refused to </w:t>
      </w:r>
      <w:r w:rsidR="00833802" w:rsidRPr="00B56864">
        <w:rPr>
          <w:rFonts w:ascii="Arial" w:hAnsi="Arial" w:cs="Arial" w:hint="default"/>
          <w:color w:val="548DD4" w:themeColor="text2" w:themeTint="99"/>
        </w:rPr>
        <w:t>take</w:t>
      </w:r>
      <w:r w:rsidRPr="00B56864">
        <w:rPr>
          <w:rFonts w:ascii="Arial" w:hAnsi="Arial" w:cs="Arial"/>
          <w:color w:val="548DD4" w:themeColor="text2" w:themeTint="99"/>
        </w:rPr>
        <w:t xml:space="preserve"> </w:t>
      </w:r>
      <w:r w:rsidR="00833802">
        <w:rPr>
          <w:rFonts w:ascii="Arial" w:hAnsi="Arial" w:cs="Arial"/>
          <w:color w:val="548DD4" w:themeColor="text2" w:themeTint="99"/>
        </w:rPr>
        <w:t>the principle of upright</w:t>
      </w:r>
      <w:r w:rsidRPr="00B56864">
        <w:rPr>
          <w:rFonts w:ascii="Arial" w:hAnsi="Arial" w:cs="Arial"/>
          <w:color w:val="548DD4" w:themeColor="text2" w:themeTint="99"/>
        </w:rPr>
        <w:t xml:space="preserve"> faith. This is not only</w:t>
      </w:r>
      <w:r w:rsidR="00833802">
        <w:rPr>
          <w:rFonts w:ascii="Arial" w:hAnsi="Arial" w:cs="Arial"/>
          <w:color w:val="548DD4" w:themeColor="text2" w:themeTint="99"/>
        </w:rPr>
        <w:t xml:space="preserve"> because accepting the code of upright</w:t>
      </w:r>
      <w:r w:rsidRPr="00B56864">
        <w:rPr>
          <w:rFonts w:ascii="Arial" w:hAnsi="Arial" w:cs="Arial"/>
          <w:color w:val="548DD4" w:themeColor="text2" w:themeTint="99"/>
        </w:rPr>
        <w:t xml:space="preserve"> faith w</w:t>
      </w:r>
      <w:r w:rsidR="001B2E1B">
        <w:rPr>
          <w:rFonts w:ascii="Arial" w:hAnsi="Arial" w:cs="Arial"/>
          <w:color w:val="548DD4" w:themeColor="text2" w:themeTint="99"/>
        </w:rPr>
        <w:t xml:space="preserve">ill lead to the expansion </w:t>
      </w:r>
      <w:r w:rsidR="00A10C5C">
        <w:rPr>
          <w:rFonts w:ascii="Arial" w:hAnsi="Arial" w:cs="Arial" w:hint="default"/>
          <w:color w:val="548DD4" w:themeColor="text2" w:themeTint="99"/>
        </w:rPr>
        <w:t xml:space="preserve">of </w:t>
      </w:r>
      <w:r w:rsidR="00A10C5C" w:rsidRPr="00B56864">
        <w:rPr>
          <w:rFonts w:ascii="Arial" w:hAnsi="Arial" w:cs="Arial" w:hint="default"/>
          <w:color w:val="548DD4" w:themeColor="text2" w:themeTint="99"/>
        </w:rPr>
        <w:t>discretion</w:t>
      </w:r>
      <w:r w:rsidRPr="00B56864">
        <w:rPr>
          <w:rFonts w:ascii="Arial" w:hAnsi="Arial" w:cs="Arial"/>
          <w:color w:val="548DD4" w:themeColor="text2" w:themeTint="99"/>
        </w:rPr>
        <w:t xml:space="preserve"> of judges, and judges are very likely to bring personal subjective feelings into the case (in civil law countries, they mainly rely on the abstract principles of good faith to make up for specific legal systems blank space. The judge's equity function is reflected in the abstract </w:t>
      </w:r>
      <w:r w:rsidR="00486742" w:rsidRPr="00B56864">
        <w:rPr>
          <w:rFonts w:ascii="Arial" w:hAnsi="Arial" w:cs="Arial" w:hint="default"/>
          <w:color w:val="548DD4" w:themeColor="text2" w:themeTint="99"/>
        </w:rPr>
        <w:t>principle. On</w:t>
      </w:r>
      <w:r w:rsidRPr="00B56864">
        <w:rPr>
          <w:rFonts w:ascii="Arial" w:hAnsi="Arial" w:cs="Arial"/>
          <w:color w:val="548DD4" w:themeColor="text2" w:themeTint="99"/>
        </w:rPr>
        <w:t xml:space="preserve"> the contrary, the British have already established the principle of equity before</w:t>
      </w:r>
      <w:r w:rsidR="00486742">
        <w:rPr>
          <w:rFonts w:ascii="Arial" w:hAnsi="Arial" w:cs="Arial"/>
          <w:color w:val="548DD4" w:themeColor="text2" w:themeTint="99"/>
        </w:rPr>
        <w:t xml:space="preserve"> the code of upright </w:t>
      </w:r>
      <w:r w:rsidRPr="00B56864">
        <w:rPr>
          <w:rFonts w:ascii="Arial" w:hAnsi="Arial" w:cs="Arial"/>
          <w:color w:val="548DD4" w:themeColor="text2" w:themeTint="99"/>
        </w:rPr>
        <w:t>faith).</w:t>
      </w:r>
      <w:r w:rsidR="00486742">
        <w:rPr>
          <w:rFonts w:ascii="Arial" w:hAnsi="Arial" w:cs="Arial"/>
          <w:color w:val="548DD4" w:themeColor="text2" w:themeTint="99"/>
        </w:rPr>
        <w:t xml:space="preserve"> Secondly, the code of </w:t>
      </w:r>
      <w:r w:rsidR="00A10C5C">
        <w:rPr>
          <w:rFonts w:ascii="Arial" w:hAnsi="Arial" w:cs="Arial" w:hint="default"/>
          <w:color w:val="548DD4" w:themeColor="text2" w:themeTint="99"/>
        </w:rPr>
        <w:t xml:space="preserve">upright </w:t>
      </w:r>
      <w:r w:rsidR="00A10C5C" w:rsidRPr="00B56864">
        <w:rPr>
          <w:rFonts w:ascii="Arial" w:hAnsi="Arial" w:cs="Arial" w:hint="default"/>
          <w:color w:val="548DD4" w:themeColor="text2" w:themeTint="99"/>
        </w:rPr>
        <w:t>faith</w:t>
      </w:r>
      <w:r w:rsidRPr="00B56864">
        <w:rPr>
          <w:rFonts w:ascii="Arial" w:hAnsi="Arial" w:cs="Arial"/>
          <w:color w:val="548DD4" w:themeColor="text2" w:themeTint="99"/>
        </w:rPr>
        <w:t xml:space="preserve"> is too general, there is no certain concept, and it cannot be judged and summarized from the case. This is unacceptable for a case law country like the United </w:t>
      </w:r>
      <w:r w:rsidRPr="00B56864">
        <w:rPr>
          <w:rFonts w:ascii="Arial" w:hAnsi="Arial" w:cs="Arial" w:hint="default"/>
          <w:color w:val="548DD4" w:themeColor="text2" w:themeTint="99"/>
        </w:rPr>
        <w:t>Kingdom. Third</w:t>
      </w:r>
      <w:r w:rsidRPr="00B56864">
        <w:rPr>
          <w:rFonts w:ascii="Arial" w:hAnsi="Arial" w:cs="Arial"/>
          <w:color w:val="548DD4" w:themeColor="text2" w:themeTint="99"/>
        </w:rPr>
        <w:t xml:space="preserve">, the United Kingdom is an ancient business empire, and the state </w:t>
      </w:r>
      <w:r w:rsidRPr="00B56864">
        <w:rPr>
          <w:rFonts w:ascii="Arial" w:hAnsi="Arial" w:cs="Arial" w:hint="default"/>
          <w:color w:val="548DD4" w:themeColor="text2" w:themeTint="99"/>
        </w:rPr>
        <w:t>advocate’s</w:t>
      </w:r>
      <w:r w:rsidRPr="00B56864">
        <w:rPr>
          <w:rFonts w:ascii="Arial" w:hAnsi="Arial" w:cs="Arial"/>
          <w:color w:val="548DD4" w:themeColor="text2" w:themeTint="99"/>
        </w:rPr>
        <w:t xml:space="preserve"> classical contract theory. If the principle of good faith is introduced, it will cause double-issue to shrink when contracting, affecting the freedom of contract and the sacred contract.</w:t>
      </w:r>
    </w:p>
    <w:p w14:paraId="75CF6D27" w14:textId="77777777" w:rsidR="000F3A25" w:rsidRPr="00B56864" w:rsidRDefault="007A6B86" w:rsidP="00D537DE">
      <w:pPr>
        <w:pStyle w:val="HTMLPreformatted"/>
        <w:shd w:val="clear" w:color="auto" w:fill="FFFFFF"/>
        <w:spacing w:afterLines="100" w:after="240" w:line="360" w:lineRule="auto"/>
        <w:jc w:val="both"/>
        <w:rPr>
          <w:rFonts w:ascii="Arial" w:hAnsi="Arial" w:cs="Arial" w:hint="default"/>
          <w:b/>
          <w:color w:val="548DD4" w:themeColor="text2" w:themeTint="99"/>
        </w:rPr>
      </w:pPr>
      <w:r w:rsidRPr="00B56864">
        <w:rPr>
          <w:rFonts w:ascii="Arial" w:hAnsi="Arial" w:cs="Arial" w:hint="default"/>
          <w:b/>
          <w:color w:val="548DD4" w:themeColor="text2" w:themeTint="99"/>
        </w:rPr>
        <w:t>3. English</w:t>
      </w:r>
      <w:r w:rsidRPr="00B56864">
        <w:rPr>
          <w:rFonts w:ascii="Arial" w:hAnsi="Arial" w:cs="Arial"/>
          <w:b/>
          <w:color w:val="548DD4" w:themeColor="text2" w:themeTint="99"/>
        </w:rPr>
        <w:t xml:space="preserve"> courts</w:t>
      </w:r>
      <w:r w:rsidRPr="00B56864">
        <w:rPr>
          <w:rFonts w:ascii="Arial" w:hAnsi="Arial" w:cs="Arial" w:hint="default"/>
          <w:b/>
          <w:color w:val="548DD4" w:themeColor="text2" w:themeTint="99"/>
        </w:rPr>
        <w:t>’</w:t>
      </w:r>
      <w:r w:rsidRPr="00B56864">
        <w:rPr>
          <w:rFonts w:ascii="Arial" w:hAnsi="Arial" w:cs="Arial"/>
          <w:b/>
          <w:color w:val="548DD4" w:themeColor="text2" w:themeTint="99"/>
        </w:rPr>
        <w:t xml:space="preserve"> approach to good faith</w:t>
      </w:r>
    </w:p>
    <w:p w14:paraId="319B76B1" w14:textId="685635CF" w:rsidR="000F3A25"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t>British law</w:t>
      </w:r>
      <w:r w:rsidR="00B35E37">
        <w:rPr>
          <w:rFonts w:ascii="Arial" w:hAnsi="Arial" w:cs="Arial"/>
          <w:color w:val="548DD4" w:themeColor="text2" w:themeTint="99"/>
        </w:rPr>
        <w:t xml:space="preserve"> does not recognize general upright</w:t>
      </w:r>
      <w:r w:rsidRPr="00B56864">
        <w:rPr>
          <w:rFonts w:ascii="Arial" w:hAnsi="Arial" w:cs="Arial"/>
          <w:color w:val="548DD4" w:themeColor="text2" w:themeTint="99"/>
        </w:rPr>
        <w:t xml:space="preserve"> faith, as if acknowledging the </w:t>
      </w:r>
      <w:r w:rsidR="00F552CA" w:rsidRPr="00B56864">
        <w:rPr>
          <w:rFonts w:ascii="Arial" w:hAnsi="Arial" w:cs="Arial" w:hint="default"/>
          <w:color w:val="548DD4" w:themeColor="text2" w:themeTint="99"/>
        </w:rPr>
        <w:t>responsibility</w:t>
      </w:r>
      <w:r w:rsidR="00F552CA">
        <w:rPr>
          <w:rFonts w:ascii="Arial" w:hAnsi="Arial" w:cs="Arial"/>
          <w:color w:val="548DD4" w:themeColor="text2" w:themeTint="99"/>
        </w:rPr>
        <w:t xml:space="preserve"> of the upright</w:t>
      </w:r>
      <w:r w:rsidRPr="00B56864">
        <w:rPr>
          <w:rFonts w:ascii="Arial" w:hAnsi="Arial" w:cs="Arial"/>
          <w:color w:val="548DD4" w:themeColor="text2" w:themeTint="99"/>
        </w:rPr>
        <w:t xml:space="preserve"> faith would lead to some kind of awkward social disease</w:t>
      </w:r>
      <w:r w:rsidRPr="00B56864">
        <w:rPr>
          <w:rFonts w:ascii="Arial" w:hAnsi="Arial" w:cs="Arial"/>
          <w:color w:val="548DD4" w:themeColor="text2" w:themeTint="99"/>
        </w:rPr>
        <w:footnoteReference w:id="3"/>
      </w:r>
      <w:r w:rsidRPr="00B56864">
        <w:rPr>
          <w:rFonts w:ascii="Arial" w:hAnsi="Arial" w:cs="Arial"/>
          <w:color w:val="548DD4" w:themeColor="text2" w:themeTint="99"/>
        </w:rPr>
        <w:t xml:space="preserve">. As mentioned above, the contract </w:t>
      </w:r>
      <w:r w:rsidRPr="00B56864">
        <w:rPr>
          <w:rFonts w:ascii="Arial" w:hAnsi="Arial" w:cs="Arial" w:hint="default"/>
          <w:color w:val="548DD4" w:themeColor="text2" w:themeTint="99"/>
        </w:rPr>
        <w:t>signatory</w:t>
      </w:r>
      <w:r w:rsidRPr="00B56864">
        <w:rPr>
          <w:rFonts w:ascii="Arial" w:hAnsi="Arial" w:cs="Arial"/>
          <w:color w:val="548DD4" w:themeColor="text2" w:themeTint="99"/>
        </w:rPr>
        <w:t xml:space="preserve"> is not obliged to inform the other party of adverse terms or a potential risk. Although there is no u</w:t>
      </w:r>
      <w:r w:rsidR="00F71344">
        <w:rPr>
          <w:rFonts w:ascii="Arial" w:hAnsi="Arial" w:cs="Arial"/>
          <w:color w:val="548DD4" w:themeColor="text2" w:themeTint="99"/>
        </w:rPr>
        <w:t>niform standard on the code of upright</w:t>
      </w:r>
      <w:r w:rsidRPr="00B56864">
        <w:rPr>
          <w:rFonts w:ascii="Arial" w:hAnsi="Arial" w:cs="Arial"/>
          <w:color w:val="548DD4" w:themeColor="text2" w:themeTint="99"/>
        </w:rPr>
        <w:t xml:space="preserve"> faith, in many cases we can draw the attitude of the British courts to this principle.</w:t>
      </w:r>
    </w:p>
    <w:p w14:paraId="3C6A1E8D" w14:textId="1FAE28C3" w:rsidR="00E278DB"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70190A">
        <w:rPr>
          <w:rFonts w:ascii="Arial" w:hAnsi="Arial" w:cs="Arial"/>
          <w:i/>
          <w:color w:val="548DD4" w:themeColor="text2" w:themeTint="99"/>
        </w:rPr>
        <w:t xml:space="preserve">In CPC </w:t>
      </w:r>
      <w:r w:rsidR="00D537DE" w:rsidRPr="0070190A">
        <w:rPr>
          <w:rFonts w:ascii="Arial" w:hAnsi="Arial" w:cs="Arial" w:hint="default"/>
          <w:i/>
          <w:color w:val="548DD4" w:themeColor="text2" w:themeTint="99"/>
        </w:rPr>
        <w:t>Group,</w:t>
      </w:r>
      <w:r w:rsidRPr="0070190A">
        <w:rPr>
          <w:rFonts w:ascii="Arial" w:hAnsi="Arial" w:cs="Arial"/>
          <w:i/>
          <w:color w:val="548DD4" w:themeColor="text2" w:themeTint="99"/>
        </w:rPr>
        <w:t xml:space="preserve"> Ltd v Qatari Diar Real Estate Investment Co6 Vos</w:t>
      </w:r>
      <w:r w:rsidRPr="00B56864">
        <w:rPr>
          <w:rFonts w:ascii="Arial" w:hAnsi="Arial" w:cs="Arial"/>
          <w:color w:val="548DD4" w:themeColor="text2" w:themeTint="99"/>
        </w:rPr>
        <w:t xml:space="preserve"> J </w:t>
      </w:r>
      <w:r w:rsidRPr="00B56864">
        <w:rPr>
          <w:rStyle w:val="FootnoteReference"/>
          <w:rFonts w:ascii="Arial" w:hAnsi="Arial" w:cs="Arial"/>
          <w:color w:val="548DD4" w:themeColor="text2" w:themeTint="99"/>
        </w:rPr>
        <w:footnoteReference w:id="4"/>
      </w:r>
      <w:r w:rsidR="0070190A">
        <w:rPr>
          <w:rFonts w:ascii="Arial" w:hAnsi="Arial" w:cs="Arial"/>
          <w:color w:val="548DD4" w:themeColor="text2" w:themeTint="99"/>
        </w:rPr>
        <w:t>(</w:t>
      </w:r>
      <w:r w:rsidRPr="00B56864">
        <w:rPr>
          <w:rFonts w:ascii="Arial" w:hAnsi="Arial" w:cs="Arial"/>
          <w:color w:val="548DD4" w:themeColor="text2" w:themeTint="99"/>
        </w:rPr>
        <w:t xml:space="preserve"> t</w:t>
      </w:r>
      <w:r w:rsidR="00595FAF">
        <w:rPr>
          <w:rFonts w:ascii="Arial" w:hAnsi="Arial" w:cs="Arial"/>
          <w:color w:val="548DD4" w:themeColor="text2" w:themeTint="99"/>
        </w:rPr>
        <w:t>hen was) held that the code of upright</w:t>
      </w:r>
      <w:r w:rsidRPr="00B56864">
        <w:rPr>
          <w:rFonts w:ascii="Arial" w:hAnsi="Arial" w:cs="Arial"/>
          <w:color w:val="548DD4" w:themeColor="text2" w:themeTint="99"/>
        </w:rPr>
        <w:t xml:space="preserve"> faith is to abide by fair and rea</w:t>
      </w:r>
      <w:r w:rsidR="00764FA8">
        <w:rPr>
          <w:rFonts w:ascii="Arial" w:hAnsi="Arial" w:cs="Arial"/>
          <w:color w:val="548DD4" w:themeColor="text2" w:themeTint="99"/>
        </w:rPr>
        <w:t>sonable commercial standards,</w:t>
      </w:r>
      <w:r w:rsidRPr="00B56864">
        <w:rPr>
          <w:rFonts w:ascii="Arial" w:hAnsi="Arial" w:cs="Arial"/>
          <w:color w:val="548DD4" w:themeColor="text2" w:themeTint="99"/>
        </w:rPr>
        <w:t xml:space="preserve"> follow the reasonable business objectives of the parties, and to </w:t>
      </w:r>
      <w:r w:rsidR="00DD558F">
        <w:rPr>
          <w:rFonts w:ascii="Arial" w:hAnsi="Arial" w:cs="Arial" w:hint="default"/>
          <w:color w:val="548DD4" w:themeColor="text2" w:themeTint="99"/>
        </w:rPr>
        <w:t>perform</w:t>
      </w:r>
      <w:r w:rsidR="00DD558F">
        <w:rPr>
          <w:rFonts w:ascii="Arial" w:hAnsi="Arial" w:cs="Arial"/>
          <w:color w:val="548DD4" w:themeColor="text2" w:themeTint="99"/>
        </w:rPr>
        <w:t xml:space="preserve"> in accordance to the</w:t>
      </w:r>
      <w:r w:rsidRPr="00B56864">
        <w:rPr>
          <w:rFonts w:ascii="Arial" w:hAnsi="Arial" w:cs="Arial"/>
          <w:color w:val="548DD4" w:themeColor="text2" w:themeTint="99"/>
        </w:rPr>
        <w:t xml:space="preserve"> reasonable </w:t>
      </w:r>
      <w:r w:rsidR="00DD558F" w:rsidRPr="00B56864">
        <w:rPr>
          <w:rFonts w:ascii="Arial" w:hAnsi="Arial" w:cs="Arial" w:hint="default"/>
          <w:color w:val="548DD4" w:themeColor="text2" w:themeTint="99"/>
        </w:rPr>
        <w:t>anticipations</w:t>
      </w:r>
      <w:r w:rsidR="00DD558F">
        <w:rPr>
          <w:rFonts w:ascii="Arial" w:hAnsi="Arial" w:cs="Arial"/>
          <w:color w:val="548DD4" w:themeColor="text2" w:themeTint="99"/>
        </w:rPr>
        <w:t xml:space="preserve"> of the parties involved.</w:t>
      </w:r>
      <w:r w:rsidRPr="00B56864">
        <w:rPr>
          <w:rFonts w:ascii="Arial" w:hAnsi="Arial" w:cs="Arial"/>
          <w:color w:val="548DD4" w:themeColor="text2" w:themeTint="99"/>
        </w:rPr>
        <w:t xml:space="preserve"> However, such a statement does not mean that the parties to the contract will </w:t>
      </w:r>
      <w:r w:rsidR="00E278DB">
        <w:rPr>
          <w:rFonts w:ascii="Arial" w:hAnsi="Arial" w:cs="Arial" w:hint="default"/>
          <w:color w:val="548DD4" w:themeColor="text2" w:themeTint="99"/>
        </w:rPr>
        <w:t xml:space="preserve"> leave behind the advantages of the free negotiations which are in the agreement act.</w:t>
      </w:r>
    </w:p>
    <w:p w14:paraId="1201D172" w14:textId="3AA68212" w:rsidR="000F3A25" w:rsidRPr="00B56864"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B56864">
        <w:rPr>
          <w:rFonts w:ascii="Arial" w:hAnsi="Arial" w:cs="Arial"/>
          <w:color w:val="548DD4" w:themeColor="text2" w:themeTint="99"/>
        </w:rPr>
        <w:lastRenderedPageBreak/>
        <w:t xml:space="preserve">In other words, it is </w:t>
      </w:r>
      <w:r w:rsidR="00FB25DD" w:rsidRPr="00B56864">
        <w:rPr>
          <w:rFonts w:ascii="Arial" w:hAnsi="Arial" w:cs="Arial" w:hint="default"/>
          <w:color w:val="548DD4" w:themeColor="text2" w:themeTint="99"/>
        </w:rPr>
        <w:t>problematic</w:t>
      </w:r>
      <w:r w:rsidRPr="00B56864">
        <w:rPr>
          <w:rFonts w:ascii="Arial" w:hAnsi="Arial" w:cs="Arial"/>
          <w:color w:val="548DD4" w:themeColor="text2" w:themeTint="99"/>
        </w:rPr>
        <w:t xml:space="preserve"> to give a specific c</w:t>
      </w:r>
      <w:r w:rsidR="00FB25DD">
        <w:rPr>
          <w:rFonts w:ascii="Arial" w:hAnsi="Arial" w:cs="Arial"/>
          <w:color w:val="548DD4" w:themeColor="text2" w:themeTint="99"/>
        </w:rPr>
        <w:t>oncept to the obligation of upright</w:t>
      </w:r>
      <w:r w:rsidRPr="00B56864">
        <w:rPr>
          <w:rFonts w:ascii="Arial" w:hAnsi="Arial" w:cs="Arial"/>
          <w:color w:val="548DD4" w:themeColor="text2" w:themeTint="99"/>
        </w:rPr>
        <w:t xml:space="preserve"> faith. How to determine whether it is </w:t>
      </w:r>
      <w:r w:rsidRPr="00B56864">
        <w:rPr>
          <w:rFonts w:ascii="Arial" w:hAnsi="Arial" w:cs="Arial" w:hint="default"/>
          <w:color w:val="548DD4" w:themeColor="text2" w:themeTint="99"/>
        </w:rPr>
        <w:t>‘</w:t>
      </w:r>
      <w:r w:rsidRPr="00B56864">
        <w:rPr>
          <w:rFonts w:ascii="Arial" w:hAnsi="Arial" w:cs="Arial"/>
          <w:color w:val="548DD4" w:themeColor="text2" w:themeTint="99"/>
        </w:rPr>
        <w:t>good faith</w:t>
      </w:r>
      <w:r w:rsidRPr="00B56864">
        <w:rPr>
          <w:rFonts w:ascii="Arial" w:hAnsi="Arial" w:cs="Arial" w:hint="default"/>
          <w:color w:val="548DD4" w:themeColor="text2" w:themeTint="99"/>
        </w:rPr>
        <w:t>’</w:t>
      </w:r>
      <w:r w:rsidRPr="00B56864">
        <w:rPr>
          <w:rFonts w:ascii="Arial" w:hAnsi="Arial" w:cs="Arial"/>
          <w:color w:val="548DD4" w:themeColor="text2" w:themeTint="99"/>
        </w:rPr>
        <w:t xml:space="preserve"> or </w:t>
      </w:r>
      <w:r w:rsidRPr="00B56864">
        <w:rPr>
          <w:rFonts w:ascii="Arial" w:hAnsi="Arial" w:cs="Arial" w:hint="default"/>
          <w:color w:val="548DD4" w:themeColor="text2" w:themeTint="99"/>
        </w:rPr>
        <w:t>‘</w:t>
      </w:r>
      <w:r w:rsidRPr="00B56864">
        <w:rPr>
          <w:rFonts w:ascii="Arial" w:hAnsi="Arial" w:cs="Arial"/>
          <w:color w:val="548DD4" w:themeColor="text2" w:themeTint="99"/>
        </w:rPr>
        <w:t>bad faith</w:t>
      </w:r>
      <w:r w:rsidRPr="00B56864">
        <w:rPr>
          <w:rFonts w:ascii="Arial" w:hAnsi="Arial" w:cs="Arial" w:hint="default"/>
          <w:color w:val="548DD4" w:themeColor="text2" w:themeTint="99"/>
        </w:rPr>
        <w:t>’</w:t>
      </w:r>
      <w:r w:rsidRPr="00B56864">
        <w:rPr>
          <w:rFonts w:ascii="Arial" w:hAnsi="Arial" w:cs="Arial"/>
          <w:color w:val="548DD4" w:themeColor="text2" w:themeTint="99"/>
        </w:rPr>
        <w:t xml:space="preserve"> depends mainly on the meaning of the context. </w:t>
      </w:r>
      <w:r w:rsidRPr="00CB0001">
        <w:rPr>
          <w:rFonts w:ascii="Arial" w:hAnsi="Arial" w:cs="Arial"/>
          <w:i/>
          <w:color w:val="548DD4" w:themeColor="text2" w:themeTint="99"/>
        </w:rPr>
        <w:t xml:space="preserve">In Yam Seng Leggatt J </w:t>
      </w:r>
      <w:r w:rsidRPr="00CB0001">
        <w:rPr>
          <w:rFonts w:ascii="Arial" w:hAnsi="Arial" w:cs="Arial" w:hint="default"/>
          <w:i/>
          <w:color w:val="548DD4" w:themeColor="text2" w:themeTint="99"/>
        </w:rPr>
        <w:t>‘</w:t>
      </w:r>
      <w:r w:rsidRPr="00CB0001">
        <w:rPr>
          <w:rFonts w:ascii="Arial" w:hAnsi="Arial" w:cs="Arial"/>
          <w:i/>
          <w:color w:val="548DD4" w:themeColor="text2" w:themeTint="99"/>
        </w:rPr>
        <w:t>emphasised</w:t>
      </w:r>
      <w:r w:rsidRPr="00CB0001">
        <w:rPr>
          <w:rFonts w:ascii="Arial" w:hAnsi="Arial" w:cs="Arial" w:hint="default"/>
          <w:i/>
          <w:color w:val="548DD4" w:themeColor="text2" w:themeTint="99"/>
        </w:rPr>
        <w:t>’</w:t>
      </w:r>
      <w:r w:rsidRPr="00B56864">
        <w:rPr>
          <w:rFonts w:ascii="Arial" w:hAnsi="Arial" w:cs="Arial" w:hint="default"/>
          <w:color w:val="548DD4" w:themeColor="text2" w:themeTint="99"/>
        </w:rPr>
        <w:footnoteReference w:id="5"/>
      </w:r>
      <w:r w:rsidR="000B6C6D">
        <w:rPr>
          <w:rFonts w:ascii="Arial" w:hAnsi="Arial" w:cs="Arial"/>
          <w:color w:val="548DD4" w:themeColor="text2" w:themeTint="99"/>
        </w:rPr>
        <w:t xml:space="preserve"> that</w:t>
      </w:r>
      <w:r w:rsidR="000B6C6D">
        <w:rPr>
          <w:rFonts w:ascii="Arial" w:hAnsi="Arial" w:cs="Arial" w:hint="default"/>
          <w:color w:val="548DD4" w:themeColor="text2" w:themeTint="99"/>
        </w:rPr>
        <w:t xml:space="preserve"> </w:t>
      </w:r>
      <w:r w:rsidRPr="00B56864">
        <w:rPr>
          <w:rFonts w:ascii="Arial" w:hAnsi="Arial" w:cs="Arial" w:hint="default"/>
          <w:color w:val="548DD4" w:themeColor="text2" w:themeTint="99"/>
        </w:rPr>
        <w:t>the</w:t>
      </w:r>
      <w:r w:rsidRPr="00B56864">
        <w:rPr>
          <w:rFonts w:ascii="Arial" w:hAnsi="Arial" w:cs="Arial"/>
          <w:color w:val="548DD4" w:themeColor="text2" w:themeTint="99"/>
        </w:rPr>
        <w:t xml:space="preserve"> </w:t>
      </w:r>
      <w:r w:rsidR="000B6C6D" w:rsidRPr="00B56864">
        <w:rPr>
          <w:rFonts w:ascii="Arial" w:hAnsi="Arial" w:cs="Arial" w:hint="default"/>
          <w:color w:val="548DD4" w:themeColor="text2" w:themeTint="99"/>
        </w:rPr>
        <w:t>responsibility</w:t>
      </w:r>
      <w:r w:rsidRPr="00B56864">
        <w:rPr>
          <w:rFonts w:ascii="Arial" w:hAnsi="Arial" w:cs="Arial"/>
          <w:color w:val="548DD4" w:themeColor="text2" w:themeTint="99"/>
        </w:rPr>
        <w:t xml:space="preserve"> of </w:t>
      </w:r>
      <w:r w:rsidR="000B6C6D" w:rsidRPr="00B56864">
        <w:rPr>
          <w:rFonts w:ascii="Arial" w:hAnsi="Arial" w:cs="Arial" w:hint="default"/>
          <w:color w:val="548DD4" w:themeColor="text2" w:themeTint="99"/>
        </w:rPr>
        <w:t>upright</w:t>
      </w:r>
      <w:r w:rsidRPr="00B56864">
        <w:rPr>
          <w:rFonts w:ascii="Arial" w:hAnsi="Arial" w:cs="Arial"/>
          <w:color w:val="548DD4" w:themeColor="text2" w:themeTint="99"/>
        </w:rPr>
        <w:t xml:space="preserve"> faith includes </w:t>
      </w:r>
      <w:r w:rsidR="000B6C6D">
        <w:rPr>
          <w:rFonts w:ascii="Arial" w:hAnsi="Arial" w:cs="Arial"/>
          <w:color w:val="548DD4" w:themeColor="text2" w:themeTint="99"/>
        </w:rPr>
        <w:t xml:space="preserve">two aspects, the first is one to be </w:t>
      </w:r>
      <w:r w:rsidRPr="00B56864">
        <w:rPr>
          <w:rFonts w:ascii="Arial" w:hAnsi="Arial" w:cs="Arial"/>
          <w:color w:val="548DD4" w:themeColor="text2" w:themeTint="99"/>
        </w:rPr>
        <w:t xml:space="preserve">honest, and the second is to be faithful to the contract between the two parties. From </w:t>
      </w:r>
      <w:r w:rsidR="00CB0001">
        <w:rPr>
          <w:rFonts w:ascii="Arial" w:hAnsi="Arial" w:cs="Arial"/>
          <w:color w:val="548DD4" w:themeColor="text2" w:themeTint="99"/>
        </w:rPr>
        <w:t>these two cases, we can draw several</w:t>
      </w:r>
      <w:r w:rsidRPr="00B56864">
        <w:rPr>
          <w:rFonts w:ascii="Arial" w:hAnsi="Arial" w:cs="Arial"/>
          <w:color w:val="548DD4" w:themeColor="text2" w:themeTint="99"/>
        </w:rPr>
        <w:t xml:space="preserve"> conclusions. The general good faith described in the British contract law is a </w:t>
      </w:r>
      <w:r w:rsidR="00CB0001">
        <w:rPr>
          <w:rFonts w:ascii="Arial" w:hAnsi="Arial" w:cs="Arial"/>
          <w:color w:val="548DD4" w:themeColor="text2" w:themeTint="99"/>
        </w:rPr>
        <w:t xml:space="preserve">figurative obligation, and it is </w:t>
      </w:r>
      <w:r w:rsidR="00731EA3">
        <w:rPr>
          <w:rFonts w:ascii="Arial" w:hAnsi="Arial" w:cs="Arial" w:hint="default"/>
          <w:color w:val="548DD4" w:themeColor="text2" w:themeTint="99"/>
        </w:rPr>
        <w:t xml:space="preserve">very </w:t>
      </w:r>
      <w:r w:rsidR="00731EA3" w:rsidRPr="00B56864">
        <w:rPr>
          <w:rFonts w:ascii="Arial" w:hAnsi="Arial" w:cs="Arial" w:hint="default"/>
          <w:color w:val="548DD4" w:themeColor="text2" w:themeTint="99"/>
        </w:rPr>
        <w:t>necessary</w:t>
      </w:r>
      <w:r w:rsidRPr="00B56864">
        <w:rPr>
          <w:rFonts w:ascii="Arial" w:hAnsi="Arial" w:cs="Arial"/>
          <w:color w:val="548DD4" w:themeColor="text2" w:themeTint="99"/>
        </w:rPr>
        <w:t xml:space="preserve"> to </w:t>
      </w:r>
      <w:r w:rsidR="00CB0001" w:rsidRPr="00B56864">
        <w:rPr>
          <w:rFonts w:ascii="Arial" w:hAnsi="Arial" w:cs="Arial" w:hint="default"/>
          <w:color w:val="548DD4" w:themeColor="text2" w:themeTint="99"/>
        </w:rPr>
        <w:t>comprehend</w:t>
      </w:r>
      <w:r w:rsidR="00CB0001">
        <w:rPr>
          <w:rFonts w:ascii="Arial" w:hAnsi="Arial" w:cs="Arial" w:hint="default"/>
          <w:color w:val="548DD4" w:themeColor="text2" w:themeTint="99"/>
        </w:rPr>
        <w:t xml:space="preserve"> that</w:t>
      </w:r>
      <w:r w:rsidR="00CB0001">
        <w:rPr>
          <w:rFonts w:ascii="Arial" w:hAnsi="Arial" w:cs="Arial"/>
          <w:color w:val="548DD4" w:themeColor="text2" w:themeTint="99"/>
        </w:rPr>
        <w:t xml:space="preserve"> the upright</w:t>
      </w:r>
      <w:r w:rsidRPr="00B56864">
        <w:rPr>
          <w:rFonts w:ascii="Arial" w:hAnsi="Arial" w:cs="Arial"/>
          <w:color w:val="548DD4" w:themeColor="text2" w:themeTint="99"/>
        </w:rPr>
        <w:t xml:space="preserve"> faith in combination with the </w:t>
      </w:r>
      <w:r w:rsidRPr="00B56864">
        <w:rPr>
          <w:rFonts w:ascii="Arial" w:hAnsi="Arial" w:cs="Arial" w:hint="default"/>
          <w:color w:val="548DD4" w:themeColor="text2" w:themeTint="99"/>
        </w:rPr>
        <w:t>context. This</w:t>
      </w:r>
      <w:r w:rsidRPr="00B56864">
        <w:rPr>
          <w:rFonts w:ascii="Arial" w:hAnsi="Arial" w:cs="Arial"/>
          <w:color w:val="548DD4" w:themeColor="text2" w:themeTint="99"/>
        </w:rPr>
        <w:t xml:space="preserve"> means that although there is no general fiduciary duty in the UK contract law, honesty often appear as an implied obligation when necessary.</w:t>
      </w:r>
      <w:r w:rsidR="00731EA3">
        <w:rPr>
          <w:rFonts w:ascii="Arial" w:hAnsi="Arial" w:cs="Arial" w:hint="default"/>
          <w:color w:val="548DD4" w:themeColor="text2" w:themeTint="99"/>
        </w:rPr>
        <w:t xml:space="preserve"> This obligation that is always hidden</w:t>
      </w:r>
      <w:r w:rsidR="005B51B3">
        <w:rPr>
          <w:rFonts w:ascii="Arial" w:hAnsi="Arial" w:cs="Arial" w:hint="default"/>
          <w:color w:val="548DD4" w:themeColor="text2" w:themeTint="99"/>
        </w:rPr>
        <w:t xml:space="preserve"> are always recognized by the court as an agreement or a contract.</w:t>
      </w:r>
      <w:r w:rsidRPr="00B56864">
        <w:rPr>
          <w:rFonts w:ascii="Arial" w:hAnsi="Arial" w:cs="Arial"/>
          <w:color w:val="548DD4" w:themeColor="text2" w:themeTint="99"/>
        </w:rPr>
        <w:t xml:space="preserve"> </w:t>
      </w:r>
    </w:p>
    <w:p w14:paraId="6ACCBCA2" w14:textId="18426C38" w:rsidR="000F3A25" w:rsidRDefault="007A6B86" w:rsidP="00D537DE">
      <w:pPr>
        <w:pStyle w:val="HTMLPreformatted"/>
        <w:shd w:val="clear" w:color="auto" w:fill="FFFFFF"/>
        <w:spacing w:afterLines="100" w:after="240" w:line="360" w:lineRule="auto"/>
        <w:jc w:val="both"/>
        <w:rPr>
          <w:rFonts w:ascii="Arial" w:hAnsi="Arial" w:cs="Arial" w:hint="default"/>
          <w:color w:val="548DD4" w:themeColor="text2" w:themeTint="99"/>
        </w:rPr>
      </w:pPr>
      <w:r w:rsidRPr="005B51B3">
        <w:rPr>
          <w:rFonts w:ascii="Arial" w:hAnsi="Arial" w:cs="Arial"/>
          <w:i/>
          <w:color w:val="548DD4" w:themeColor="text2" w:themeTint="99"/>
        </w:rPr>
        <w:t xml:space="preserve"> In Greenclose Ltd v National Westminster Bank plc</w:t>
      </w:r>
      <w:r w:rsidRPr="005B51B3">
        <w:rPr>
          <w:rFonts w:ascii="Arial" w:hAnsi="Arial" w:cs="Arial"/>
          <w:i/>
          <w:color w:val="548DD4" w:themeColor="text2" w:themeTint="99"/>
        </w:rPr>
        <w:footnoteReference w:id="6"/>
      </w:r>
      <w:r w:rsidRPr="005B51B3">
        <w:rPr>
          <w:rFonts w:ascii="Arial" w:hAnsi="Arial" w:cs="Arial"/>
          <w:i/>
          <w:color w:val="548DD4" w:themeColor="text2" w:themeTint="99"/>
        </w:rPr>
        <w:t xml:space="preserve"> Andrews J DBE</w:t>
      </w:r>
      <w:r w:rsidRPr="00B56864">
        <w:rPr>
          <w:rFonts w:ascii="Arial" w:hAnsi="Arial" w:cs="Arial"/>
          <w:color w:val="548DD4" w:themeColor="text2" w:themeTint="99"/>
        </w:rPr>
        <w:t xml:space="preserve"> describe the </w:t>
      </w:r>
      <w:r w:rsidR="005B51B3" w:rsidRPr="00B56864">
        <w:rPr>
          <w:rFonts w:ascii="Arial" w:hAnsi="Arial" w:cs="Arial" w:hint="default"/>
          <w:color w:val="548DD4" w:themeColor="text2" w:themeTint="99"/>
        </w:rPr>
        <w:t>background</w:t>
      </w:r>
      <w:r w:rsidRPr="00B56864">
        <w:rPr>
          <w:rFonts w:ascii="Arial" w:hAnsi="Arial" w:cs="Arial"/>
          <w:color w:val="548DD4" w:themeColor="text2" w:themeTint="99"/>
        </w:rPr>
        <w:t xml:space="preserve"> as the most important. </w:t>
      </w:r>
      <w:r w:rsidRPr="005B51B3">
        <w:rPr>
          <w:rFonts w:ascii="Arial" w:hAnsi="Arial" w:cs="Arial"/>
          <w:i/>
          <w:color w:val="548DD4" w:themeColor="text2" w:themeTint="99"/>
        </w:rPr>
        <w:t>In TSG Building Services plc v South Anglia Housing Ltd</w:t>
      </w:r>
      <w:r w:rsidRPr="00B56864">
        <w:rPr>
          <w:rFonts w:ascii="Arial" w:hAnsi="Arial" w:cs="Arial" w:hint="default"/>
          <w:color w:val="548DD4" w:themeColor="text2" w:themeTint="99"/>
        </w:rPr>
        <w:t>,</w:t>
      </w:r>
      <w:r w:rsidRPr="00B56864">
        <w:rPr>
          <w:rFonts w:ascii="Arial" w:hAnsi="Arial" w:cs="Arial"/>
          <w:color w:val="548DD4" w:themeColor="text2" w:themeTint="99"/>
        </w:rPr>
        <w:footnoteReference w:id="7"/>
      </w:r>
      <w:r w:rsidRPr="00B56864">
        <w:rPr>
          <w:rFonts w:ascii="Arial" w:hAnsi="Arial" w:cs="Arial"/>
          <w:color w:val="548DD4" w:themeColor="text2" w:themeTint="99"/>
        </w:rPr>
        <w:t xml:space="preserve"> the judge </w:t>
      </w:r>
      <w:r w:rsidR="00074924" w:rsidRPr="00B56864">
        <w:rPr>
          <w:rFonts w:ascii="Arial" w:hAnsi="Arial" w:cs="Arial" w:hint="default"/>
          <w:color w:val="548DD4" w:themeColor="text2" w:themeTint="99"/>
        </w:rPr>
        <w:t>inspires</w:t>
      </w:r>
      <w:r w:rsidRPr="00B56864">
        <w:rPr>
          <w:rFonts w:ascii="Arial" w:hAnsi="Arial" w:cs="Arial"/>
          <w:color w:val="548DD4" w:themeColor="text2" w:themeTint="99"/>
        </w:rPr>
        <w:t xml:space="preserve"> the </w:t>
      </w:r>
      <w:r w:rsidR="00074924" w:rsidRPr="00B56864">
        <w:rPr>
          <w:rFonts w:ascii="Arial" w:hAnsi="Arial" w:cs="Arial" w:hint="default"/>
          <w:color w:val="548DD4" w:themeColor="text2" w:themeTint="99"/>
        </w:rPr>
        <w:t>understanding</w:t>
      </w:r>
      <w:r w:rsidRPr="00B56864">
        <w:rPr>
          <w:rFonts w:ascii="Arial" w:hAnsi="Arial" w:cs="Arial"/>
          <w:color w:val="548DD4" w:themeColor="text2" w:themeTint="99"/>
        </w:rPr>
        <w:t xml:space="preserve"> of the text and the </w:t>
      </w:r>
      <w:r w:rsidR="00074924" w:rsidRPr="00B56864">
        <w:rPr>
          <w:rFonts w:ascii="Arial" w:hAnsi="Arial" w:cs="Arial" w:hint="default"/>
          <w:color w:val="548DD4" w:themeColor="text2" w:themeTint="99"/>
        </w:rPr>
        <w:t>background</w:t>
      </w:r>
      <w:r w:rsidR="00074924">
        <w:rPr>
          <w:rFonts w:ascii="Arial" w:hAnsi="Arial" w:cs="Arial"/>
          <w:color w:val="548DD4" w:themeColor="text2" w:themeTint="99"/>
        </w:rPr>
        <w:t xml:space="preserve"> of which the contract is laid</w:t>
      </w:r>
      <w:r w:rsidR="001F3F98">
        <w:rPr>
          <w:rFonts w:ascii="Arial" w:hAnsi="Arial" w:cs="Arial" w:hint="default"/>
          <w:color w:val="548DD4" w:themeColor="text2" w:themeTint="99"/>
        </w:rPr>
        <w:t>. The most recent incident happened when</w:t>
      </w:r>
      <w:r w:rsidRPr="00B56864">
        <w:rPr>
          <w:rFonts w:ascii="Arial" w:hAnsi="Arial" w:cs="Arial"/>
          <w:color w:val="548DD4" w:themeColor="text2" w:themeTint="99"/>
        </w:rPr>
        <w:t xml:space="preserve"> D&amp;G Cars v Essex Police Authority</w:t>
      </w:r>
      <w:r w:rsidRPr="00B56864">
        <w:rPr>
          <w:rFonts w:ascii="Arial" w:hAnsi="Arial" w:cs="Arial"/>
          <w:color w:val="548DD4" w:themeColor="text2" w:themeTint="99"/>
        </w:rPr>
        <w:footnoteReference w:id="8"/>
      </w:r>
      <w:r w:rsidRPr="00B56864">
        <w:rPr>
          <w:rFonts w:ascii="Arial" w:hAnsi="Arial" w:cs="Arial"/>
          <w:color w:val="548DD4" w:themeColor="text2" w:themeTint="99"/>
        </w:rPr>
        <w:t xml:space="preserve"> </w:t>
      </w:r>
      <w:r w:rsidR="001F3F98">
        <w:rPr>
          <w:rFonts w:ascii="Arial" w:hAnsi="Arial" w:cs="Arial" w:hint="default"/>
          <w:color w:val="548DD4" w:themeColor="text2" w:themeTint="99"/>
        </w:rPr>
        <w:t>.</w:t>
      </w:r>
      <w:r w:rsidRPr="00B56864">
        <w:rPr>
          <w:rFonts w:ascii="Arial" w:hAnsi="Arial" w:cs="Arial"/>
          <w:color w:val="548DD4" w:themeColor="text2" w:themeTint="99"/>
        </w:rPr>
        <w:t>Dove J</w:t>
      </w:r>
      <w:r w:rsidR="001F3F98">
        <w:rPr>
          <w:rFonts w:ascii="Arial" w:hAnsi="Arial" w:cs="Arial" w:hint="default"/>
          <w:color w:val="548DD4" w:themeColor="text2" w:themeTint="99"/>
        </w:rPr>
        <w:t xml:space="preserve"> </w:t>
      </w:r>
      <w:r w:rsidR="00E91187">
        <w:rPr>
          <w:rFonts w:ascii="Arial" w:hAnsi="Arial" w:cs="Arial" w:hint="default"/>
          <w:color w:val="548DD4" w:themeColor="text2" w:themeTint="99"/>
        </w:rPr>
        <w:t>claimed</w:t>
      </w:r>
      <w:r w:rsidR="001F3F98">
        <w:rPr>
          <w:rFonts w:ascii="Arial" w:hAnsi="Arial" w:cs="Arial" w:hint="default"/>
          <w:color w:val="548DD4" w:themeColor="text2" w:themeTint="99"/>
        </w:rPr>
        <w:t xml:space="preserve"> that the</w:t>
      </w:r>
      <w:r w:rsidRPr="00B56864">
        <w:rPr>
          <w:rFonts w:ascii="Arial" w:hAnsi="Arial" w:cs="Arial"/>
          <w:color w:val="548DD4" w:themeColor="text2" w:themeTint="99"/>
        </w:rPr>
        <w:t xml:space="preserve">  word he used</w:t>
      </w:r>
      <w:r w:rsidRPr="00B56864">
        <w:rPr>
          <w:rFonts w:ascii="Arial" w:hAnsi="Arial" w:cs="Arial"/>
          <w:color w:val="548DD4" w:themeColor="text2" w:themeTint="99"/>
        </w:rPr>
        <w:t>‘</w:t>
      </w:r>
      <w:r w:rsidRPr="00B56864">
        <w:rPr>
          <w:rFonts w:ascii="Arial" w:hAnsi="Arial" w:cs="Arial"/>
          <w:color w:val="548DD4" w:themeColor="text2" w:themeTint="99"/>
        </w:rPr>
        <w:t>integrity</w:t>
      </w:r>
      <w:r w:rsidRPr="00B56864">
        <w:rPr>
          <w:rFonts w:ascii="Arial" w:hAnsi="Arial" w:cs="Arial" w:hint="default"/>
          <w:color w:val="548DD4" w:themeColor="text2" w:themeTint="99"/>
        </w:rPr>
        <w:t>’</w:t>
      </w:r>
      <w:r w:rsidR="001F3F98">
        <w:rPr>
          <w:rFonts w:ascii="Arial" w:hAnsi="Arial" w:cs="Arial" w:hint="default"/>
          <w:color w:val="548DD4" w:themeColor="text2" w:themeTint="99"/>
        </w:rPr>
        <w:t xml:space="preserve"> is the same as the </w:t>
      </w:r>
      <w:r w:rsidR="00E91187">
        <w:rPr>
          <w:rFonts w:ascii="Arial" w:hAnsi="Arial" w:cs="Arial" w:hint="default"/>
          <w:color w:val="548DD4" w:themeColor="text2" w:themeTint="99"/>
        </w:rPr>
        <w:t>phrase</w:t>
      </w:r>
      <w:r w:rsidR="001F3F98">
        <w:rPr>
          <w:rFonts w:ascii="Arial" w:hAnsi="Arial" w:cs="Arial" w:hint="default"/>
          <w:color w:val="548DD4" w:themeColor="text2" w:themeTint="99"/>
        </w:rPr>
        <w:t xml:space="preserve"> ‘upright faith’</w:t>
      </w:r>
      <w:r w:rsidRPr="00B56864">
        <w:rPr>
          <w:rFonts w:ascii="Arial" w:hAnsi="Arial" w:cs="Arial"/>
          <w:color w:val="548DD4" w:themeColor="text2" w:themeTint="99"/>
        </w:rPr>
        <w:t xml:space="preserve"> </w:t>
      </w:r>
      <w:r w:rsidR="00E91187">
        <w:rPr>
          <w:rFonts w:ascii="Arial" w:hAnsi="Arial" w:cs="Arial" w:hint="default"/>
          <w:color w:val="548DD4" w:themeColor="text2" w:themeTint="99"/>
        </w:rPr>
        <w:t xml:space="preserve"> and this was mostly used by</w:t>
      </w:r>
      <w:r w:rsidRPr="00B56864">
        <w:rPr>
          <w:rFonts w:ascii="Arial" w:hAnsi="Arial" w:cs="Arial"/>
          <w:color w:val="548DD4" w:themeColor="text2" w:themeTint="99"/>
        </w:rPr>
        <w:t xml:space="preserve"> Leggatt J in Yam Seng</w:t>
      </w:r>
      <w:r w:rsidRPr="00B56864">
        <w:rPr>
          <w:rFonts w:ascii="Arial" w:hAnsi="Arial" w:cs="Arial"/>
          <w:color w:val="548DD4" w:themeColor="text2" w:themeTint="99"/>
        </w:rPr>
        <w:footnoteReference w:id="9"/>
      </w:r>
      <w:r w:rsidRPr="00B56864">
        <w:rPr>
          <w:rFonts w:ascii="Arial" w:hAnsi="Arial" w:cs="Arial"/>
          <w:color w:val="548DD4" w:themeColor="text2" w:themeTint="99"/>
        </w:rPr>
        <w:t>.Although integrity may rule out dishonest behavior, it may also increase the distrust of the parties in the contract negotiations and reduce the confidence of both parties.All in all, good faith can be roughly summed up as commercially acceptable.</w:t>
      </w:r>
    </w:p>
    <w:p w14:paraId="051043BA" w14:textId="77777777" w:rsidR="00FD30A6" w:rsidRDefault="00FD30A6" w:rsidP="00D537DE">
      <w:pPr>
        <w:pStyle w:val="HTMLPreformatted"/>
        <w:shd w:val="clear" w:color="auto" w:fill="FFFFFF"/>
        <w:spacing w:afterLines="100" w:after="240" w:line="360" w:lineRule="auto"/>
        <w:jc w:val="both"/>
        <w:rPr>
          <w:rFonts w:ascii="Arial" w:hAnsi="Arial" w:cs="Arial" w:hint="default"/>
          <w:color w:val="548DD4" w:themeColor="text2" w:themeTint="99"/>
        </w:rPr>
      </w:pPr>
    </w:p>
    <w:p w14:paraId="5C02E194" w14:textId="77777777" w:rsidR="00FD30A6" w:rsidRPr="00B56864" w:rsidRDefault="00FD30A6" w:rsidP="00D537DE">
      <w:pPr>
        <w:pStyle w:val="HTMLPreformatted"/>
        <w:shd w:val="clear" w:color="auto" w:fill="FFFFFF"/>
        <w:spacing w:afterLines="100" w:after="240" w:line="360" w:lineRule="auto"/>
        <w:jc w:val="both"/>
        <w:rPr>
          <w:rFonts w:ascii="Arial" w:hAnsi="Arial" w:cs="Arial" w:hint="default"/>
          <w:color w:val="548DD4" w:themeColor="text2" w:themeTint="99"/>
        </w:rPr>
      </w:pPr>
    </w:p>
    <w:p w14:paraId="4B6D71DC" w14:textId="77777777"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4. General</w:t>
      </w:r>
      <w:r w:rsidRPr="00D537DE">
        <w:rPr>
          <w:rFonts w:ascii="Arial" w:hAnsi="Arial" w:cs="Arial"/>
          <w:b/>
        </w:rPr>
        <w:t xml:space="preserve"> practice of the court</w:t>
      </w:r>
      <w:r w:rsidRPr="00D537DE">
        <w:rPr>
          <w:rFonts w:ascii="Arial" w:hAnsi="Arial" w:cs="Arial" w:hint="default"/>
          <w:b/>
        </w:rPr>
        <w:t xml:space="preserve"> </w:t>
      </w:r>
    </w:p>
    <w:p w14:paraId="40B5EB0D" w14:textId="76E73129"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 xml:space="preserve">The people working in the construction industry are aware of the </w:t>
      </w:r>
      <w:r w:rsidR="00F91497">
        <w:rPr>
          <w:rFonts w:ascii="Arial" w:hAnsi="Arial" w:cs="Arial" w:hint="default"/>
        </w:rPr>
        <w:t>methods</w:t>
      </w:r>
      <w:r>
        <w:rPr>
          <w:rFonts w:ascii="Arial" w:hAnsi="Arial" w:cs="Arial" w:hint="default"/>
        </w:rPr>
        <w:t xml:space="preserve"> of contracts used </w:t>
      </w:r>
      <w:r w:rsidR="00F91497">
        <w:rPr>
          <w:rFonts w:ascii="Arial" w:hAnsi="Arial" w:cs="Arial" w:hint="default"/>
        </w:rPr>
        <w:t>locally</w:t>
      </w:r>
      <w:r w:rsidR="002A5829">
        <w:rPr>
          <w:rFonts w:ascii="Arial" w:hAnsi="Arial" w:cs="Arial" w:hint="default"/>
        </w:rPr>
        <w:t xml:space="preserve"> have </w:t>
      </w:r>
      <w:r w:rsidR="00F91497">
        <w:rPr>
          <w:rFonts w:ascii="Arial" w:hAnsi="Arial" w:cs="Arial" w:hint="default"/>
        </w:rPr>
        <w:t>responsibilities</w:t>
      </w:r>
      <w:r w:rsidR="002A5829">
        <w:rPr>
          <w:rFonts w:ascii="Arial" w:hAnsi="Arial" w:cs="Arial" w:hint="default"/>
        </w:rPr>
        <w:t xml:space="preserve"> that can be referred to</w:t>
      </w:r>
      <w:r w:rsidR="00FB6286">
        <w:rPr>
          <w:rFonts w:ascii="Arial" w:hAnsi="Arial" w:cs="Arial" w:hint="default"/>
        </w:rPr>
        <w:t xml:space="preserve"> as upright</w:t>
      </w:r>
      <w:r>
        <w:rPr>
          <w:rFonts w:ascii="Arial" w:hAnsi="Arial" w:cs="Arial" w:hint="default"/>
        </w:rPr>
        <w:t xml:space="preserve"> faith type of obligation. </w:t>
      </w:r>
      <w:r w:rsidR="00237DF3">
        <w:rPr>
          <w:rFonts w:ascii="Arial" w:hAnsi="Arial" w:cs="Arial" w:hint="default"/>
        </w:rPr>
        <w:t xml:space="preserve"> For instance, they are</w:t>
      </w:r>
      <w:r>
        <w:rPr>
          <w:rFonts w:ascii="Arial" w:hAnsi="Arial" w:cs="Arial" w:hint="default"/>
        </w:rPr>
        <w:t xml:space="preserve"> </w:t>
      </w:r>
      <w:r w:rsidR="00237DF3">
        <w:rPr>
          <w:rFonts w:ascii="Arial" w:hAnsi="Arial" w:cs="Arial" w:hint="default"/>
        </w:rPr>
        <w:t>mostly</w:t>
      </w:r>
      <w:r>
        <w:rPr>
          <w:rFonts w:ascii="Arial" w:hAnsi="Arial" w:cs="Arial" w:hint="default"/>
        </w:rPr>
        <w:t xml:space="preserve"> usually </w:t>
      </w:r>
      <w:r w:rsidR="00AF1749">
        <w:rPr>
          <w:rFonts w:ascii="Arial" w:hAnsi="Arial" w:cs="Arial" w:hint="default"/>
        </w:rPr>
        <w:t xml:space="preserve">apparent </w:t>
      </w:r>
      <w:r w:rsidR="00AF1749">
        <w:rPr>
          <w:rFonts w:ascii="Arial" w:hAnsi="Arial" w:cs="Arial" w:hint="default"/>
        </w:rPr>
        <w:lastRenderedPageBreak/>
        <w:t>partnering contracts indicated in</w:t>
      </w:r>
      <w:r>
        <w:rPr>
          <w:rFonts w:ascii="Arial" w:hAnsi="Arial" w:cs="Arial" w:hint="default"/>
        </w:rPr>
        <w:t xml:space="preserve"> </w:t>
      </w:r>
      <w:r w:rsidR="00CB3D08">
        <w:rPr>
          <w:rFonts w:ascii="Arial" w:hAnsi="Arial" w:cs="Arial" w:hint="default"/>
        </w:rPr>
        <w:t>section</w:t>
      </w:r>
      <w:r w:rsidR="00FB40B7">
        <w:rPr>
          <w:rFonts w:ascii="Arial" w:hAnsi="Arial" w:cs="Arial" w:hint="default"/>
        </w:rPr>
        <w:t xml:space="preserve"> 10.1 of NEC3, which </w:t>
      </w:r>
      <w:r w:rsidR="00BA63C4">
        <w:rPr>
          <w:rFonts w:ascii="Arial" w:hAnsi="Arial" w:cs="Arial" w:hint="default"/>
        </w:rPr>
        <w:t>indicates that</w:t>
      </w:r>
      <w:r>
        <w:rPr>
          <w:rFonts w:ascii="Arial" w:hAnsi="Arial" w:cs="Arial" w:hint="default"/>
        </w:rPr>
        <w:t xml:space="preserve"> the involved parties ought to act in </w:t>
      </w:r>
      <w:r w:rsidR="00BA63C4">
        <w:rPr>
          <w:rFonts w:ascii="Arial" w:hAnsi="Arial" w:cs="Arial" w:hint="default"/>
        </w:rPr>
        <w:t>agreement</w:t>
      </w:r>
      <w:r w:rsidR="004B7F40">
        <w:rPr>
          <w:rFonts w:ascii="Arial" w:hAnsi="Arial" w:cs="Arial" w:hint="default"/>
        </w:rPr>
        <w:t xml:space="preserve"> to</w:t>
      </w:r>
      <w:r>
        <w:rPr>
          <w:rFonts w:ascii="Arial" w:hAnsi="Arial" w:cs="Arial" w:hint="default"/>
        </w:rPr>
        <w:t xml:space="preserve"> the given </w:t>
      </w:r>
      <w:r w:rsidR="00967B7F">
        <w:rPr>
          <w:rFonts w:ascii="Arial" w:hAnsi="Arial" w:cs="Arial" w:hint="default"/>
        </w:rPr>
        <w:t>agreement</w:t>
      </w:r>
      <w:r>
        <w:rPr>
          <w:rFonts w:ascii="Arial" w:hAnsi="Arial" w:cs="Arial" w:hint="default"/>
        </w:rPr>
        <w:t xml:space="preserve"> regarding mutual trust and cooperation. While it is accepted in concepts of fairness in the d</w:t>
      </w:r>
      <w:r w:rsidR="002C6FA6">
        <w:rPr>
          <w:rFonts w:ascii="Arial" w:hAnsi="Arial" w:cs="Arial" w:hint="default"/>
        </w:rPr>
        <w:t xml:space="preserve">eal which can be accepted in </w:t>
      </w:r>
      <w:r>
        <w:rPr>
          <w:rFonts w:ascii="Arial" w:hAnsi="Arial" w:cs="Arial" w:hint="default"/>
        </w:rPr>
        <w:t xml:space="preserve"> English courts </w:t>
      </w:r>
      <w:r w:rsidR="00373CAE">
        <w:rPr>
          <w:rFonts w:ascii="Arial" w:hAnsi="Arial" w:cs="Arial" w:hint="default"/>
        </w:rPr>
        <w:t>reaction</w:t>
      </w:r>
      <w:r>
        <w:rPr>
          <w:rFonts w:ascii="Arial" w:hAnsi="Arial" w:cs="Arial" w:hint="default"/>
        </w:rPr>
        <w:t xml:space="preserve"> in the relation of construction and implication of terms, the fact is that English contract law in the court has shown reactance in recognizing any </w:t>
      </w:r>
      <w:r w:rsidR="00486D49">
        <w:rPr>
          <w:rFonts w:ascii="Arial" w:hAnsi="Arial" w:cs="Arial" w:hint="default"/>
        </w:rPr>
        <w:t>unescapable duty of upright</w:t>
      </w:r>
      <w:r>
        <w:rPr>
          <w:rFonts w:ascii="Arial" w:hAnsi="Arial" w:cs="Arial" w:hint="default"/>
        </w:rPr>
        <w:t xml:space="preserve"> Faith</w:t>
      </w:r>
      <w:r>
        <w:rPr>
          <w:rStyle w:val="FootnoteReference"/>
          <w:rFonts w:ascii="Arial" w:hAnsi="Arial" w:cs="Arial" w:hint="default"/>
        </w:rPr>
        <w:footnoteReference w:id="10"/>
      </w:r>
      <w:r>
        <w:rPr>
          <w:rFonts w:ascii="Arial" w:hAnsi="Arial" w:cs="Arial" w:hint="default"/>
        </w:rPr>
        <w:t>.</w:t>
      </w:r>
    </w:p>
    <w:p w14:paraId="1E071B4E" w14:textId="5D9FEF53" w:rsidR="000F3A25" w:rsidRDefault="00E526CB"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Due to the</w:t>
      </w:r>
      <w:r w:rsidR="00AF1749">
        <w:rPr>
          <w:rFonts w:ascii="Arial" w:hAnsi="Arial" w:cs="Arial" w:hint="default"/>
        </w:rPr>
        <w:t xml:space="preserve"> </w:t>
      </w:r>
      <w:r>
        <w:rPr>
          <w:rFonts w:ascii="Arial" w:hAnsi="Arial" w:cs="Arial" w:hint="default"/>
        </w:rPr>
        <w:t>unwillingness</w:t>
      </w:r>
      <w:r w:rsidR="00AF1749">
        <w:rPr>
          <w:rFonts w:ascii="Arial" w:hAnsi="Arial" w:cs="Arial" w:hint="default"/>
        </w:rPr>
        <w:t xml:space="preserve"> of the England</w:t>
      </w:r>
      <w:r w:rsidR="003A5FB2">
        <w:rPr>
          <w:rFonts w:ascii="Arial" w:hAnsi="Arial" w:cs="Arial" w:hint="default"/>
        </w:rPr>
        <w:t xml:space="preserve"> law</w:t>
      </w:r>
      <w:r w:rsidR="007A6B86">
        <w:rPr>
          <w:rFonts w:ascii="Arial" w:hAnsi="Arial" w:cs="Arial" w:hint="default"/>
        </w:rPr>
        <w:t xml:space="preserve"> cou</w:t>
      </w:r>
      <w:r w:rsidR="00D55BE4">
        <w:rPr>
          <w:rFonts w:ascii="Arial" w:hAnsi="Arial" w:cs="Arial" w:hint="default"/>
        </w:rPr>
        <w:t xml:space="preserve">rts in implying the </w:t>
      </w:r>
      <w:r w:rsidR="009944F4">
        <w:rPr>
          <w:rFonts w:ascii="Arial" w:hAnsi="Arial" w:cs="Arial" w:hint="default"/>
        </w:rPr>
        <w:t>obligation</w:t>
      </w:r>
      <w:r w:rsidR="00D55BE4">
        <w:rPr>
          <w:rFonts w:ascii="Arial" w:hAnsi="Arial" w:cs="Arial" w:hint="default"/>
        </w:rPr>
        <w:t xml:space="preserve"> of upright</w:t>
      </w:r>
      <w:r w:rsidR="007A6B86">
        <w:rPr>
          <w:rFonts w:ascii="Arial" w:hAnsi="Arial" w:cs="Arial" w:hint="default"/>
        </w:rPr>
        <w:t xml:space="preserve"> faith is due to the concerns of undermining contractual honesty. Instead, Court</w:t>
      </w:r>
      <w:r w:rsidR="00F45D96">
        <w:rPr>
          <w:rFonts w:ascii="Arial" w:hAnsi="Arial" w:cs="Arial" w:hint="default"/>
        </w:rPr>
        <w:t>s in English have as stated by</w:t>
      </w:r>
      <w:r w:rsidR="00B6142E">
        <w:rPr>
          <w:rFonts w:ascii="Arial" w:hAnsi="Arial" w:cs="Arial" w:hint="default"/>
        </w:rPr>
        <w:t xml:space="preserve"> </w:t>
      </w:r>
      <w:r w:rsidR="007A6B86" w:rsidRPr="00F22F85">
        <w:rPr>
          <w:rFonts w:ascii="Arial" w:hAnsi="Arial" w:cs="Arial" w:hint="default"/>
          <w:i/>
        </w:rPr>
        <w:t>Justice Bingham</w:t>
      </w:r>
      <w:r w:rsidR="007A6B86">
        <w:rPr>
          <w:rFonts w:ascii="Arial" w:hAnsi="Arial" w:cs="Arial" w:hint="default"/>
        </w:rPr>
        <w:t xml:space="preserve"> said in </w:t>
      </w:r>
      <w:r w:rsidR="007A6B86" w:rsidRPr="00F22F85">
        <w:rPr>
          <w:rFonts w:ascii="Arial" w:hAnsi="Arial" w:cs="Arial" w:hint="default"/>
          <w:i/>
        </w:rPr>
        <w:t xml:space="preserve">Interfoto </w:t>
      </w:r>
      <w:r w:rsidR="007A6B86" w:rsidRPr="00F22F85">
        <w:rPr>
          <w:rFonts w:ascii="Arial" w:hAnsi="Arial" w:cs="Arial"/>
          <w:i/>
        </w:rPr>
        <w:t xml:space="preserve">Picture Library Ltd v Stiletto Visual </w:t>
      </w:r>
      <w:r w:rsidR="007A6B86" w:rsidRPr="00F22F85">
        <w:rPr>
          <w:rFonts w:ascii="Arial" w:hAnsi="Arial" w:cs="Arial" w:hint="default"/>
          <w:i/>
        </w:rPr>
        <w:t>Programs</w:t>
      </w:r>
      <w:r w:rsidR="007A6B86" w:rsidRPr="00F22F85">
        <w:rPr>
          <w:rFonts w:ascii="Arial" w:hAnsi="Arial" w:cs="Arial"/>
          <w:i/>
        </w:rPr>
        <w:t xml:space="preserve"> Ltd</w:t>
      </w:r>
      <w:r w:rsidR="007A6B86">
        <w:rPr>
          <w:rStyle w:val="FootnoteReference"/>
          <w:rFonts w:ascii="Arial" w:hAnsi="Arial" w:cs="Arial" w:hint="default"/>
        </w:rPr>
        <w:footnoteReference w:id="11"/>
      </w:r>
      <w:r w:rsidR="007A6B86">
        <w:rPr>
          <w:rFonts w:ascii="Arial" w:hAnsi="Arial" w:cs="Arial"/>
        </w:rPr>
        <w:t>,</w:t>
      </w:r>
      <w:r w:rsidR="007A6B86">
        <w:t xml:space="preserve"> </w:t>
      </w:r>
      <w:r w:rsidR="00B00B6E">
        <w:rPr>
          <w:rFonts w:ascii="Arial" w:hAnsi="Arial" w:cs="Arial" w:hint="default"/>
        </w:rPr>
        <w:t>wished</w:t>
      </w:r>
      <w:r w:rsidR="007A6B86">
        <w:rPr>
          <w:rFonts w:ascii="Arial" w:hAnsi="Arial" w:cs="Arial"/>
        </w:rPr>
        <w:t xml:space="preserve"> to </w:t>
      </w:r>
      <w:r w:rsidR="00B00B6E">
        <w:rPr>
          <w:rFonts w:ascii="Arial" w:hAnsi="Arial" w:cs="Arial" w:hint="default"/>
        </w:rPr>
        <w:t>progress</w:t>
      </w:r>
      <w:r w:rsidR="007A6B86">
        <w:rPr>
          <w:rFonts w:ascii="Arial" w:hAnsi="Arial" w:cs="Arial"/>
        </w:rPr>
        <w:t xml:space="preserve"> </w:t>
      </w:r>
      <w:r w:rsidR="007A6B86" w:rsidRPr="00B00B6E">
        <w:rPr>
          <w:rFonts w:ascii="Arial" w:hAnsi="Arial" w:cs="Arial"/>
          <w:i/>
        </w:rPr>
        <w:t>“</w:t>
      </w:r>
      <w:r w:rsidR="00B00B6E" w:rsidRPr="00B00B6E">
        <w:rPr>
          <w:rFonts w:ascii="Arial" w:hAnsi="Arial" w:cs="Arial" w:hint="default"/>
          <w:i/>
        </w:rPr>
        <w:t>fragmentary</w:t>
      </w:r>
      <w:r w:rsidR="007A6B86" w:rsidRPr="00B00B6E">
        <w:rPr>
          <w:rFonts w:ascii="Arial" w:hAnsi="Arial" w:cs="Arial"/>
          <w:i/>
        </w:rPr>
        <w:t xml:space="preserve"> </w:t>
      </w:r>
      <w:r w:rsidR="00B00B6E" w:rsidRPr="00B00B6E">
        <w:rPr>
          <w:rFonts w:ascii="Arial" w:hAnsi="Arial" w:cs="Arial" w:hint="default"/>
          <w:i/>
        </w:rPr>
        <w:t>explanations</w:t>
      </w:r>
      <w:r w:rsidR="007A6B86" w:rsidRPr="00B00B6E">
        <w:rPr>
          <w:rFonts w:ascii="Arial" w:hAnsi="Arial" w:cs="Arial"/>
          <w:i/>
        </w:rPr>
        <w:t xml:space="preserve"> in response to demonstrated </w:t>
      </w:r>
      <w:r w:rsidR="00B00B6E" w:rsidRPr="00B00B6E">
        <w:rPr>
          <w:rFonts w:ascii="Arial" w:hAnsi="Arial" w:cs="Arial" w:hint="default"/>
          <w:i/>
        </w:rPr>
        <w:t>glitches</w:t>
      </w:r>
      <w:r w:rsidR="007A6B86" w:rsidRPr="00B00B6E">
        <w:rPr>
          <w:rFonts w:ascii="Arial" w:hAnsi="Arial" w:cs="Arial"/>
          <w:i/>
        </w:rPr>
        <w:t xml:space="preserve"> of </w:t>
      </w:r>
      <w:r w:rsidR="00B00B6E" w:rsidRPr="00B00B6E">
        <w:rPr>
          <w:rFonts w:ascii="Arial" w:hAnsi="Arial" w:cs="Arial" w:hint="default"/>
          <w:i/>
        </w:rPr>
        <w:t>injustice</w:t>
      </w:r>
      <w:r w:rsidR="007A6B86" w:rsidRPr="00B00B6E">
        <w:rPr>
          <w:rFonts w:ascii="Arial" w:hAnsi="Arial" w:cs="Arial" w:hint="default"/>
          <w:i/>
        </w:rPr>
        <w:t>.”</w:t>
      </w:r>
      <w:r w:rsidR="007A6B86">
        <w:rPr>
          <w:rFonts w:ascii="Arial" w:hAnsi="Arial" w:cs="Arial" w:hint="default"/>
        </w:rPr>
        <w:t xml:space="preserve"> There isn’t any </w:t>
      </w:r>
      <w:r w:rsidR="007D3D5C">
        <w:rPr>
          <w:rFonts w:ascii="Arial" w:hAnsi="Arial" w:cs="Arial" w:hint="default"/>
        </w:rPr>
        <w:t>acknowledged</w:t>
      </w:r>
      <w:r w:rsidR="007A6B86">
        <w:rPr>
          <w:rFonts w:ascii="Arial" w:hAnsi="Arial" w:cs="Arial" w:hint="default"/>
        </w:rPr>
        <w:t xml:space="preserve"> </w:t>
      </w:r>
      <w:r w:rsidR="007D3D5C">
        <w:rPr>
          <w:rFonts w:ascii="Arial" w:hAnsi="Arial" w:cs="Arial" w:hint="default"/>
        </w:rPr>
        <w:t>explanation</w:t>
      </w:r>
      <w:r w:rsidR="007A6B86">
        <w:rPr>
          <w:rFonts w:ascii="Arial" w:hAnsi="Arial" w:cs="Arial" w:hint="default"/>
        </w:rPr>
        <w:t xml:space="preserve"> of the </w:t>
      </w:r>
      <w:r w:rsidR="007D3D5C">
        <w:rPr>
          <w:rFonts w:ascii="Arial" w:hAnsi="Arial" w:cs="Arial" w:hint="default"/>
        </w:rPr>
        <w:t>perception</w:t>
      </w:r>
      <w:r w:rsidR="007A6B86">
        <w:rPr>
          <w:rFonts w:ascii="Arial" w:hAnsi="Arial" w:cs="Arial" w:hint="default"/>
        </w:rPr>
        <w:t xml:space="preserve"> in English law. However,</w:t>
      </w:r>
      <w:r w:rsidR="007D3D5C">
        <w:rPr>
          <w:rFonts w:ascii="Arial" w:hAnsi="Arial" w:cs="Arial" w:hint="default"/>
        </w:rPr>
        <w:t xml:space="preserve"> during </w:t>
      </w:r>
      <w:r w:rsidR="0049263E">
        <w:rPr>
          <w:rFonts w:ascii="Arial" w:hAnsi="Arial" w:cs="Arial" w:hint="default"/>
        </w:rPr>
        <w:t>the judgment, Lord Justice Bingham defined upright</w:t>
      </w:r>
      <w:r w:rsidR="007A6B86">
        <w:rPr>
          <w:rFonts w:ascii="Arial" w:hAnsi="Arial" w:cs="Arial" w:hint="default"/>
        </w:rPr>
        <w:t xml:space="preserve"> faith as the most </w:t>
      </w:r>
      <w:r w:rsidR="00126963">
        <w:rPr>
          <w:rFonts w:ascii="Arial" w:hAnsi="Arial" w:cs="Arial" w:hint="default"/>
        </w:rPr>
        <w:t>appropriately</w:t>
      </w:r>
      <w:r w:rsidR="007A6B86">
        <w:rPr>
          <w:rFonts w:ascii="Arial" w:hAnsi="Arial" w:cs="Arial" w:hint="default"/>
        </w:rPr>
        <w:t xml:space="preserve"> showed by the </w:t>
      </w:r>
      <w:r w:rsidR="00126963">
        <w:rPr>
          <w:rFonts w:ascii="Arial" w:hAnsi="Arial" w:cs="Arial" w:hint="default"/>
        </w:rPr>
        <w:t>idioms as coming clean or acting</w:t>
      </w:r>
      <w:r w:rsidR="001C7358">
        <w:rPr>
          <w:rFonts w:ascii="Arial" w:hAnsi="Arial" w:cs="Arial" w:hint="default"/>
        </w:rPr>
        <w:t xml:space="preserve"> fair concluding.</w:t>
      </w:r>
    </w:p>
    <w:p w14:paraId="11AF410D" w14:textId="5EAEF6AD"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 xml:space="preserve">If the </w:t>
      </w:r>
      <w:r w:rsidR="003237CB">
        <w:rPr>
          <w:rFonts w:ascii="Arial" w:hAnsi="Arial" w:cs="Arial" w:hint="default"/>
        </w:rPr>
        <w:t>English court</w:t>
      </w:r>
      <w:r>
        <w:rPr>
          <w:rFonts w:ascii="Arial" w:hAnsi="Arial" w:cs="Arial" w:hint="default"/>
        </w:rPr>
        <w:t xml:space="preserve"> doesn’t define good faith in contracts, the involved parties will have </w:t>
      </w:r>
      <w:r w:rsidR="001C7358">
        <w:rPr>
          <w:rFonts w:ascii="Arial" w:hAnsi="Arial" w:cs="Arial" w:hint="default"/>
        </w:rPr>
        <w:t>a sense of argument on what upright</w:t>
      </w:r>
      <w:r>
        <w:rPr>
          <w:rFonts w:ascii="Arial" w:hAnsi="Arial" w:cs="Arial" w:hint="default"/>
        </w:rPr>
        <w:t xml:space="preserve"> faith in a contract </w:t>
      </w:r>
      <w:r w:rsidR="003237CB">
        <w:rPr>
          <w:rFonts w:ascii="Arial" w:hAnsi="Arial" w:cs="Arial" w:hint="default"/>
        </w:rPr>
        <w:t>setting</w:t>
      </w:r>
      <w:r w:rsidR="0033314A">
        <w:rPr>
          <w:rFonts w:ascii="Arial" w:hAnsi="Arial" w:cs="Arial" w:hint="default"/>
        </w:rPr>
        <w:t xml:space="preserve"> means in cases where </w:t>
      </w:r>
      <w:r w:rsidR="001325C6">
        <w:rPr>
          <w:rFonts w:ascii="Arial" w:hAnsi="Arial" w:cs="Arial" w:hint="default"/>
        </w:rPr>
        <w:t>different parties</w:t>
      </w:r>
      <w:r>
        <w:rPr>
          <w:rFonts w:ascii="Arial" w:hAnsi="Arial" w:cs="Arial" w:hint="default"/>
        </w:rPr>
        <w:t xml:space="preserve"> have </w:t>
      </w:r>
      <w:r w:rsidR="0033314A">
        <w:rPr>
          <w:rFonts w:ascii="Arial" w:hAnsi="Arial" w:cs="Arial" w:hint="default"/>
        </w:rPr>
        <w:t xml:space="preserve">comprised </w:t>
      </w:r>
      <w:r w:rsidR="009E6C46">
        <w:rPr>
          <w:rFonts w:ascii="Arial" w:hAnsi="Arial" w:cs="Arial" w:hint="default"/>
        </w:rPr>
        <w:t>upright faith</w:t>
      </w:r>
      <w:r>
        <w:rPr>
          <w:rFonts w:ascii="Arial" w:hAnsi="Arial" w:cs="Arial" w:hint="default"/>
        </w:rPr>
        <w:t xml:space="preserve"> in their contract. The </w:t>
      </w:r>
      <w:r w:rsidR="001325C6">
        <w:rPr>
          <w:rFonts w:ascii="Arial" w:hAnsi="Arial" w:cs="Arial" w:hint="default"/>
        </w:rPr>
        <w:t>method</w:t>
      </w:r>
      <w:r>
        <w:rPr>
          <w:rFonts w:ascii="Arial" w:hAnsi="Arial" w:cs="Arial" w:hint="default"/>
        </w:rPr>
        <w:t xml:space="preserve"> is that the </w:t>
      </w:r>
      <w:r w:rsidR="009E6C46">
        <w:rPr>
          <w:rFonts w:ascii="Arial" w:hAnsi="Arial" w:cs="Arial" w:hint="default"/>
        </w:rPr>
        <w:t>English law</w:t>
      </w:r>
      <w:r w:rsidR="001325C6">
        <w:rPr>
          <w:rFonts w:ascii="Arial" w:hAnsi="Arial" w:cs="Arial" w:hint="default"/>
        </w:rPr>
        <w:t xml:space="preserve"> </w:t>
      </w:r>
      <w:r>
        <w:rPr>
          <w:rFonts w:ascii="Arial" w:hAnsi="Arial" w:cs="Arial" w:hint="default"/>
        </w:rPr>
        <w:t xml:space="preserve">courts will have to seek </w:t>
      </w:r>
      <w:r w:rsidR="009E6C46">
        <w:rPr>
          <w:rFonts w:ascii="Arial" w:hAnsi="Arial" w:cs="Arial" w:hint="default"/>
        </w:rPr>
        <w:t xml:space="preserve">consequence </w:t>
      </w:r>
      <w:r w:rsidR="00A159E4">
        <w:rPr>
          <w:rFonts w:ascii="Arial" w:hAnsi="Arial" w:cs="Arial" w:hint="default"/>
        </w:rPr>
        <w:t>of expressing</w:t>
      </w:r>
      <w:r>
        <w:rPr>
          <w:rFonts w:ascii="Arial" w:hAnsi="Arial" w:cs="Arial" w:hint="default"/>
        </w:rPr>
        <w:t xml:space="preserve"> provisions that </w:t>
      </w:r>
      <w:r w:rsidR="00A159E4">
        <w:rPr>
          <w:rFonts w:ascii="Arial" w:hAnsi="Arial" w:cs="Arial" w:hint="default"/>
        </w:rPr>
        <w:t>tell to the real</w:t>
      </w:r>
      <w:r>
        <w:rPr>
          <w:rFonts w:ascii="Arial" w:hAnsi="Arial" w:cs="Arial" w:hint="default"/>
        </w:rPr>
        <w:t xml:space="preserve"> </w:t>
      </w:r>
      <w:r w:rsidR="00A159E4">
        <w:rPr>
          <w:rFonts w:ascii="Arial" w:hAnsi="Arial" w:cs="Arial" w:hint="default"/>
        </w:rPr>
        <w:t>act</w:t>
      </w:r>
      <w:r>
        <w:rPr>
          <w:rFonts w:ascii="Arial" w:hAnsi="Arial" w:cs="Arial" w:hint="default"/>
        </w:rPr>
        <w:t xml:space="preserve"> of a specific </w:t>
      </w:r>
      <w:r w:rsidR="000435E2">
        <w:rPr>
          <w:rFonts w:ascii="Arial" w:hAnsi="Arial" w:cs="Arial" w:hint="default"/>
        </w:rPr>
        <w:t>responsibility</w:t>
      </w:r>
      <w:r>
        <w:rPr>
          <w:rFonts w:ascii="Arial" w:hAnsi="Arial" w:cs="Arial" w:hint="default"/>
        </w:rPr>
        <w:t xml:space="preserve">. </w:t>
      </w:r>
    </w:p>
    <w:p w14:paraId="0B5F4EAA" w14:textId="17AAFF61" w:rsidR="000F3A25" w:rsidRDefault="00BA37D8"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The court judgment in</w:t>
      </w:r>
      <w:r w:rsidR="007A6B86">
        <w:rPr>
          <w:rFonts w:ascii="Arial" w:hAnsi="Arial" w:cs="Arial" w:hint="default"/>
        </w:rPr>
        <w:t xml:space="preserve"> 2003 case that involved </w:t>
      </w:r>
      <w:r w:rsidR="007A6B86" w:rsidRPr="00F617EB">
        <w:rPr>
          <w:rFonts w:ascii="Arial" w:hAnsi="Arial" w:cs="Arial" w:hint="default"/>
          <w:i/>
        </w:rPr>
        <w:t>Yam Seng pte vs. International Trade Corporation Ltd</w:t>
      </w:r>
      <w:r w:rsidR="007A6B86">
        <w:rPr>
          <w:rStyle w:val="FootnoteReference"/>
          <w:rFonts w:ascii="Arial" w:hAnsi="Arial" w:cs="Arial" w:hint="default"/>
        </w:rPr>
        <w:footnoteReference w:id="12"/>
      </w:r>
      <w:r>
        <w:rPr>
          <w:rFonts w:ascii="Arial" w:hAnsi="Arial" w:cs="Arial" w:hint="default"/>
        </w:rPr>
        <w:t xml:space="preserve"> had</w:t>
      </w:r>
      <w:r w:rsidR="007A6B86">
        <w:rPr>
          <w:rFonts w:ascii="Arial" w:hAnsi="Arial" w:cs="Arial" w:hint="default"/>
        </w:rPr>
        <w:t xml:space="preserve"> expectations that the court would be </w:t>
      </w:r>
      <w:r w:rsidR="00F617EB">
        <w:rPr>
          <w:rFonts w:ascii="Arial" w:hAnsi="Arial" w:cs="Arial" w:hint="default"/>
        </w:rPr>
        <w:t>exposed</w:t>
      </w:r>
      <w:r w:rsidR="007A6B86">
        <w:rPr>
          <w:rFonts w:ascii="Arial" w:hAnsi="Arial" w:cs="Arial" w:hint="default"/>
        </w:rPr>
        <w:t xml:space="preserve"> to th</w:t>
      </w:r>
      <w:r w:rsidR="0088676A">
        <w:rPr>
          <w:rFonts w:ascii="Arial" w:hAnsi="Arial" w:cs="Arial" w:hint="default"/>
        </w:rPr>
        <w:t xml:space="preserve">e </w:t>
      </w:r>
      <w:r w:rsidR="00F617EB">
        <w:rPr>
          <w:rFonts w:ascii="Arial" w:hAnsi="Arial" w:cs="Arial" w:hint="default"/>
        </w:rPr>
        <w:t>universal</w:t>
      </w:r>
      <w:r w:rsidR="0088676A">
        <w:rPr>
          <w:rFonts w:ascii="Arial" w:hAnsi="Arial" w:cs="Arial" w:hint="default"/>
        </w:rPr>
        <w:t xml:space="preserve"> role of upright</w:t>
      </w:r>
      <w:r w:rsidR="007A6B86">
        <w:rPr>
          <w:rFonts w:ascii="Arial" w:hAnsi="Arial" w:cs="Arial" w:hint="default"/>
        </w:rPr>
        <w:t xml:space="preserve"> faith being indicated mostly in the </w:t>
      </w:r>
      <w:r w:rsidR="00F617EB">
        <w:rPr>
          <w:rFonts w:ascii="Arial" w:hAnsi="Arial" w:cs="Arial" w:hint="default"/>
        </w:rPr>
        <w:t>profitable</w:t>
      </w:r>
      <w:r w:rsidR="007A6B86">
        <w:rPr>
          <w:rFonts w:ascii="Arial" w:hAnsi="Arial" w:cs="Arial" w:hint="default"/>
        </w:rPr>
        <w:t xml:space="preserve"> contracts. A number of other cases, recently MSC </w:t>
      </w:r>
      <w:r w:rsidR="00E70BB4">
        <w:rPr>
          <w:rFonts w:ascii="Arial" w:hAnsi="Arial" w:cs="Arial" w:hint="default"/>
        </w:rPr>
        <w:t>shadowed</w:t>
      </w:r>
      <w:r w:rsidR="007A6B86">
        <w:rPr>
          <w:rFonts w:ascii="Arial" w:hAnsi="Arial" w:cs="Arial" w:hint="default"/>
        </w:rPr>
        <w:t xml:space="preserve"> the </w:t>
      </w:r>
      <w:r w:rsidR="00E70BB4">
        <w:rPr>
          <w:rFonts w:ascii="Arial" w:hAnsi="Arial" w:cs="Arial" w:hint="default"/>
        </w:rPr>
        <w:t>method</w:t>
      </w:r>
      <w:r w:rsidR="007A6B86">
        <w:rPr>
          <w:rFonts w:ascii="Arial" w:hAnsi="Arial" w:cs="Arial" w:hint="default"/>
        </w:rPr>
        <w:t xml:space="preserve"> used by Yam Seng</w:t>
      </w:r>
      <w:r w:rsidR="007A6B86">
        <w:rPr>
          <w:rStyle w:val="FootnoteReference"/>
          <w:rFonts w:ascii="Arial" w:hAnsi="Arial" w:cs="Arial" w:hint="default"/>
        </w:rPr>
        <w:footnoteReference w:id="13"/>
      </w:r>
      <w:r w:rsidR="004324EC">
        <w:rPr>
          <w:rFonts w:ascii="Arial" w:hAnsi="Arial" w:cs="Arial" w:hint="default"/>
        </w:rPr>
        <w:t>. However, appeal court</w:t>
      </w:r>
      <w:r w:rsidR="007A6B86">
        <w:rPr>
          <w:rFonts w:ascii="Arial" w:hAnsi="Arial" w:cs="Arial" w:hint="default"/>
        </w:rPr>
        <w:t xml:space="preserve"> </w:t>
      </w:r>
      <w:r w:rsidR="00405BEF">
        <w:rPr>
          <w:rFonts w:ascii="Arial" w:hAnsi="Arial" w:cs="Arial" w:hint="default"/>
        </w:rPr>
        <w:t>did overturn</w:t>
      </w:r>
      <w:r w:rsidR="007A6B86">
        <w:rPr>
          <w:rFonts w:ascii="Arial" w:hAnsi="Arial" w:cs="Arial" w:hint="default"/>
        </w:rPr>
        <w:t xml:space="preserve"> the MSC decision which </w:t>
      </w:r>
      <w:r w:rsidR="007A6B86">
        <w:rPr>
          <w:rFonts w:ascii="Arial" w:hAnsi="Arial" w:cs="Arial" w:hint="default"/>
        </w:rPr>
        <w:lastRenderedPageBreak/>
        <w:t>was recently reverted to the historical position that English courts do not re</w:t>
      </w:r>
      <w:r w:rsidR="00662197">
        <w:rPr>
          <w:rFonts w:ascii="Arial" w:hAnsi="Arial" w:cs="Arial" w:hint="default"/>
        </w:rPr>
        <w:t>cognize the overall duty of upright</w:t>
      </w:r>
      <w:r w:rsidR="007A6B86">
        <w:rPr>
          <w:rFonts w:ascii="Arial" w:hAnsi="Arial" w:cs="Arial" w:hint="default"/>
        </w:rPr>
        <w:t xml:space="preserve"> faith. </w:t>
      </w:r>
    </w:p>
    <w:p w14:paraId="62599969" w14:textId="761F1101"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 xml:space="preserve">5. The </w:t>
      </w:r>
      <w:r w:rsidR="00F8689A" w:rsidRPr="00D537DE">
        <w:rPr>
          <w:rFonts w:ascii="Arial" w:hAnsi="Arial" w:cs="Arial" w:hint="default"/>
          <w:b/>
        </w:rPr>
        <w:t>unwillingness</w:t>
      </w:r>
      <w:r w:rsidRPr="00D537DE">
        <w:rPr>
          <w:rFonts w:ascii="Arial" w:hAnsi="Arial" w:cs="Arial" w:hint="default"/>
          <w:b/>
        </w:rPr>
        <w:t xml:space="preserve"> of English Courts </w:t>
      </w:r>
    </w:p>
    <w:p w14:paraId="225F4031" w14:textId="652157F4"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Historically English courts have shown reluctance in implying good faith. In the courts where there are two or more parties negotiating contract terms, each party is deemed to have the ability to check out on its own interests in both the negotiating and performance of the contract</w:t>
      </w:r>
      <w:r>
        <w:rPr>
          <w:rStyle w:val="FootnoteReference"/>
          <w:rFonts w:ascii="Arial" w:hAnsi="Arial" w:cs="Arial" w:hint="default"/>
        </w:rPr>
        <w:footnoteReference w:id="14"/>
      </w:r>
      <w:r>
        <w:rPr>
          <w:rFonts w:ascii="Arial" w:hAnsi="Arial" w:cs="Arial" w:hint="default"/>
        </w:rPr>
        <w:t xml:space="preserve">. By applying good faith, it would work against this. Due to this nature the British </w:t>
      </w:r>
      <w:r w:rsidR="00405BEF">
        <w:rPr>
          <w:rFonts w:ascii="Arial" w:hAnsi="Arial" w:cs="Arial" w:hint="default"/>
        </w:rPr>
        <w:t xml:space="preserve">law </w:t>
      </w:r>
      <w:r>
        <w:rPr>
          <w:rFonts w:ascii="Arial" w:hAnsi="Arial" w:cs="Arial" w:hint="default"/>
        </w:rPr>
        <w:t>courts have termed the implication of good faith as vague since it would bring uncertainty since the parties agree their obligations under a contract. Courts have also preferred a piece meal solution to unfairness in certain contracts. Courts depend on implication and construction when appropriate instead of having an overarching principle</w:t>
      </w:r>
      <w:r>
        <w:rPr>
          <w:rStyle w:val="FootnoteReference"/>
          <w:rFonts w:ascii="Arial" w:hAnsi="Arial" w:cs="Arial" w:hint="default"/>
        </w:rPr>
        <w:footnoteReference w:id="15"/>
      </w:r>
      <w:r>
        <w:rPr>
          <w:rFonts w:ascii="Arial" w:hAnsi="Arial" w:cs="Arial" w:hint="default"/>
        </w:rPr>
        <w:t>. In many cases, courts have implied good faith when the contract lacks practical or commercial coherence which is very rare.</w:t>
      </w:r>
    </w:p>
    <w:p w14:paraId="32CA98DC" w14:textId="66464563" w:rsidR="00871F2D" w:rsidRPr="00871F2D" w:rsidRDefault="00871F2D" w:rsidP="00871F2D">
      <w:pPr>
        <w:pStyle w:val="HTMLPreformatted"/>
        <w:shd w:val="clear" w:color="auto" w:fill="FFFFFF"/>
        <w:spacing w:afterLines="100" w:after="240" w:line="360" w:lineRule="auto"/>
        <w:jc w:val="both"/>
        <w:rPr>
          <w:rFonts w:ascii="Arial" w:hAnsi="Arial" w:cs="Arial" w:hint="default"/>
          <w:b/>
        </w:rPr>
      </w:pPr>
      <w:r w:rsidRPr="00871F2D">
        <w:rPr>
          <w:rFonts w:ascii="Arial" w:hAnsi="Arial" w:cs="Arial"/>
          <w:b/>
        </w:rPr>
        <w:t xml:space="preserve">Will good faith become a </w:t>
      </w:r>
      <w:r w:rsidR="002A7D73">
        <w:rPr>
          <w:rFonts w:ascii="Arial" w:hAnsi="Arial" w:cs="Arial" w:hint="default"/>
          <w:b/>
        </w:rPr>
        <w:t>recogniz</w:t>
      </w:r>
      <w:r w:rsidR="002A7D73" w:rsidRPr="00871F2D">
        <w:rPr>
          <w:rFonts w:ascii="Arial" w:hAnsi="Arial" w:cs="Arial" w:hint="default"/>
          <w:b/>
        </w:rPr>
        <w:t>ed</w:t>
      </w:r>
      <w:r w:rsidRPr="00871F2D">
        <w:rPr>
          <w:rFonts w:ascii="Arial" w:hAnsi="Arial" w:cs="Arial"/>
          <w:b/>
        </w:rPr>
        <w:t xml:space="preserve"> in common law</w:t>
      </w:r>
      <w:r w:rsidR="002A7D73">
        <w:rPr>
          <w:rFonts w:ascii="Arial" w:hAnsi="Arial" w:cs="Arial" w:hint="default"/>
          <w:b/>
        </w:rPr>
        <w:t>?</w:t>
      </w:r>
    </w:p>
    <w:p w14:paraId="2156ECFE" w14:textId="64ACF2FE" w:rsidR="00871F2D" w:rsidRPr="00871F2D" w:rsidRDefault="00871F2D" w:rsidP="00871F2D">
      <w:pPr>
        <w:pStyle w:val="HTMLPreformatted"/>
        <w:shd w:val="clear" w:color="auto" w:fill="FFFFFF"/>
        <w:spacing w:afterLines="100" w:after="240" w:line="360" w:lineRule="auto"/>
        <w:jc w:val="both"/>
        <w:rPr>
          <w:rFonts w:ascii="Arial" w:hAnsi="Arial" w:cs="Arial" w:hint="default"/>
        </w:rPr>
      </w:pPr>
      <w:r w:rsidRPr="00871F2D">
        <w:rPr>
          <w:rFonts w:ascii="Arial" w:hAnsi="Arial" w:cs="Arial"/>
        </w:rPr>
        <w:t>It is said that</w:t>
      </w:r>
      <w:r w:rsidR="00381485">
        <w:rPr>
          <w:rFonts w:ascii="Arial" w:hAnsi="Arial" w:cs="Arial"/>
        </w:rPr>
        <w:t xml:space="preserve"> good faith will become </w:t>
      </w:r>
      <w:r w:rsidR="002A7D73">
        <w:rPr>
          <w:rFonts w:ascii="Arial" w:hAnsi="Arial" w:cs="Arial" w:hint="default"/>
        </w:rPr>
        <w:t>recogniz</w:t>
      </w:r>
      <w:r w:rsidR="002A7D73" w:rsidRPr="00871F2D">
        <w:rPr>
          <w:rFonts w:ascii="Arial" w:hAnsi="Arial" w:cs="Arial" w:hint="default"/>
        </w:rPr>
        <w:t>ed</w:t>
      </w:r>
      <w:r w:rsidRPr="00871F2D">
        <w:rPr>
          <w:rFonts w:ascii="Arial" w:hAnsi="Arial" w:cs="Arial"/>
        </w:rPr>
        <w:t xml:space="preserve"> as a principle in the courts</w:t>
      </w:r>
      <w:r w:rsidR="002A7D73">
        <w:rPr>
          <w:rFonts w:ascii="Arial" w:hAnsi="Arial" w:cs="Arial" w:hint="default"/>
        </w:rPr>
        <w:t>?</w:t>
      </w:r>
      <w:r w:rsidRPr="00871F2D">
        <w:rPr>
          <w:rFonts w:ascii="Arial" w:hAnsi="Arial" w:cs="Arial"/>
        </w:rPr>
        <w:t xml:space="preserve"> These are by lowering barriers and increasing the incentive of the recognition</w:t>
      </w:r>
      <w:r w:rsidR="006808C9">
        <w:rPr>
          <w:rStyle w:val="FootnoteReference"/>
          <w:rFonts w:ascii="Arial" w:hAnsi="Arial" w:cs="Arial" w:hint="default"/>
        </w:rPr>
        <w:footnoteReference w:id="16"/>
      </w:r>
      <w:r w:rsidRPr="00871F2D">
        <w:rPr>
          <w:rFonts w:ascii="Arial" w:hAnsi="Arial" w:cs="Arial"/>
        </w:rPr>
        <w:t xml:space="preserve">. In lowering the barriers there is an erosion of obstacles in the common law courts that resist its recognition of the good will principle, they are composed of individualism reason, and uncertainty reason. If these reasons are resolved there would be nothing to resist the common law from </w:t>
      </w:r>
      <w:r w:rsidR="00D8458B" w:rsidRPr="00871F2D">
        <w:rPr>
          <w:rFonts w:ascii="Arial" w:hAnsi="Arial" w:cs="Arial" w:hint="default"/>
        </w:rPr>
        <w:t>recognizing</w:t>
      </w:r>
      <w:r w:rsidR="00D8458B">
        <w:rPr>
          <w:rFonts w:ascii="Arial" w:hAnsi="Arial" w:cs="Arial"/>
        </w:rPr>
        <w:t xml:space="preserve"> upright</w:t>
      </w:r>
      <w:r w:rsidRPr="00871F2D">
        <w:rPr>
          <w:rFonts w:ascii="Arial" w:hAnsi="Arial" w:cs="Arial"/>
        </w:rPr>
        <w:t xml:space="preserve"> faith principle.</w:t>
      </w:r>
    </w:p>
    <w:p w14:paraId="1ECE812D" w14:textId="2F69E451" w:rsidR="00871F2D" w:rsidRPr="00871F2D" w:rsidRDefault="00871F2D" w:rsidP="00871F2D">
      <w:pPr>
        <w:pStyle w:val="HTMLPreformatted"/>
        <w:shd w:val="clear" w:color="auto" w:fill="FFFFFF"/>
        <w:spacing w:afterLines="100" w:after="240" w:line="360" w:lineRule="auto"/>
        <w:jc w:val="both"/>
        <w:rPr>
          <w:rFonts w:ascii="Arial" w:hAnsi="Arial" w:cs="Arial" w:hint="default"/>
        </w:rPr>
      </w:pPr>
      <w:r w:rsidRPr="00871F2D">
        <w:rPr>
          <w:rFonts w:ascii="Arial" w:hAnsi="Arial" w:cs="Arial"/>
        </w:rPr>
        <w:t xml:space="preserve">The Refuting of the individual reason obstacle postulates the ethos of the </w:t>
      </w:r>
      <w:r w:rsidR="00C556D9" w:rsidRPr="00871F2D">
        <w:rPr>
          <w:rFonts w:ascii="Arial" w:hAnsi="Arial" w:cs="Arial" w:hint="default"/>
        </w:rPr>
        <w:t>self-centeredness</w:t>
      </w:r>
      <w:r w:rsidRPr="00871F2D">
        <w:rPr>
          <w:rFonts w:ascii="Arial" w:hAnsi="Arial" w:cs="Arial"/>
        </w:rPr>
        <w:t xml:space="preserve"> inherent is </w:t>
      </w:r>
      <w:r w:rsidR="0065649C" w:rsidRPr="00871F2D">
        <w:rPr>
          <w:rFonts w:ascii="Arial" w:hAnsi="Arial" w:cs="Arial" w:hint="default"/>
        </w:rPr>
        <w:t>conflicting</w:t>
      </w:r>
      <w:r w:rsidRPr="00871F2D">
        <w:rPr>
          <w:rFonts w:ascii="Arial" w:hAnsi="Arial" w:cs="Arial"/>
        </w:rPr>
        <w:t xml:space="preserve"> to the </w:t>
      </w:r>
      <w:r w:rsidR="0065649C" w:rsidRPr="00871F2D">
        <w:rPr>
          <w:rFonts w:ascii="Arial" w:hAnsi="Arial" w:cs="Arial" w:hint="default"/>
        </w:rPr>
        <w:t>obligation</w:t>
      </w:r>
      <w:r w:rsidR="00BC7585">
        <w:rPr>
          <w:rFonts w:ascii="Arial" w:hAnsi="Arial" w:cs="Arial"/>
        </w:rPr>
        <w:t xml:space="preserve"> of acting in upright</w:t>
      </w:r>
      <w:r w:rsidRPr="00871F2D">
        <w:rPr>
          <w:rFonts w:ascii="Arial" w:hAnsi="Arial" w:cs="Arial"/>
        </w:rPr>
        <w:t xml:space="preserve"> faith in a common law contract. On another view, </w:t>
      </w:r>
      <w:r w:rsidR="00DB0A42" w:rsidRPr="00871F2D">
        <w:rPr>
          <w:rFonts w:ascii="Arial" w:hAnsi="Arial" w:cs="Arial" w:hint="default"/>
        </w:rPr>
        <w:t>a</w:t>
      </w:r>
      <w:r w:rsidRPr="00871F2D">
        <w:rPr>
          <w:rFonts w:ascii="Arial" w:hAnsi="Arial" w:cs="Arial"/>
        </w:rPr>
        <w:t xml:space="preserve"> </w:t>
      </w:r>
      <w:r w:rsidR="00DB0A42" w:rsidRPr="00871F2D">
        <w:rPr>
          <w:rFonts w:ascii="Arial" w:hAnsi="Arial" w:cs="Arial" w:hint="default"/>
        </w:rPr>
        <w:t>confrontational</w:t>
      </w:r>
      <w:r w:rsidRPr="00871F2D">
        <w:rPr>
          <w:rFonts w:ascii="Arial" w:hAnsi="Arial" w:cs="Arial"/>
        </w:rPr>
        <w:t xml:space="preserve"> and </w:t>
      </w:r>
      <w:r w:rsidR="00DB0A42" w:rsidRPr="00871F2D">
        <w:rPr>
          <w:rFonts w:ascii="Arial" w:hAnsi="Arial" w:cs="Arial" w:hint="default"/>
        </w:rPr>
        <w:t>self-centered</w:t>
      </w:r>
      <w:r w:rsidRPr="00871F2D">
        <w:rPr>
          <w:rFonts w:ascii="Arial" w:hAnsi="Arial" w:cs="Arial"/>
        </w:rPr>
        <w:t xml:space="preserve"> partnership is not a must</w:t>
      </w:r>
      <w:r w:rsidR="00726DFF">
        <w:rPr>
          <w:rFonts w:ascii="Arial" w:hAnsi="Arial" w:cs="Arial"/>
        </w:rPr>
        <w:t xml:space="preserve"> at odds required to act in upright</w:t>
      </w:r>
      <w:r w:rsidRPr="00871F2D">
        <w:rPr>
          <w:rFonts w:ascii="Arial" w:hAnsi="Arial" w:cs="Arial"/>
        </w:rPr>
        <w:t xml:space="preserve"> f</w:t>
      </w:r>
      <w:r w:rsidR="00726DFF">
        <w:rPr>
          <w:rFonts w:ascii="Arial" w:hAnsi="Arial" w:cs="Arial"/>
        </w:rPr>
        <w:t>aith. Upright</w:t>
      </w:r>
      <w:r w:rsidRPr="00871F2D">
        <w:rPr>
          <w:rFonts w:ascii="Arial" w:hAnsi="Arial" w:cs="Arial"/>
        </w:rPr>
        <w:t xml:space="preserve"> faith is never co-extensive with </w:t>
      </w:r>
      <w:r w:rsidR="00A74439" w:rsidRPr="00871F2D">
        <w:rPr>
          <w:rFonts w:ascii="Arial" w:hAnsi="Arial" w:cs="Arial" w:hint="default"/>
        </w:rPr>
        <w:t>unselfishness</w:t>
      </w:r>
      <w:r w:rsidRPr="00871F2D">
        <w:rPr>
          <w:rFonts w:ascii="Arial" w:hAnsi="Arial" w:cs="Arial"/>
        </w:rPr>
        <w:t xml:space="preserve">; it </w:t>
      </w:r>
      <w:r w:rsidR="0093331A" w:rsidRPr="00871F2D">
        <w:rPr>
          <w:rFonts w:ascii="Arial" w:hAnsi="Arial" w:cs="Arial" w:hint="default"/>
        </w:rPr>
        <w:t>doesn’t</w:t>
      </w:r>
      <w:r w:rsidRPr="00871F2D">
        <w:rPr>
          <w:rFonts w:ascii="Arial" w:hAnsi="Arial" w:cs="Arial"/>
        </w:rPr>
        <w:t xml:space="preserve"> need a party to make a </w:t>
      </w:r>
      <w:r w:rsidRPr="00871F2D">
        <w:rPr>
          <w:rFonts w:ascii="Arial" w:hAnsi="Arial" w:cs="Arial"/>
        </w:rPr>
        <w:lastRenderedPageBreak/>
        <w:t>concession in regards to other parts interest</w:t>
      </w:r>
      <w:r w:rsidR="0093331A">
        <w:rPr>
          <w:rStyle w:val="FootnoteReference"/>
          <w:rFonts w:ascii="Arial" w:hAnsi="Arial" w:cs="Arial" w:hint="default"/>
        </w:rPr>
        <w:footnoteReference w:id="17"/>
      </w:r>
      <w:r w:rsidRPr="00871F2D">
        <w:rPr>
          <w:rFonts w:ascii="Arial" w:hAnsi="Arial" w:cs="Arial"/>
        </w:rPr>
        <w:t xml:space="preserve">. For instance, when a lawyer is representing a client in court in view of common law, the lawyer would be </w:t>
      </w:r>
      <w:r w:rsidR="00490DA8" w:rsidRPr="00871F2D">
        <w:rPr>
          <w:rFonts w:ascii="Arial" w:hAnsi="Arial" w:cs="Arial" w:hint="default"/>
        </w:rPr>
        <w:t>branded</w:t>
      </w:r>
      <w:r w:rsidR="00490DA8">
        <w:rPr>
          <w:rFonts w:ascii="Arial" w:hAnsi="Arial" w:cs="Arial"/>
        </w:rPr>
        <w:t xml:space="preserve"> to be having a</w:t>
      </w:r>
      <w:r w:rsidRPr="00871F2D">
        <w:rPr>
          <w:rFonts w:ascii="Arial" w:hAnsi="Arial" w:cs="Arial"/>
        </w:rPr>
        <w:t xml:space="preserve"> </w:t>
      </w:r>
      <w:r w:rsidR="00490DA8" w:rsidRPr="00871F2D">
        <w:rPr>
          <w:rFonts w:ascii="Arial" w:hAnsi="Arial" w:cs="Arial" w:hint="default"/>
        </w:rPr>
        <w:t>confrontational</w:t>
      </w:r>
      <w:r w:rsidRPr="00871F2D">
        <w:rPr>
          <w:rFonts w:ascii="Arial" w:hAnsi="Arial" w:cs="Arial"/>
        </w:rPr>
        <w:t xml:space="preserve"> </w:t>
      </w:r>
      <w:r w:rsidR="009C06E6" w:rsidRPr="00871F2D">
        <w:rPr>
          <w:rFonts w:ascii="Arial" w:hAnsi="Arial" w:cs="Arial" w:hint="default"/>
        </w:rPr>
        <w:t>association</w:t>
      </w:r>
      <w:r w:rsidRPr="00871F2D">
        <w:rPr>
          <w:rFonts w:ascii="Arial" w:hAnsi="Arial" w:cs="Arial"/>
        </w:rPr>
        <w:t xml:space="preserve"> with each other. Advancement of self-interest is conditioned through a requirement to act in good faith, on the extent that it requires keeping off from bad faith conduct</w:t>
      </w:r>
      <w:r w:rsidR="00E40A9E">
        <w:rPr>
          <w:rStyle w:val="FootnoteReference"/>
          <w:rFonts w:ascii="Arial" w:hAnsi="Arial" w:cs="Arial" w:hint="default"/>
        </w:rPr>
        <w:footnoteReference w:id="18"/>
      </w:r>
      <w:r w:rsidRPr="00871F2D">
        <w:rPr>
          <w:rFonts w:ascii="Arial" w:hAnsi="Arial" w:cs="Arial"/>
        </w:rPr>
        <w:t>. Thus, a general good faith principle never conflicts the ethos of the common law of self-interest.</w:t>
      </w:r>
      <w:r w:rsidR="00876B52" w:rsidRPr="00876B52">
        <w:rPr>
          <w:rFonts w:ascii="Arial" w:hAnsi="Arial" w:cs="Arial"/>
        </w:rPr>
        <w:t xml:space="preserve"> </w:t>
      </w:r>
      <w:r w:rsidR="00876B52" w:rsidRPr="00871F2D">
        <w:rPr>
          <w:rFonts w:ascii="Arial" w:hAnsi="Arial" w:cs="Arial"/>
        </w:rPr>
        <w:t xml:space="preserve">These are </w:t>
      </w:r>
      <w:r w:rsidR="00876B52" w:rsidRPr="00871F2D">
        <w:rPr>
          <w:rFonts w:ascii="Arial" w:hAnsi="Arial" w:cs="Arial" w:hint="default"/>
        </w:rPr>
        <w:t>obvious</w:t>
      </w:r>
      <w:r w:rsidR="00876B52" w:rsidRPr="00871F2D">
        <w:rPr>
          <w:rFonts w:ascii="Arial" w:hAnsi="Arial" w:cs="Arial"/>
        </w:rPr>
        <w:t xml:space="preserve"> from the </w:t>
      </w:r>
      <w:r w:rsidR="00876B52" w:rsidRPr="00871F2D">
        <w:rPr>
          <w:rFonts w:ascii="Arial" w:hAnsi="Arial" w:cs="Arial" w:hint="default"/>
        </w:rPr>
        <w:t>fragmentary</w:t>
      </w:r>
      <w:r w:rsidR="00876B52" w:rsidRPr="00871F2D">
        <w:rPr>
          <w:rFonts w:ascii="Arial" w:hAnsi="Arial" w:cs="Arial"/>
        </w:rPr>
        <w:t xml:space="preserve"> </w:t>
      </w:r>
      <w:r w:rsidR="00876B52" w:rsidRPr="00871F2D">
        <w:rPr>
          <w:rFonts w:ascii="Arial" w:hAnsi="Arial" w:cs="Arial" w:hint="default"/>
        </w:rPr>
        <w:t>explanation</w:t>
      </w:r>
      <w:r w:rsidR="00876B52" w:rsidRPr="00871F2D">
        <w:rPr>
          <w:rFonts w:ascii="Arial" w:hAnsi="Arial" w:cs="Arial"/>
        </w:rPr>
        <w:t xml:space="preserve"> that is </w:t>
      </w:r>
      <w:r w:rsidR="006D4F85" w:rsidRPr="00871F2D">
        <w:rPr>
          <w:rFonts w:ascii="Arial" w:hAnsi="Arial" w:cs="Arial" w:hint="default"/>
        </w:rPr>
        <w:t>established</w:t>
      </w:r>
      <w:r w:rsidR="006D4F85">
        <w:rPr>
          <w:rFonts w:ascii="Arial" w:hAnsi="Arial" w:cs="Arial"/>
        </w:rPr>
        <w:t xml:space="preserve"> by the common la</w:t>
      </w:r>
      <w:r w:rsidR="00876B52" w:rsidRPr="00871F2D">
        <w:rPr>
          <w:rFonts w:ascii="Arial" w:hAnsi="Arial" w:cs="Arial"/>
        </w:rPr>
        <w:t xml:space="preserve">w to deal with </w:t>
      </w:r>
      <w:r w:rsidR="006D4F85" w:rsidRPr="00871F2D">
        <w:rPr>
          <w:rFonts w:ascii="Arial" w:hAnsi="Arial" w:cs="Arial" w:hint="default"/>
        </w:rPr>
        <w:t>evil</w:t>
      </w:r>
      <w:r w:rsidR="00876B52" w:rsidRPr="00871F2D">
        <w:rPr>
          <w:rFonts w:ascii="Arial" w:hAnsi="Arial" w:cs="Arial"/>
        </w:rPr>
        <w:t xml:space="preserve"> faith conduct.</w:t>
      </w:r>
    </w:p>
    <w:p w14:paraId="76912275" w14:textId="7BD3EE20" w:rsidR="00871F2D" w:rsidRDefault="00871F2D" w:rsidP="00D537DE">
      <w:pPr>
        <w:pStyle w:val="HTMLPreformatted"/>
        <w:shd w:val="clear" w:color="auto" w:fill="FFFFFF"/>
        <w:spacing w:afterLines="100" w:after="240" w:line="360" w:lineRule="auto"/>
        <w:jc w:val="both"/>
        <w:rPr>
          <w:rFonts w:ascii="Arial" w:hAnsi="Arial" w:cs="Arial" w:hint="default"/>
        </w:rPr>
      </w:pPr>
      <w:r w:rsidRPr="00871F2D">
        <w:rPr>
          <w:rFonts w:ascii="Arial" w:hAnsi="Arial" w:cs="Arial"/>
        </w:rPr>
        <w:t>The other obstac</w:t>
      </w:r>
      <w:r w:rsidR="0023304D">
        <w:rPr>
          <w:rFonts w:ascii="Arial" w:hAnsi="Arial" w:cs="Arial"/>
        </w:rPr>
        <w:t xml:space="preserve">le that hinders good </w:t>
      </w:r>
      <w:r w:rsidR="00E73D3D">
        <w:rPr>
          <w:rFonts w:ascii="Arial" w:hAnsi="Arial" w:cs="Arial" w:hint="default"/>
        </w:rPr>
        <w:t xml:space="preserve">faith </w:t>
      </w:r>
      <w:r w:rsidR="00E73D3D" w:rsidRPr="00871F2D">
        <w:rPr>
          <w:rFonts w:ascii="Arial" w:hAnsi="Arial" w:cs="Arial" w:hint="default"/>
        </w:rPr>
        <w:t>is</w:t>
      </w:r>
      <w:r w:rsidRPr="00871F2D">
        <w:rPr>
          <w:rFonts w:ascii="Arial" w:hAnsi="Arial" w:cs="Arial"/>
        </w:rPr>
        <w:t xml:space="preserve"> uncertainty; uncertainty is on the view that good faith is vague. Some</w:t>
      </w:r>
      <w:r w:rsidR="00E73D3D">
        <w:rPr>
          <w:rFonts w:ascii="Arial" w:hAnsi="Arial" w:cs="Arial" w:hint="default"/>
        </w:rPr>
        <w:t xml:space="preserve"> </w:t>
      </w:r>
      <w:r w:rsidR="00BF2075">
        <w:rPr>
          <w:rFonts w:ascii="Arial" w:hAnsi="Arial" w:cs="Arial" w:hint="default"/>
        </w:rPr>
        <w:t xml:space="preserve">people </w:t>
      </w:r>
      <w:r w:rsidR="00BF2075" w:rsidRPr="00871F2D">
        <w:rPr>
          <w:rFonts w:ascii="Arial" w:hAnsi="Arial" w:cs="Arial" w:hint="default"/>
        </w:rPr>
        <w:t>view</w:t>
      </w:r>
      <w:r w:rsidR="00BF2075">
        <w:rPr>
          <w:rFonts w:ascii="Arial" w:hAnsi="Arial" w:cs="Arial"/>
        </w:rPr>
        <w:t xml:space="preserve"> that upright</w:t>
      </w:r>
      <w:r w:rsidRPr="00871F2D">
        <w:rPr>
          <w:rFonts w:ascii="Arial" w:hAnsi="Arial" w:cs="Arial"/>
        </w:rPr>
        <w:t xml:space="preserve"> faith brings about the exclusion of the bad faith, on the other hand, it imports rationality, honesty, far and opens dealing, reasonableness or fidelity to the bargain. Costs and Delays are incurred when the question of what good faith effect meant in a given case to be litigated</w:t>
      </w:r>
      <w:r w:rsidR="00F23B8A">
        <w:rPr>
          <w:rStyle w:val="FootnoteReference"/>
          <w:rFonts w:ascii="Arial" w:hAnsi="Arial" w:cs="Arial" w:hint="default"/>
        </w:rPr>
        <w:footnoteReference w:id="19"/>
      </w:r>
      <w:r w:rsidRPr="00871F2D">
        <w:rPr>
          <w:rFonts w:ascii="Arial" w:hAnsi="Arial" w:cs="Arial"/>
        </w:rPr>
        <w:t xml:space="preserve">. These </w:t>
      </w:r>
      <w:r w:rsidR="007829C6">
        <w:rPr>
          <w:rFonts w:ascii="Arial" w:hAnsi="Arial" w:cs="Arial" w:hint="default"/>
        </w:rPr>
        <w:t>clearly indicates</w:t>
      </w:r>
      <w:r w:rsidRPr="00871F2D">
        <w:rPr>
          <w:rFonts w:ascii="Arial" w:hAnsi="Arial" w:cs="Arial"/>
        </w:rPr>
        <w:t xml:space="preserve"> a general principle of good faith which ignores contractual certainty which is highly prized by the common law.</w:t>
      </w:r>
    </w:p>
    <w:p w14:paraId="3B2E529F" w14:textId="67AEAEB5"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6. Good</w:t>
      </w:r>
      <w:r w:rsidRPr="00D537DE">
        <w:rPr>
          <w:rFonts w:ascii="Arial" w:hAnsi="Arial" w:cs="Arial"/>
          <w:b/>
        </w:rPr>
        <w:t xml:space="preserve"> faith in 'relational' </w:t>
      </w:r>
      <w:r w:rsidR="00CB458E">
        <w:rPr>
          <w:rFonts w:ascii="Arial" w:hAnsi="Arial" w:cs="Arial" w:hint="default"/>
          <w:b/>
        </w:rPr>
        <w:t>contract.</w:t>
      </w:r>
    </w:p>
    <w:p w14:paraId="7B2467CA" w14:textId="1B568E9B" w:rsidR="000F3A25" w:rsidRDefault="008939AC"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 xml:space="preserve"> Court</w:t>
      </w:r>
      <w:r w:rsidR="007A6B86">
        <w:rPr>
          <w:rFonts w:ascii="Arial" w:hAnsi="Arial" w:cs="Arial" w:hint="default"/>
        </w:rPr>
        <w:t xml:space="preserve"> of appeal having discouraged this trend indicating that it opts the concept of traditional piecemeal solution</w:t>
      </w:r>
      <w:r w:rsidR="007A6B86">
        <w:rPr>
          <w:rStyle w:val="FootnoteReference"/>
          <w:rFonts w:ascii="Arial" w:hAnsi="Arial" w:cs="Arial" w:hint="default"/>
        </w:rPr>
        <w:footnoteReference w:id="20"/>
      </w:r>
      <w:r w:rsidR="007A6B86">
        <w:rPr>
          <w:rFonts w:ascii="Arial" w:hAnsi="Arial" w:cs="Arial" w:hint="default"/>
        </w:rPr>
        <w:t>. However, in recent years, a trend in recent years has begun to emerge on the importance and need of implying good faith in specific ‘relational’ long term contracts, such as franchise agreements, distribution agreements, and joint venture agreements. It puts into consideration that good faith reco</w:t>
      </w:r>
      <w:r w:rsidR="00B96817">
        <w:rPr>
          <w:rFonts w:ascii="Arial" w:hAnsi="Arial" w:cs="Arial" w:hint="default"/>
        </w:rPr>
        <w:t>gnition would be of significant</w:t>
      </w:r>
      <w:r w:rsidR="007A6B86">
        <w:rPr>
          <w:rFonts w:ascii="Arial" w:hAnsi="Arial" w:cs="Arial" w:hint="default"/>
        </w:rPr>
        <w:t xml:space="preserve"> in the development of contracts that </w:t>
      </w:r>
      <w:r w:rsidR="00841208">
        <w:rPr>
          <w:rFonts w:ascii="Arial" w:hAnsi="Arial" w:cs="Arial" w:hint="default"/>
        </w:rPr>
        <w:t>have a potential of reaching far.</w:t>
      </w:r>
      <w:r w:rsidR="007A6B86">
        <w:rPr>
          <w:rFonts w:ascii="Arial" w:hAnsi="Arial" w:cs="Arial" w:hint="default"/>
        </w:rPr>
        <w:t xml:space="preserve"> </w:t>
      </w:r>
    </w:p>
    <w:p w14:paraId="1153DAA8" w14:textId="77777777" w:rsidR="00B14386" w:rsidRDefault="00B14386" w:rsidP="00D537DE">
      <w:pPr>
        <w:pStyle w:val="HTMLPreformatted"/>
        <w:shd w:val="clear" w:color="auto" w:fill="FFFFFF"/>
        <w:spacing w:afterLines="100" w:after="240" w:line="360" w:lineRule="auto"/>
        <w:jc w:val="both"/>
        <w:rPr>
          <w:rFonts w:ascii="Arial" w:hAnsi="Arial" w:cs="Arial" w:hint="default"/>
        </w:rPr>
      </w:pPr>
    </w:p>
    <w:p w14:paraId="58F80D56" w14:textId="77777777" w:rsidR="00B14386" w:rsidRDefault="00B14386" w:rsidP="00D537DE">
      <w:pPr>
        <w:pStyle w:val="HTMLPreformatted"/>
        <w:shd w:val="clear" w:color="auto" w:fill="FFFFFF"/>
        <w:spacing w:afterLines="100" w:after="240" w:line="360" w:lineRule="auto"/>
        <w:jc w:val="both"/>
        <w:rPr>
          <w:rFonts w:ascii="Arial" w:hAnsi="Arial" w:cs="Arial" w:hint="default"/>
        </w:rPr>
      </w:pPr>
    </w:p>
    <w:p w14:paraId="3EAE9BE8" w14:textId="5E13FDBB"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 xml:space="preserve">7. How is </w:t>
      </w:r>
      <w:r w:rsidRPr="00D537DE">
        <w:rPr>
          <w:rFonts w:ascii="Arial" w:hAnsi="Arial" w:cs="Arial"/>
          <w:b/>
        </w:rPr>
        <w:t>good faith enforceable</w:t>
      </w:r>
      <w:r w:rsidRPr="00D537DE">
        <w:rPr>
          <w:rFonts w:ascii="Arial" w:hAnsi="Arial" w:cs="Arial" w:hint="default"/>
          <w:b/>
        </w:rPr>
        <w:t xml:space="preserve"> </w:t>
      </w:r>
      <w:r w:rsidR="001655EF" w:rsidRPr="00D537DE">
        <w:rPr>
          <w:rFonts w:ascii="Arial" w:hAnsi="Arial" w:cs="Arial" w:hint="default"/>
          <w:b/>
        </w:rPr>
        <w:t>in</w:t>
      </w:r>
      <w:r w:rsidRPr="00D537DE">
        <w:rPr>
          <w:rFonts w:ascii="Arial" w:hAnsi="Arial" w:cs="Arial" w:hint="default"/>
          <w:b/>
        </w:rPr>
        <w:t xml:space="preserve"> an English Court?</w:t>
      </w:r>
    </w:p>
    <w:p w14:paraId="4B9FDFEF" w14:textId="68250272" w:rsidR="000F3A25" w:rsidRPr="000F066B" w:rsidRDefault="007A6B86" w:rsidP="00D537DE">
      <w:pPr>
        <w:pStyle w:val="HTMLPreformatted"/>
        <w:shd w:val="clear" w:color="auto" w:fill="FFFFFF"/>
        <w:spacing w:afterLines="100" w:after="240" w:line="360" w:lineRule="auto"/>
        <w:jc w:val="both"/>
        <w:rPr>
          <w:rFonts w:ascii="Arial" w:hAnsi="Arial" w:cs="Arial" w:hint="default"/>
          <w:i/>
        </w:rPr>
      </w:pPr>
      <w:r>
        <w:rPr>
          <w:rFonts w:ascii="Arial" w:hAnsi="Arial" w:cs="Arial" w:hint="default"/>
        </w:rPr>
        <w:t>Historically</w:t>
      </w:r>
      <w:r w:rsidR="001655EF">
        <w:rPr>
          <w:rFonts w:ascii="Arial" w:hAnsi="Arial" w:cs="Arial" w:hint="default"/>
        </w:rPr>
        <w:t xml:space="preserve"> an agreement in negotiation had</w:t>
      </w:r>
      <w:r w:rsidR="00A709F4">
        <w:rPr>
          <w:rFonts w:ascii="Arial" w:hAnsi="Arial" w:cs="Arial" w:hint="default"/>
        </w:rPr>
        <w:t xml:space="preserve"> been termed as</w:t>
      </w:r>
      <w:r w:rsidR="001655EF">
        <w:rPr>
          <w:rFonts w:ascii="Arial" w:hAnsi="Arial" w:cs="Arial" w:hint="default"/>
        </w:rPr>
        <w:t xml:space="preserve"> ineffective due to</w:t>
      </w:r>
      <w:r>
        <w:rPr>
          <w:rFonts w:ascii="Arial" w:hAnsi="Arial" w:cs="Arial" w:hint="default"/>
        </w:rPr>
        <w:t xml:space="preserve"> its absence of </w:t>
      </w:r>
      <w:r w:rsidR="001655EF">
        <w:rPr>
          <w:rFonts w:ascii="Arial" w:hAnsi="Arial" w:cs="Arial" w:hint="default"/>
        </w:rPr>
        <w:t>inevitability</w:t>
      </w:r>
      <w:r w:rsidR="006110E0">
        <w:rPr>
          <w:rFonts w:ascii="Arial" w:hAnsi="Arial" w:cs="Arial" w:hint="default"/>
        </w:rPr>
        <w:t xml:space="preserve"> in them. In cases of </w:t>
      </w:r>
      <w:r>
        <w:rPr>
          <w:rFonts w:ascii="Arial" w:hAnsi="Arial" w:cs="Arial" w:hint="default"/>
        </w:rPr>
        <w:t xml:space="preserve">English courts, </w:t>
      </w:r>
      <w:r>
        <w:rPr>
          <w:rFonts w:ascii="Arial" w:hAnsi="Arial" w:cs="Arial"/>
        </w:rPr>
        <w:t>“</w:t>
      </w:r>
      <w:r>
        <w:rPr>
          <w:rFonts w:ascii="Arial" w:hAnsi="Arial" w:cs="Arial"/>
        </w:rPr>
        <w:t xml:space="preserve">no </w:t>
      </w:r>
      <w:r w:rsidR="00160B9C">
        <w:rPr>
          <w:rFonts w:ascii="Arial" w:hAnsi="Arial" w:cs="Arial" w:hint="default"/>
        </w:rPr>
        <w:t xml:space="preserve">one </w:t>
      </w:r>
      <w:r w:rsidR="003D3114">
        <w:rPr>
          <w:rFonts w:ascii="Arial" w:hAnsi="Arial" w:cs="Arial" w:hint="default"/>
        </w:rPr>
        <w:t>is able</w:t>
      </w:r>
      <w:r w:rsidR="003E5C52">
        <w:rPr>
          <w:rFonts w:ascii="Arial" w:hAnsi="Arial" w:cs="Arial" w:hint="default"/>
        </w:rPr>
        <w:t xml:space="preserve"> </w:t>
      </w:r>
      <w:r w:rsidR="00160B9C">
        <w:rPr>
          <w:rFonts w:ascii="Arial" w:hAnsi="Arial" w:cs="Arial" w:hint="default"/>
        </w:rPr>
        <w:t>to tell</w:t>
      </w:r>
      <w:r>
        <w:rPr>
          <w:rFonts w:ascii="Arial" w:hAnsi="Arial" w:cs="Arial"/>
        </w:rPr>
        <w:t xml:space="preserve"> whether the negotiations</w:t>
      </w:r>
      <w:r>
        <w:rPr>
          <w:rFonts w:ascii="Arial" w:hAnsi="Arial" w:cs="Arial" w:hint="default"/>
        </w:rPr>
        <w:t xml:space="preserve"> would</w:t>
      </w:r>
      <w:r>
        <w:rPr>
          <w:rFonts w:ascii="Arial" w:hAnsi="Arial" w:cs="Arial"/>
        </w:rPr>
        <w:t xml:space="preserve"> be </w:t>
      </w:r>
      <w:r w:rsidR="000F700C">
        <w:rPr>
          <w:rFonts w:ascii="Arial" w:hAnsi="Arial" w:cs="Arial"/>
        </w:rPr>
        <w:t>successful or it would fail</w:t>
      </w:r>
      <w:r>
        <w:rPr>
          <w:rFonts w:ascii="Arial" w:hAnsi="Arial" w:cs="Arial"/>
        </w:rPr>
        <w:t>; or if successful what</w:t>
      </w:r>
      <w:r>
        <w:rPr>
          <w:rFonts w:ascii="Arial" w:hAnsi="Arial" w:cs="Arial" w:hint="default"/>
        </w:rPr>
        <w:t xml:space="preserve"> </w:t>
      </w:r>
      <w:r>
        <w:rPr>
          <w:rFonts w:ascii="Arial" w:hAnsi="Arial" w:cs="Arial"/>
        </w:rPr>
        <w:t>the result would be</w:t>
      </w:r>
      <w:r>
        <w:rPr>
          <w:rFonts w:ascii="Arial" w:hAnsi="Arial" w:cs="Arial" w:hint="default"/>
        </w:rPr>
        <w:t>.”</w:t>
      </w:r>
      <w:r>
        <w:rPr>
          <w:rFonts w:ascii="Arial" w:hAnsi="Arial" w:cs="Arial"/>
        </w:rPr>
        <w:t xml:space="preserve"> </w:t>
      </w:r>
      <w:r>
        <w:rPr>
          <w:rFonts w:ascii="Arial" w:hAnsi="Arial" w:cs="Arial" w:hint="default"/>
        </w:rPr>
        <w:t>Handley JA</w:t>
      </w:r>
      <w:r w:rsidR="003D3114">
        <w:rPr>
          <w:rFonts w:ascii="Arial" w:hAnsi="Arial" w:cs="Arial" w:hint="default"/>
        </w:rPr>
        <w:t xml:space="preserve"> also expressed the same statement. He was mainly involved </w:t>
      </w:r>
      <w:r>
        <w:rPr>
          <w:rFonts w:ascii="Arial" w:hAnsi="Arial" w:cs="Arial" w:hint="default"/>
        </w:rPr>
        <w:t xml:space="preserve"> in the </w:t>
      </w:r>
      <w:r w:rsidRPr="0055788F">
        <w:rPr>
          <w:rFonts w:ascii="Arial" w:hAnsi="Arial" w:cs="Arial" w:hint="default"/>
          <w:i/>
        </w:rPr>
        <w:t xml:space="preserve">New South Wales Court </w:t>
      </w:r>
      <w:r w:rsidRPr="0055788F">
        <w:rPr>
          <w:rFonts w:ascii="Arial" w:hAnsi="Arial" w:cs="Arial"/>
          <w:i/>
        </w:rPr>
        <w:t xml:space="preserve">of </w:t>
      </w:r>
      <w:r w:rsidRPr="0055788F">
        <w:rPr>
          <w:rFonts w:ascii="Arial" w:hAnsi="Arial" w:cs="Arial" w:hint="default"/>
          <w:i/>
        </w:rPr>
        <w:t xml:space="preserve">Appeal in a case involving </w:t>
      </w:r>
      <w:r w:rsidRPr="0055788F">
        <w:rPr>
          <w:rFonts w:ascii="Arial" w:hAnsi="Arial" w:cs="Arial"/>
          <w:i/>
        </w:rPr>
        <w:t>Coal Cliff Collieries Pty Ltd v Sijehama Pty Ltd</w:t>
      </w:r>
      <w:r>
        <w:rPr>
          <w:rStyle w:val="FootnoteReference"/>
          <w:rFonts w:ascii="Arial" w:hAnsi="Arial" w:cs="Arial" w:hint="default"/>
        </w:rPr>
        <w:footnoteReference w:id="21"/>
      </w:r>
      <w:r w:rsidR="0055788F">
        <w:rPr>
          <w:rFonts w:ascii="Arial" w:hAnsi="Arial" w:cs="Arial" w:hint="default"/>
        </w:rPr>
        <w:t xml:space="preserve">, </w:t>
      </w:r>
      <w:r w:rsidR="0055788F">
        <w:rPr>
          <w:rFonts w:ascii="Arial" w:hAnsi="Arial" w:cs="Arial" w:hint="default"/>
        </w:rPr>
        <w:t>Handley</w:t>
      </w:r>
      <w:r w:rsidR="0055788F">
        <w:rPr>
          <w:rFonts w:ascii="Arial" w:hAnsi="Arial" w:cs="Arial" w:hint="default"/>
        </w:rPr>
        <w:t xml:space="preserve"> was mainly </w:t>
      </w:r>
      <w:r>
        <w:rPr>
          <w:rFonts w:ascii="Arial" w:hAnsi="Arial" w:cs="Arial" w:hint="default"/>
        </w:rPr>
        <w:t>involved in the two companies negotiation</w:t>
      </w:r>
      <w:r w:rsidR="0055788F">
        <w:rPr>
          <w:rFonts w:ascii="Arial" w:hAnsi="Arial" w:cs="Arial" w:hint="default"/>
        </w:rPr>
        <w:t>. The negotiation mainly comprised of</w:t>
      </w:r>
      <w:r w:rsidR="0055788F" w:rsidRPr="0055788F">
        <w:rPr>
          <w:rFonts w:ascii="Arial" w:hAnsi="Arial" w:cs="Arial" w:hint="default"/>
          <w:i/>
        </w:rPr>
        <w:t>;</w:t>
      </w:r>
      <w:r w:rsidRPr="0055788F">
        <w:rPr>
          <w:rFonts w:ascii="Arial" w:hAnsi="Arial" w:cs="Arial"/>
          <w:i/>
        </w:rPr>
        <w:t>“</w:t>
      </w:r>
      <w:r w:rsidRPr="0055788F">
        <w:rPr>
          <w:rFonts w:ascii="Arial" w:hAnsi="Arial" w:cs="Arial"/>
          <w:i/>
        </w:rPr>
        <w:t>may withdraw or continue; accept, counter offer or reject; compromise or</w:t>
      </w:r>
      <w:r w:rsidRPr="0055788F">
        <w:rPr>
          <w:rFonts w:ascii="Arial" w:hAnsi="Arial" w:cs="Arial" w:hint="default"/>
          <w:i/>
        </w:rPr>
        <w:t xml:space="preserve"> </w:t>
      </w:r>
      <w:r w:rsidRPr="0055788F">
        <w:rPr>
          <w:rFonts w:ascii="Arial" w:hAnsi="Arial" w:cs="Arial"/>
          <w:i/>
        </w:rPr>
        <w:t>refuse, trade-off concessions on one matter for gains on another and be as unwilling, willing</w:t>
      </w:r>
      <w:r w:rsidRPr="0055788F">
        <w:rPr>
          <w:rFonts w:ascii="Arial" w:hAnsi="Arial" w:cs="Arial" w:hint="default"/>
          <w:i/>
        </w:rPr>
        <w:t xml:space="preserve"> </w:t>
      </w:r>
      <w:r w:rsidRPr="0055788F">
        <w:rPr>
          <w:rFonts w:ascii="Arial" w:hAnsi="Arial" w:cs="Arial"/>
          <w:i/>
        </w:rPr>
        <w:t>or anxious and as fast or as slow as they think fit</w:t>
      </w:r>
      <w:r w:rsidRPr="0055788F">
        <w:rPr>
          <w:rFonts w:ascii="Arial" w:hAnsi="Arial" w:cs="Arial"/>
          <w:i/>
        </w:rPr>
        <w:t>”</w:t>
      </w:r>
      <w:r>
        <w:rPr>
          <w:rStyle w:val="FootnoteReference"/>
          <w:rFonts w:ascii="Arial" w:hAnsi="Arial" w:cs="Arial" w:hint="default"/>
        </w:rPr>
        <w:footnoteReference w:id="22"/>
      </w:r>
      <w:r>
        <w:rPr>
          <w:rFonts w:ascii="Arial" w:hAnsi="Arial" w:cs="Arial"/>
        </w:rPr>
        <w:t>.</w:t>
      </w:r>
      <w:r w:rsidR="00BF72E4">
        <w:rPr>
          <w:rFonts w:ascii="Arial" w:hAnsi="Arial" w:cs="Arial" w:hint="default"/>
        </w:rPr>
        <w:t xml:space="preserve"> </w:t>
      </w:r>
      <w:r>
        <w:rPr>
          <w:rFonts w:ascii="Arial" w:hAnsi="Arial" w:cs="Arial" w:hint="default"/>
        </w:rPr>
        <w:t>While negotiating</w:t>
      </w:r>
      <w:r w:rsidR="000E1BB4">
        <w:rPr>
          <w:rFonts w:ascii="Arial" w:hAnsi="Arial" w:cs="Arial" w:hint="default"/>
        </w:rPr>
        <w:t>,</w:t>
      </w:r>
      <w:r>
        <w:rPr>
          <w:rFonts w:ascii="Arial" w:hAnsi="Arial" w:cs="Arial" w:hint="default"/>
        </w:rPr>
        <w:t xml:space="preserve"> a more venturous </w:t>
      </w:r>
      <w:r w:rsidR="000E1BB4">
        <w:rPr>
          <w:rFonts w:ascii="Arial" w:hAnsi="Arial" w:cs="Arial" w:hint="default"/>
        </w:rPr>
        <w:t>arrangement</w:t>
      </w:r>
      <w:r>
        <w:rPr>
          <w:rFonts w:ascii="Arial" w:hAnsi="Arial" w:cs="Arial" w:hint="default"/>
        </w:rPr>
        <w:t xml:space="preserve"> in the C</w:t>
      </w:r>
      <w:r w:rsidR="009015D7">
        <w:rPr>
          <w:rFonts w:ascii="Arial" w:hAnsi="Arial" w:cs="Arial" w:hint="default"/>
        </w:rPr>
        <w:t>liff Collieries</w:t>
      </w:r>
      <w:r w:rsidR="000E1BB4">
        <w:rPr>
          <w:rFonts w:ascii="Arial" w:hAnsi="Arial" w:cs="Arial" w:hint="default"/>
        </w:rPr>
        <w:t xml:space="preserve"> case which had been</w:t>
      </w:r>
      <w:r w:rsidR="009015D7">
        <w:rPr>
          <w:rFonts w:ascii="Arial" w:hAnsi="Arial" w:cs="Arial" w:hint="default"/>
        </w:rPr>
        <w:t xml:space="preserve"> unenforced</w:t>
      </w:r>
      <w:r>
        <w:rPr>
          <w:rFonts w:ascii="Arial" w:hAnsi="Arial" w:cs="Arial" w:hint="default"/>
        </w:rPr>
        <w:t xml:space="preserve"> on the stand of </w:t>
      </w:r>
      <w:r w:rsidR="000E1BB4">
        <w:rPr>
          <w:rFonts w:ascii="Arial" w:hAnsi="Arial" w:cs="Arial" w:hint="default"/>
        </w:rPr>
        <w:t>indecision</w:t>
      </w:r>
      <w:r>
        <w:rPr>
          <w:rFonts w:ascii="Arial" w:hAnsi="Arial" w:cs="Arial" w:hint="default"/>
        </w:rPr>
        <w:t>, in the court majority</w:t>
      </w:r>
      <w:r w:rsidR="000E1BB4">
        <w:rPr>
          <w:rFonts w:ascii="Arial" w:hAnsi="Arial" w:cs="Arial" w:hint="default"/>
        </w:rPr>
        <w:t xml:space="preserve"> of the delegates</w:t>
      </w:r>
      <w:r>
        <w:rPr>
          <w:rFonts w:ascii="Arial" w:hAnsi="Arial" w:cs="Arial" w:hint="default"/>
        </w:rPr>
        <w:t xml:space="preserve"> </w:t>
      </w:r>
      <w:r w:rsidR="009015D7">
        <w:rPr>
          <w:rFonts w:ascii="Arial" w:hAnsi="Arial" w:cs="Arial" w:hint="default"/>
        </w:rPr>
        <w:t xml:space="preserve">had </w:t>
      </w:r>
      <w:r>
        <w:rPr>
          <w:rFonts w:ascii="Arial" w:hAnsi="Arial" w:cs="Arial" w:hint="default"/>
        </w:rPr>
        <w:t>disagreed with Handley J</w:t>
      </w:r>
      <w:r w:rsidR="0084205C">
        <w:rPr>
          <w:rFonts w:ascii="Arial" w:hAnsi="Arial" w:cs="Arial" w:hint="default"/>
        </w:rPr>
        <w:t>.</w:t>
      </w:r>
      <w:r>
        <w:rPr>
          <w:rFonts w:ascii="Arial" w:hAnsi="Arial" w:cs="Arial" w:hint="default"/>
        </w:rPr>
        <w:t xml:space="preserve">A traditional view and rejected to come to agreement through negotiations in good faith. Their views were that good will would </w:t>
      </w:r>
      <w:r w:rsidR="001220B2">
        <w:rPr>
          <w:rFonts w:ascii="Arial" w:hAnsi="Arial" w:cs="Arial" w:hint="default"/>
        </w:rPr>
        <w:t xml:space="preserve">work in </w:t>
      </w:r>
      <w:r w:rsidR="00EC2462">
        <w:rPr>
          <w:rFonts w:ascii="Arial" w:hAnsi="Arial" w:cs="Arial" w:hint="default"/>
        </w:rPr>
        <w:t>a different situation</w:t>
      </w:r>
      <w:r>
        <w:rPr>
          <w:rFonts w:ascii="Arial" w:hAnsi="Arial" w:cs="Arial" w:hint="default"/>
        </w:rPr>
        <w:t xml:space="preserve"> such</w:t>
      </w:r>
      <w:r w:rsidR="00EC2462">
        <w:rPr>
          <w:rFonts w:ascii="Arial" w:hAnsi="Arial" w:cs="Arial" w:hint="default"/>
        </w:rPr>
        <w:t xml:space="preserve"> as when there is a third party. The third party </w:t>
      </w:r>
      <w:r w:rsidR="00A62222">
        <w:rPr>
          <w:rFonts w:ascii="Arial" w:hAnsi="Arial" w:cs="Arial" w:hint="default"/>
        </w:rPr>
        <w:t xml:space="preserve">would be </w:t>
      </w:r>
      <w:r w:rsidR="00EC2462">
        <w:rPr>
          <w:rFonts w:ascii="Arial" w:hAnsi="Arial" w:cs="Arial" w:hint="default"/>
        </w:rPr>
        <w:t>granted power</w:t>
      </w:r>
      <w:r>
        <w:rPr>
          <w:rFonts w:ascii="Arial" w:hAnsi="Arial" w:cs="Arial" w:hint="default"/>
        </w:rPr>
        <w:t xml:space="preserve"> to </w:t>
      </w:r>
      <w:r w:rsidR="00EC2462">
        <w:rPr>
          <w:rFonts w:ascii="Arial" w:hAnsi="Arial" w:cs="Arial" w:hint="default"/>
        </w:rPr>
        <w:t>resolve</w:t>
      </w:r>
      <w:r>
        <w:rPr>
          <w:rFonts w:ascii="Arial" w:hAnsi="Arial" w:cs="Arial" w:hint="default"/>
        </w:rPr>
        <w:t xml:space="preserve"> uncert</w:t>
      </w:r>
      <w:r w:rsidR="00EC2462">
        <w:rPr>
          <w:rFonts w:ascii="Arial" w:hAnsi="Arial" w:cs="Arial" w:hint="default"/>
        </w:rPr>
        <w:t>ainties during the negotiation process</w:t>
      </w:r>
      <w:r w:rsidR="009015D7">
        <w:rPr>
          <w:rFonts w:ascii="Arial" w:hAnsi="Arial" w:cs="Arial" w:hint="default"/>
        </w:rPr>
        <w:t>. The</w:t>
      </w:r>
      <w:r>
        <w:rPr>
          <w:rFonts w:ascii="Arial" w:hAnsi="Arial" w:cs="Arial" w:hint="default"/>
        </w:rPr>
        <w:t xml:space="preserve"> position was expanded through the</w:t>
      </w:r>
      <w:r w:rsidR="00A62222" w:rsidRPr="00A62222">
        <w:rPr>
          <w:rFonts w:ascii="Arial" w:hAnsi="Arial" w:cs="Arial"/>
        </w:rPr>
        <w:t xml:space="preserve"> </w:t>
      </w:r>
      <w:r w:rsidR="00A62222" w:rsidRPr="000F066B">
        <w:rPr>
          <w:rFonts w:ascii="Arial" w:hAnsi="Arial" w:cs="Arial"/>
          <w:i/>
        </w:rPr>
        <w:t>Rail</w:t>
      </w:r>
      <w:r w:rsidR="000F066B" w:rsidRPr="000F066B">
        <w:rPr>
          <w:rFonts w:ascii="Arial" w:hAnsi="Arial" w:cs="Arial" w:hint="default"/>
          <w:i/>
        </w:rPr>
        <w:t xml:space="preserve"> V</w:t>
      </w:r>
      <w:r w:rsidR="00E64AAF" w:rsidRPr="000F066B">
        <w:rPr>
          <w:rFonts w:ascii="Arial" w:hAnsi="Arial" w:cs="Arial" w:hint="default"/>
          <w:i/>
        </w:rPr>
        <w:t xml:space="preserve"> NSW Court of appeal in</w:t>
      </w:r>
      <w:r w:rsidRPr="000F066B">
        <w:rPr>
          <w:rFonts w:ascii="Arial" w:hAnsi="Arial" w:cs="Arial" w:hint="default"/>
          <w:i/>
        </w:rPr>
        <w:t xml:space="preserve"> 2009 in </w:t>
      </w:r>
      <w:r w:rsidRPr="000F066B">
        <w:rPr>
          <w:rFonts w:ascii="Arial" w:hAnsi="Arial" w:cs="Arial"/>
          <w:i/>
        </w:rPr>
        <w:t>United Gr</w:t>
      </w:r>
      <w:r w:rsidR="00A62222" w:rsidRPr="000F066B">
        <w:rPr>
          <w:rFonts w:ascii="Arial" w:hAnsi="Arial" w:cs="Arial"/>
          <w:i/>
        </w:rPr>
        <w:t>oup Rail Services Limited.</w:t>
      </w:r>
    </w:p>
    <w:p w14:paraId="4F5EA6B2" w14:textId="59A77ABB" w:rsidR="000F3A25" w:rsidRDefault="000F066B"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Companies in</w:t>
      </w:r>
      <w:r w:rsidR="007A6B86">
        <w:rPr>
          <w:rFonts w:ascii="Arial" w:hAnsi="Arial" w:cs="Arial"/>
        </w:rPr>
        <w:t xml:space="preserve"> New South Wales</w:t>
      </w:r>
      <w:r w:rsidR="007A6B86">
        <w:rPr>
          <w:rStyle w:val="FootnoteReference"/>
          <w:rFonts w:ascii="Arial" w:hAnsi="Arial" w:cs="Arial" w:hint="default"/>
        </w:rPr>
        <w:footnoteReference w:id="23"/>
      </w:r>
      <w:r w:rsidR="00E64AAF">
        <w:rPr>
          <w:rFonts w:ascii="Arial" w:hAnsi="Arial" w:cs="Arial" w:hint="default"/>
        </w:rPr>
        <w:t>, where the court</w:t>
      </w:r>
      <w:r w:rsidR="00E24FE2">
        <w:rPr>
          <w:rFonts w:ascii="Arial" w:hAnsi="Arial" w:cs="Arial" w:hint="default"/>
        </w:rPr>
        <w:t xml:space="preserve"> of appeal</w:t>
      </w:r>
      <w:r w:rsidR="00E64AAF">
        <w:rPr>
          <w:rFonts w:ascii="Arial" w:hAnsi="Arial" w:cs="Arial" w:hint="default"/>
        </w:rPr>
        <w:t xml:space="preserve"> gave</w:t>
      </w:r>
      <w:r w:rsidR="00B908D2">
        <w:rPr>
          <w:rFonts w:ascii="Arial" w:hAnsi="Arial" w:cs="Arial" w:hint="default"/>
        </w:rPr>
        <w:t xml:space="preserve"> some </w:t>
      </w:r>
      <w:r w:rsidR="00E24FE2">
        <w:rPr>
          <w:rFonts w:ascii="Arial" w:hAnsi="Arial" w:cs="Arial" w:hint="default"/>
        </w:rPr>
        <w:t>direction</w:t>
      </w:r>
      <w:r w:rsidR="00B908D2">
        <w:rPr>
          <w:rFonts w:ascii="Arial" w:hAnsi="Arial" w:cs="Arial" w:hint="default"/>
        </w:rPr>
        <w:t xml:space="preserve"> on requirement for the parties who were</w:t>
      </w:r>
      <w:r w:rsidR="007A6B86">
        <w:rPr>
          <w:rFonts w:ascii="Arial" w:hAnsi="Arial" w:cs="Arial" w:hint="default"/>
        </w:rPr>
        <w:t xml:space="preserve"> to </w:t>
      </w:r>
      <w:r w:rsidR="00E24FE2">
        <w:rPr>
          <w:rFonts w:ascii="Arial" w:hAnsi="Arial" w:cs="Arial" w:hint="default"/>
        </w:rPr>
        <w:t>use negation in upright</w:t>
      </w:r>
      <w:r w:rsidR="007A6B86">
        <w:rPr>
          <w:rFonts w:ascii="Arial" w:hAnsi="Arial" w:cs="Arial" w:hint="default"/>
        </w:rPr>
        <w:t xml:space="preserve"> faith.</w:t>
      </w:r>
    </w:p>
    <w:p w14:paraId="7D2DD074" w14:textId="77777777"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8</w:t>
      </w:r>
      <w:r w:rsidR="00D537DE" w:rsidRPr="00D537DE">
        <w:rPr>
          <w:rFonts w:ascii="Arial" w:hAnsi="Arial" w:cs="Arial" w:hint="default"/>
          <w:b/>
        </w:rPr>
        <w:t>.</w:t>
      </w:r>
      <w:r w:rsidRPr="00D537DE">
        <w:rPr>
          <w:rFonts w:ascii="Arial" w:hAnsi="Arial" w:cs="Arial" w:hint="default"/>
          <w:b/>
        </w:rPr>
        <w:t xml:space="preserve"> The d</w:t>
      </w:r>
      <w:r w:rsidRPr="00D537DE">
        <w:rPr>
          <w:rFonts w:ascii="Arial" w:hAnsi="Arial" w:cs="Arial"/>
          <w:b/>
        </w:rPr>
        <w:t>uty of Good Faith in England</w:t>
      </w:r>
      <w:r w:rsidRPr="00D537DE">
        <w:rPr>
          <w:rFonts w:ascii="Arial" w:hAnsi="Arial" w:cs="Arial" w:hint="default"/>
          <w:b/>
        </w:rPr>
        <w:t xml:space="preserve"> </w:t>
      </w:r>
    </w:p>
    <w:p w14:paraId="61A2F184" w14:textId="3D5CE7FB"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 xml:space="preserve">It is arguable that English courts at a point </w:t>
      </w:r>
      <w:r w:rsidR="00701718">
        <w:rPr>
          <w:rFonts w:ascii="Arial" w:hAnsi="Arial" w:cs="Arial" w:hint="default"/>
        </w:rPr>
        <w:t>never have a</w:t>
      </w:r>
      <w:r>
        <w:rPr>
          <w:rFonts w:ascii="Arial" w:hAnsi="Arial" w:cs="Arial" w:hint="default"/>
        </w:rPr>
        <w:t xml:space="preserve"> role in performing contracts in good faith. It was </w:t>
      </w:r>
      <w:r w:rsidR="005D59CF">
        <w:rPr>
          <w:rFonts w:ascii="Arial" w:hAnsi="Arial" w:cs="Arial" w:hint="default"/>
        </w:rPr>
        <w:t>augmented</w:t>
      </w:r>
      <w:r>
        <w:rPr>
          <w:rFonts w:ascii="Arial" w:hAnsi="Arial" w:cs="Arial" w:hint="default"/>
        </w:rPr>
        <w:t xml:space="preserve"> by </w:t>
      </w:r>
      <w:r w:rsidRPr="005D59CF">
        <w:rPr>
          <w:rFonts w:ascii="Arial" w:hAnsi="Arial" w:cs="Arial" w:hint="default"/>
          <w:i/>
        </w:rPr>
        <w:t>Lord Mansfield's</w:t>
      </w:r>
      <w:r>
        <w:rPr>
          <w:rFonts w:ascii="Arial" w:hAnsi="Arial" w:cs="Arial" w:hint="default"/>
        </w:rPr>
        <w:t xml:space="preserve"> </w:t>
      </w:r>
      <w:r w:rsidR="005D59CF">
        <w:rPr>
          <w:rFonts w:ascii="Arial" w:hAnsi="Arial" w:cs="Arial" w:hint="default"/>
        </w:rPr>
        <w:t>argument</w:t>
      </w:r>
      <w:r>
        <w:rPr>
          <w:rFonts w:ascii="Arial" w:hAnsi="Arial" w:cs="Arial" w:hint="default"/>
        </w:rPr>
        <w:t xml:space="preserve"> in </w:t>
      </w:r>
      <w:r w:rsidR="00851832">
        <w:rPr>
          <w:rFonts w:ascii="Arial" w:hAnsi="Arial" w:cs="Arial" w:hint="default"/>
        </w:rPr>
        <w:t xml:space="preserve">the </w:t>
      </w:r>
      <w:r w:rsidR="00851832">
        <w:rPr>
          <w:rFonts w:ascii="Arial" w:hAnsi="Arial" w:cs="Arial" w:hint="default"/>
        </w:rPr>
        <w:lastRenderedPageBreak/>
        <w:t>year 1766</w:t>
      </w:r>
      <w:r w:rsidR="005D59CF">
        <w:rPr>
          <w:rFonts w:ascii="Arial" w:hAnsi="Arial" w:cs="Arial" w:hint="default"/>
        </w:rPr>
        <w:t>. His argument stated that the law of upright faith had to be used in all the contracts</w:t>
      </w:r>
      <w:r>
        <w:rPr>
          <w:rStyle w:val="FootnoteReference"/>
          <w:rFonts w:ascii="Arial" w:hAnsi="Arial" w:cs="Arial" w:hint="default"/>
        </w:rPr>
        <w:footnoteReference w:id="24"/>
      </w:r>
      <w:r w:rsidR="005D59CF">
        <w:rPr>
          <w:rFonts w:ascii="Arial" w:hAnsi="Arial" w:cs="Arial" w:hint="default"/>
        </w:rPr>
        <w:t>. However, in the 19</w:t>
      </w:r>
      <w:r w:rsidR="00FC7B2A" w:rsidRPr="005D59CF">
        <w:rPr>
          <w:rFonts w:ascii="Arial" w:hAnsi="Arial" w:cs="Arial" w:hint="default"/>
          <w:vertAlign w:val="superscript"/>
        </w:rPr>
        <w:t>th</w:t>
      </w:r>
      <w:r w:rsidR="00FC7B2A">
        <w:rPr>
          <w:rFonts w:ascii="Arial" w:hAnsi="Arial" w:cs="Arial" w:hint="default"/>
        </w:rPr>
        <w:t xml:space="preserve"> century</w:t>
      </w:r>
      <w:r w:rsidR="005D59CF">
        <w:rPr>
          <w:rFonts w:ascii="Arial" w:hAnsi="Arial" w:cs="Arial" w:hint="default"/>
        </w:rPr>
        <w:t>, the English l</w:t>
      </w:r>
      <w:r>
        <w:rPr>
          <w:rFonts w:ascii="Arial" w:hAnsi="Arial" w:cs="Arial" w:hint="default"/>
        </w:rPr>
        <w:t xml:space="preserve">aw never clarified the uncertainty in these principles. The duty to </w:t>
      </w:r>
      <w:r w:rsidR="0015520F">
        <w:rPr>
          <w:rFonts w:ascii="Arial" w:hAnsi="Arial" w:cs="Arial" w:hint="default"/>
        </w:rPr>
        <w:t>agree on</w:t>
      </w:r>
      <w:r>
        <w:rPr>
          <w:rFonts w:ascii="Arial" w:hAnsi="Arial" w:cs="Arial" w:hint="default"/>
        </w:rPr>
        <w:t xml:space="preserve"> </w:t>
      </w:r>
      <w:r w:rsidR="00FC7B2A">
        <w:rPr>
          <w:rFonts w:ascii="Arial" w:hAnsi="Arial" w:cs="Arial" w:hint="default"/>
        </w:rPr>
        <w:t>agreements</w:t>
      </w:r>
      <w:r>
        <w:rPr>
          <w:rFonts w:ascii="Arial" w:hAnsi="Arial" w:cs="Arial" w:hint="default"/>
        </w:rPr>
        <w:t xml:space="preserve"> in </w:t>
      </w:r>
      <w:r w:rsidR="00FC7B2A">
        <w:rPr>
          <w:rFonts w:ascii="Arial" w:hAnsi="Arial" w:cs="Arial" w:hint="default"/>
        </w:rPr>
        <w:t>upright</w:t>
      </w:r>
      <w:r w:rsidR="009020AE">
        <w:rPr>
          <w:rFonts w:ascii="Arial" w:hAnsi="Arial" w:cs="Arial" w:hint="default"/>
        </w:rPr>
        <w:t xml:space="preserve"> faith were</w:t>
      </w:r>
      <w:r>
        <w:rPr>
          <w:rFonts w:ascii="Arial" w:hAnsi="Arial" w:cs="Arial" w:hint="default"/>
        </w:rPr>
        <w:t xml:space="preserve"> in relation to the </w:t>
      </w:r>
      <w:r w:rsidR="009020AE">
        <w:rPr>
          <w:rFonts w:ascii="Arial" w:hAnsi="Arial" w:cs="Arial" w:hint="default"/>
        </w:rPr>
        <w:t>goals</w:t>
      </w:r>
      <w:r>
        <w:rPr>
          <w:rFonts w:ascii="Arial" w:hAnsi="Arial" w:cs="Arial" w:hint="default"/>
        </w:rPr>
        <w:t xml:space="preserve"> of the</w:t>
      </w:r>
      <w:r w:rsidR="009020AE">
        <w:rPr>
          <w:rFonts w:ascii="Arial" w:hAnsi="Arial" w:cs="Arial" w:hint="default"/>
        </w:rPr>
        <w:t xml:space="preserve"> different</w:t>
      </w:r>
      <w:r>
        <w:rPr>
          <w:rFonts w:ascii="Arial" w:hAnsi="Arial" w:cs="Arial" w:hint="default"/>
        </w:rPr>
        <w:t xml:space="preserve"> parties involved</w:t>
      </w:r>
      <w:r>
        <w:rPr>
          <w:rStyle w:val="FootnoteReference"/>
          <w:rFonts w:ascii="Arial" w:hAnsi="Arial" w:cs="Arial" w:hint="default"/>
        </w:rPr>
        <w:footnoteReference w:id="25"/>
      </w:r>
      <w:r>
        <w:rPr>
          <w:rFonts w:ascii="Arial" w:hAnsi="Arial" w:cs="Arial" w:hint="default"/>
        </w:rPr>
        <w:t xml:space="preserve">.  It was never </w:t>
      </w:r>
      <w:r w:rsidR="007B6F0F">
        <w:rPr>
          <w:rFonts w:ascii="Arial" w:hAnsi="Arial" w:cs="Arial" w:hint="default"/>
        </w:rPr>
        <w:t>vibrant</w:t>
      </w:r>
      <w:r>
        <w:rPr>
          <w:rFonts w:ascii="Arial" w:hAnsi="Arial" w:cs="Arial" w:hint="default"/>
        </w:rPr>
        <w:t xml:space="preserve"> </w:t>
      </w:r>
      <w:r w:rsidR="00B71D1A">
        <w:rPr>
          <w:rFonts w:ascii="Arial" w:hAnsi="Arial" w:cs="Arial" w:hint="default"/>
        </w:rPr>
        <w:t xml:space="preserve">if </w:t>
      </w:r>
      <w:r w:rsidR="007B6F0F">
        <w:rPr>
          <w:rFonts w:ascii="Arial" w:hAnsi="Arial" w:cs="Arial" w:hint="default"/>
        </w:rPr>
        <w:t xml:space="preserve"> that </w:t>
      </w:r>
      <w:r>
        <w:rPr>
          <w:rFonts w:ascii="Arial" w:hAnsi="Arial" w:cs="Arial" w:hint="default"/>
        </w:rPr>
        <w:t>role extended to an agreement then negotiations</w:t>
      </w:r>
      <w:r>
        <w:rPr>
          <w:rStyle w:val="FootnoteReference"/>
          <w:rFonts w:ascii="Arial" w:hAnsi="Arial" w:cs="Arial" w:hint="default"/>
        </w:rPr>
        <w:footnoteReference w:id="26"/>
      </w:r>
      <w:r>
        <w:rPr>
          <w:rFonts w:ascii="Arial" w:hAnsi="Arial" w:cs="Arial" w:hint="default"/>
        </w:rPr>
        <w:t xml:space="preserve">. More general duties were implied to contracts on the functional ground as being important to ensure there is business </w:t>
      </w:r>
      <w:r w:rsidR="006109B7">
        <w:rPr>
          <w:rFonts w:ascii="Arial" w:hAnsi="Arial" w:cs="Arial" w:hint="default"/>
        </w:rPr>
        <w:t>efficiency</w:t>
      </w:r>
      <w:r>
        <w:rPr>
          <w:rFonts w:ascii="Arial" w:hAnsi="Arial" w:cs="Arial" w:hint="default"/>
        </w:rPr>
        <w:t xml:space="preserve"> in a </w:t>
      </w:r>
      <w:r w:rsidR="002C5262">
        <w:rPr>
          <w:rFonts w:ascii="Arial" w:hAnsi="Arial" w:cs="Arial" w:hint="default"/>
        </w:rPr>
        <w:t xml:space="preserve"> particular </w:t>
      </w:r>
      <w:r>
        <w:rPr>
          <w:rFonts w:ascii="Arial" w:hAnsi="Arial" w:cs="Arial" w:hint="default"/>
        </w:rPr>
        <w:t>contract</w:t>
      </w:r>
      <w:r>
        <w:rPr>
          <w:rStyle w:val="FootnoteReference"/>
          <w:rFonts w:ascii="Arial" w:hAnsi="Arial" w:cs="Arial" w:hint="default"/>
        </w:rPr>
        <w:footnoteReference w:id="27"/>
      </w:r>
      <w:r>
        <w:rPr>
          <w:rFonts w:ascii="Arial" w:hAnsi="Arial" w:cs="Arial" w:hint="default"/>
        </w:rPr>
        <w:t xml:space="preserve">. </w:t>
      </w:r>
    </w:p>
    <w:p w14:paraId="43184D10" w14:textId="5FBA8022" w:rsidR="000F3A25" w:rsidRDefault="00F17E03"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Whatsoever</w:t>
      </w:r>
      <w:r w:rsidR="00875EE9">
        <w:rPr>
          <w:rFonts w:ascii="Arial" w:hAnsi="Arial" w:cs="Arial" w:hint="default"/>
        </w:rPr>
        <w:t xml:space="preserve"> if the</w:t>
      </w:r>
      <w:r w:rsidR="007A6B86">
        <w:rPr>
          <w:rFonts w:ascii="Arial" w:hAnsi="Arial" w:cs="Arial" w:hint="default"/>
        </w:rPr>
        <w:t xml:space="preserve"> </w:t>
      </w:r>
      <w:r>
        <w:rPr>
          <w:rFonts w:ascii="Arial" w:hAnsi="Arial" w:cs="Arial" w:hint="default"/>
        </w:rPr>
        <w:t>significance</w:t>
      </w:r>
      <w:r w:rsidR="007A6B86">
        <w:rPr>
          <w:rFonts w:ascii="Arial" w:hAnsi="Arial" w:cs="Arial" w:hint="default"/>
        </w:rPr>
        <w:t xml:space="preserve"> of the </w:t>
      </w:r>
      <w:r>
        <w:rPr>
          <w:rFonts w:ascii="Arial" w:hAnsi="Arial" w:cs="Arial" w:hint="default"/>
        </w:rPr>
        <w:t>lawful</w:t>
      </w:r>
      <w:r w:rsidR="007A6B86">
        <w:rPr>
          <w:rFonts w:ascii="Arial" w:hAnsi="Arial" w:cs="Arial" w:hint="default"/>
        </w:rPr>
        <w:t xml:space="preserve"> </w:t>
      </w:r>
      <w:r>
        <w:rPr>
          <w:rFonts w:ascii="Arial" w:hAnsi="Arial" w:cs="Arial" w:hint="default"/>
        </w:rPr>
        <w:t>expansions</w:t>
      </w:r>
      <w:r w:rsidR="007A6B86">
        <w:rPr>
          <w:rFonts w:ascii="Arial" w:hAnsi="Arial" w:cs="Arial" w:hint="default"/>
        </w:rPr>
        <w:t xml:space="preserve"> </w:t>
      </w:r>
      <w:r>
        <w:rPr>
          <w:rFonts w:ascii="Arial" w:hAnsi="Arial" w:cs="Arial" w:hint="default"/>
        </w:rPr>
        <w:t>in the 12</w:t>
      </w:r>
      <w:r w:rsidRPr="00F17E03">
        <w:rPr>
          <w:rFonts w:ascii="Arial" w:hAnsi="Arial" w:cs="Arial" w:hint="default"/>
          <w:vertAlign w:val="superscript"/>
        </w:rPr>
        <w:t>th</w:t>
      </w:r>
      <w:r>
        <w:rPr>
          <w:rFonts w:ascii="Arial" w:hAnsi="Arial" w:cs="Arial" w:hint="default"/>
        </w:rPr>
        <w:t xml:space="preserve"> century E</w:t>
      </w:r>
      <w:r w:rsidR="007A6B86">
        <w:rPr>
          <w:rFonts w:ascii="Arial" w:hAnsi="Arial" w:cs="Arial" w:hint="default"/>
        </w:rPr>
        <w:t>nglish law</w:t>
      </w:r>
      <w:r w:rsidR="007A6B86">
        <w:rPr>
          <w:rStyle w:val="FootnoteReference"/>
          <w:rFonts w:ascii="Arial" w:hAnsi="Arial" w:cs="Arial" w:hint="default"/>
        </w:rPr>
        <w:footnoteReference w:id="28"/>
      </w:r>
      <w:r w:rsidR="007A6B86">
        <w:rPr>
          <w:rFonts w:ascii="Arial" w:hAnsi="Arial" w:cs="Arial" w:hint="default"/>
        </w:rPr>
        <w:t xml:space="preserve">, the overall </w:t>
      </w:r>
      <w:r>
        <w:rPr>
          <w:rFonts w:ascii="Arial" w:hAnsi="Arial" w:cs="Arial" w:hint="default"/>
        </w:rPr>
        <w:t>responsibility</w:t>
      </w:r>
      <w:r w:rsidR="007A6B86">
        <w:rPr>
          <w:rFonts w:ascii="Arial" w:hAnsi="Arial" w:cs="Arial" w:hint="default"/>
        </w:rPr>
        <w:t xml:space="preserve"> to enforce </w:t>
      </w:r>
      <w:r>
        <w:rPr>
          <w:rFonts w:ascii="Arial" w:hAnsi="Arial" w:cs="Arial" w:hint="default"/>
        </w:rPr>
        <w:t xml:space="preserve">votive promises are limited in upright faith in the current </w:t>
      </w:r>
      <w:r w:rsidR="007E1AC8">
        <w:rPr>
          <w:rFonts w:ascii="Arial" w:hAnsi="Arial" w:cs="Arial" w:hint="default"/>
        </w:rPr>
        <w:t xml:space="preserve"> English Law. During negotiation of </w:t>
      </w:r>
      <w:r w:rsidR="00354F51">
        <w:rPr>
          <w:rFonts w:ascii="Arial" w:hAnsi="Arial" w:cs="Arial" w:hint="default"/>
        </w:rPr>
        <w:t>upright</w:t>
      </w:r>
      <w:r w:rsidR="007A6B86">
        <w:rPr>
          <w:rFonts w:ascii="Arial" w:hAnsi="Arial" w:cs="Arial" w:hint="default"/>
        </w:rPr>
        <w:t xml:space="preserve"> faith law in English law</w:t>
      </w:r>
      <w:r w:rsidR="00875EE9">
        <w:rPr>
          <w:rFonts w:ascii="Arial" w:hAnsi="Arial" w:cs="Arial" w:hint="default"/>
        </w:rPr>
        <w:t xml:space="preserve"> is not</w:t>
      </w:r>
      <w:r w:rsidR="00BB246E">
        <w:rPr>
          <w:rFonts w:ascii="Arial" w:hAnsi="Arial" w:cs="Arial" w:hint="default"/>
        </w:rPr>
        <w:t xml:space="preserve"> mostly</w:t>
      </w:r>
      <w:r w:rsidR="00875EE9">
        <w:rPr>
          <w:rFonts w:ascii="Arial" w:hAnsi="Arial" w:cs="Arial" w:hint="default"/>
        </w:rPr>
        <w:t xml:space="preserve"> recognized, only in other</w:t>
      </w:r>
      <w:r w:rsidR="007A6B86">
        <w:rPr>
          <w:rFonts w:ascii="Arial" w:hAnsi="Arial" w:cs="Arial" w:hint="default"/>
        </w:rPr>
        <w:t xml:space="preserve"> cases where it is a pre-existing contract. English J</w:t>
      </w:r>
      <w:r w:rsidR="00354F51">
        <w:rPr>
          <w:rFonts w:ascii="Arial" w:hAnsi="Arial" w:cs="Arial" w:hint="default"/>
        </w:rPr>
        <w:t>udges in courts understand it just as</w:t>
      </w:r>
      <w:r w:rsidR="007A6B86">
        <w:rPr>
          <w:rFonts w:ascii="Arial" w:hAnsi="Arial" w:cs="Arial" w:hint="default"/>
        </w:rPr>
        <w:t xml:space="preserve"> a </w:t>
      </w:r>
      <w:r w:rsidR="00E86517">
        <w:rPr>
          <w:rFonts w:ascii="Arial" w:hAnsi="Arial" w:cs="Arial"/>
        </w:rPr>
        <w:t xml:space="preserve">widespread </w:t>
      </w:r>
      <w:r w:rsidR="00354F51">
        <w:rPr>
          <w:rFonts w:ascii="Arial" w:hAnsi="Arial" w:cs="Arial" w:hint="default"/>
        </w:rPr>
        <w:t>code</w:t>
      </w:r>
      <w:r w:rsidR="007A6B86">
        <w:rPr>
          <w:rFonts w:ascii="Arial" w:hAnsi="Arial" w:cs="Arial" w:hint="default"/>
        </w:rPr>
        <w:t xml:space="preserve"> </w:t>
      </w:r>
      <w:r w:rsidR="007A6B86">
        <w:rPr>
          <w:rFonts w:ascii="Arial" w:hAnsi="Arial" w:cs="Arial"/>
        </w:rPr>
        <w:t>“</w:t>
      </w:r>
      <w:r w:rsidR="00354F51">
        <w:rPr>
          <w:rFonts w:ascii="Arial" w:hAnsi="Arial" w:cs="Arial"/>
        </w:rPr>
        <w:t xml:space="preserve">a man should never be allowed </w:t>
      </w:r>
      <w:r w:rsidR="007A6B86">
        <w:rPr>
          <w:rFonts w:ascii="Arial" w:hAnsi="Arial" w:cs="Arial" w:hint="default"/>
        </w:rPr>
        <w:t xml:space="preserve"> </w:t>
      </w:r>
      <w:r w:rsidR="007A6B86">
        <w:rPr>
          <w:rFonts w:ascii="Arial" w:hAnsi="Arial" w:cs="Arial"/>
        </w:rPr>
        <w:t xml:space="preserve">to take </w:t>
      </w:r>
      <w:r w:rsidR="00354F51">
        <w:rPr>
          <w:rFonts w:ascii="Arial" w:hAnsi="Arial" w:cs="Arial" w:hint="default"/>
        </w:rPr>
        <w:t>gain</w:t>
      </w:r>
      <w:r w:rsidR="007A6B86">
        <w:rPr>
          <w:rFonts w:ascii="Arial" w:hAnsi="Arial" w:cs="Arial"/>
        </w:rPr>
        <w:t xml:space="preserve"> of his own wrong</w:t>
      </w:r>
      <w:r w:rsidR="007A6B86">
        <w:rPr>
          <w:rStyle w:val="FootnoteReference"/>
          <w:rFonts w:ascii="Arial" w:hAnsi="Arial" w:cs="Arial" w:hint="default"/>
        </w:rPr>
        <w:footnoteReference w:id="29"/>
      </w:r>
      <w:r w:rsidR="007A6B86">
        <w:rPr>
          <w:rFonts w:ascii="Arial" w:hAnsi="Arial" w:cs="Arial"/>
        </w:rPr>
        <w:t>”</w:t>
      </w:r>
      <w:r w:rsidR="00354F51">
        <w:rPr>
          <w:rFonts w:ascii="Arial" w:hAnsi="Arial" w:cs="Arial"/>
        </w:rPr>
        <w:t xml:space="preserve">. </w:t>
      </w:r>
      <w:r w:rsidR="00354F51">
        <w:rPr>
          <w:rFonts w:ascii="Arial" w:hAnsi="Arial" w:cs="Arial" w:hint="default"/>
        </w:rPr>
        <w:t>M</w:t>
      </w:r>
      <w:r w:rsidR="00354F51">
        <w:rPr>
          <w:rFonts w:ascii="Arial" w:hAnsi="Arial" w:cs="Arial"/>
        </w:rPr>
        <w:t xml:space="preserve">ost </w:t>
      </w:r>
      <w:r w:rsidR="00354F51">
        <w:rPr>
          <w:rFonts w:ascii="Arial" w:hAnsi="Arial" w:cs="Arial" w:hint="default"/>
        </w:rPr>
        <w:t xml:space="preserve">of the time they </w:t>
      </w:r>
      <w:r w:rsidR="00354F51">
        <w:rPr>
          <w:rFonts w:ascii="Arial" w:hAnsi="Arial" w:cs="Arial"/>
        </w:rPr>
        <w:t xml:space="preserve"> </w:t>
      </w:r>
      <w:r w:rsidR="00354F51">
        <w:rPr>
          <w:rFonts w:ascii="Arial" w:hAnsi="Arial" w:cs="Arial" w:hint="default"/>
        </w:rPr>
        <w:t>don’t</w:t>
      </w:r>
      <w:r w:rsidR="00354F51">
        <w:rPr>
          <w:rFonts w:ascii="Arial" w:hAnsi="Arial" w:cs="Arial"/>
        </w:rPr>
        <w:t xml:space="preserve"> </w:t>
      </w:r>
      <w:r w:rsidR="00354F51">
        <w:rPr>
          <w:rFonts w:ascii="Arial" w:hAnsi="Arial" w:cs="Arial" w:hint="default"/>
        </w:rPr>
        <w:t>do all of their duties with a god heart.</w:t>
      </w:r>
      <w:r w:rsidR="007A6B86">
        <w:rPr>
          <w:rStyle w:val="FootnoteReference"/>
          <w:rFonts w:ascii="Arial" w:hAnsi="Arial" w:cs="Arial" w:hint="default"/>
        </w:rPr>
        <w:footnoteReference w:id="30"/>
      </w:r>
      <w:r w:rsidR="007A6B86">
        <w:rPr>
          <w:rFonts w:ascii="Arial" w:hAnsi="Arial" w:cs="Arial"/>
        </w:rPr>
        <w:t>.</w:t>
      </w:r>
      <w:r w:rsidR="00354F51">
        <w:rPr>
          <w:rFonts w:ascii="Arial" w:hAnsi="Arial" w:cs="Arial" w:hint="default"/>
        </w:rPr>
        <w:t xml:space="preserve"> mostly there</w:t>
      </w:r>
      <w:r w:rsidR="006569A3">
        <w:rPr>
          <w:rFonts w:ascii="Arial" w:hAnsi="Arial" w:cs="Arial" w:hint="default"/>
        </w:rPr>
        <w:t xml:space="preserve"> isn’t any </w:t>
      </w:r>
      <w:r w:rsidR="007A6B86">
        <w:rPr>
          <w:rFonts w:ascii="Arial" w:hAnsi="Arial" w:cs="Arial" w:hint="default"/>
        </w:rPr>
        <w:t>strong line in modern cases to the obligation</w:t>
      </w:r>
      <w:r w:rsidR="007A6B86">
        <w:rPr>
          <w:rStyle w:val="FootnoteReference"/>
          <w:rFonts w:ascii="Arial" w:hAnsi="Arial" w:cs="Arial" w:hint="default"/>
        </w:rPr>
        <w:footnoteReference w:id="31"/>
      </w:r>
      <w:r w:rsidR="007A6B86">
        <w:rPr>
          <w:rFonts w:ascii="Arial" w:hAnsi="Arial" w:cs="Arial" w:hint="default"/>
        </w:rPr>
        <w:t>. However, courts have been comfortable in performing some duties in good faith.</w:t>
      </w:r>
    </w:p>
    <w:p w14:paraId="584097F0" w14:textId="77777777" w:rsidR="00042759" w:rsidRDefault="00042759" w:rsidP="00D537DE">
      <w:pPr>
        <w:pStyle w:val="HTMLPreformatted"/>
        <w:shd w:val="clear" w:color="auto" w:fill="FFFFFF"/>
        <w:spacing w:afterLines="100" w:after="240" w:line="360" w:lineRule="auto"/>
        <w:jc w:val="both"/>
        <w:rPr>
          <w:rFonts w:ascii="Arial" w:hAnsi="Arial" w:cs="Arial" w:hint="default"/>
        </w:rPr>
      </w:pPr>
    </w:p>
    <w:p w14:paraId="4111B132" w14:textId="77777777" w:rsidR="00042759" w:rsidRDefault="00042759" w:rsidP="00D537DE">
      <w:pPr>
        <w:pStyle w:val="HTMLPreformatted"/>
        <w:shd w:val="clear" w:color="auto" w:fill="FFFFFF"/>
        <w:spacing w:afterLines="100" w:after="240" w:line="360" w:lineRule="auto"/>
        <w:jc w:val="both"/>
        <w:rPr>
          <w:rFonts w:ascii="Arial" w:hAnsi="Arial" w:cs="Arial" w:hint="default"/>
        </w:rPr>
      </w:pPr>
    </w:p>
    <w:p w14:paraId="16513F2C" w14:textId="77777777"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hint="default"/>
          <w:b/>
        </w:rPr>
        <w:t>9. Recommendations for using good faith</w:t>
      </w:r>
    </w:p>
    <w:p w14:paraId="45F14517" w14:textId="0287C7BC"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lastRenderedPageBreak/>
        <w:t>In an English c</w:t>
      </w:r>
      <w:r w:rsidR="00D751DB">
        <w:rPr>
          <w:rFonts w:ascii="Arial" w:hAnsi="Arial" w:cs="Arial" w:hint="default"/>
        </w:rPr>
        <w:t>ourt when parties want to use</w:t>
      </w:r>
      <w:r>
        <w:rPr>
          <w:rFonts w:ascii="Arial" w:hAnsi="Arial" w:cs="Arial" w:hint="default"/>
        </w:rPr>
        <w:t xml:space="preserve"> good faith, there are a variety of issues one should consider. These are because the courts are reluctant to imply terms added in commercial parties where they are legally represented</w:t>
      </w:r>
      <w:r>
        <w:rPr>
          <w:rStyle w:val="FootnoteReference"/>
          <w:rFonts w:ascii="Arial" w:hAnsi="Arial" w:cs="Arial" w:hint="default"/>
        </w:rPr>
        <w:footnoteReference w:id="32"/>
      </w:r>
      <w:r>
        <w:rPr>
          <w:rFonts w:ascii="Arial" w:hAnsi="Arial" w:cs="Arial" w:hint="default"/>
        </w:rPr>
        <w:t>. Although there is flexibility,</w:t>
      </w:r>
      <w:r w:rsidR="00354F51">
        <w:rPr>
          <w:rFonts w:ascii="Arial" w:hAnsi="Arial" w:cs="Arial" w:hint="default"/>
        </w:rPr>
        <w:t xml:space="preserve"> the parties should take care of</w:t>
      </w:r>
      <w:r>
        <w:rPr>
          <w:rFonts w:ascii="Arial" w:hAnsi="Arial" w:cs="Arial" w:hint="default"/>
        </w:rPr>
        <w:t xml:space="preserve"> the duties how they are framed as the courts find some wording like </w:t>
      </w:r>
      <w:r>
        <w:rPr>
          <w:rFonts w:ascii="Arial" w:hAnsi="Arial" w:cs="Arial"/>
        </w:rPr>
        <w:t xml:space="preserve">"champion the partnering </w:t>
      </w:r>
      <w:r>
        <w:rPr>
          <w:rFonts w:ascii="Arial" w:hAnsi="Arial" w:cs="Arial" w:hint="default"/>
        </w:rPr>
        <w:t>relationship, “that is too uncertain in imposing a duty</w:t>
      </w:r>
      <w:r>
        <w:rPr>
          <w:rStyle w:val="FootnoteReference"/>
          <w:rFonts w:ascii="Arial" w:hAnsi="Arial" w:cs="Arial" w:hint="default"/>
        </w:rPr>
        <w:footnoteReference w:id="33"/>
      </w:r>
      <w:r>
        <w:rPr>
          <w:rFonts w:ascii="Arial" w:hAnsi="Arial" w:cs="Arial" w:hint="default"/>
        </w:rPr>
        <w:t>.</w:t>
      </w:r>
    </w:p>
    <w:p w14:paraId="53F44F7B" w14:textId="7D1BFAEF"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The parties are also recommended to be specific on during the acting in good faith on every party duty. It is recommended the parties to be honest and act with integrity in what is required of them, such as disclosing information</w:t>
      </w:r>
      <w:r>
        <w:rPr>
          <w:rStyle w:val="FootnoteReference"/>
          <w:rFonts w:ascii="Arial" w:hAnsi="Arial" w:cs="Arial" w:hint="default"/>
        </w:rPr>
        <w:footnoteReference w:id="34"/>
      </w:r>
      <w:r>
        <w:rPr>
          <w:rFonts w:ascii="Arial" w:hAnsi="Arial" w:cs="Arial" w:hint="default"/>
        </w:rPr>
        <w:t xml:space="preserve">. In cases where </w:t>
      </w:r>
      <w:r w:rsidR="00C45014">
        <w:rPr>
          <w:rFonts w:ascii="Arial" w:hAnsi="Arial" w:cs="Arial" w:hint="default"/>
        </w:rPr>
        <w:t>the</w:t>
      </w:r>
      <w:r>
        <w:rPr>
          <w:rFonts w:ascii="Arial" w:hAnsi="Arial" w:cs="Arial" w:hint="default"/>
        </w:rPr>
        <w:t xml:space="preserve"> party is acting against their commercial interes</w:t>
      </w:r>
      <w:r w:rsidR="00C45014">
        <w:rPr>
          <w:rFonts w:ascii="Arial" w:hAnsi="Arial" w:cs="Arial" w:hint="default"/>
        </w:rPr>
        <w:t>t, they should be clear to extent that upright</w:t>
      </w:r>
      <w:r>
        <w:rPr>
          <w:rFonts w:ascii="Arial" w:hAnsi="Arial" w:cs="Arial" w:hint="default"/>
        </w:rPr>
        <w:t xml:space="preserve"> faith does not require the parties to act contrary to own interest.</w:t>
      </w:r>
    </w:p>
    <w:p w14:paraId="1CA81436" w14:textId="5A5DD5F0" w:rsidR="00171F7A" w:rsidRDefault="00171F7A" w:rsidP="00D537DE">
      <w:pPr>
        <w:pStyle w:val="HTMLPreformatted"/>
        <w:shd w:val="clear" w:color="auto" w:fill="FFFFFF"/>
        <w:spacing w:afterLines="100" w:after="240" w:line="360" w:lineRule="auto"/>
        <w:jc w:val="both"/>
        <w:rPr>
          <w:rFonts w:ascii="Arial" w:hAnsi="Arial" w:cs="Arial" w:hint="default"/>
        </w:rPr>
      </w:pPr>
      <w:r w:rsidRPr="00171F7A">
        <w:rPr>
          <w:rFonts w:ascii="Arial" w:hAnsi="Arial" w:cs="Arial"/>
        </w:rPr>
        <w:t>There are cases where</w:t>
      </w:r>
      <w:r w:rsidR="007C70B6">
        <w:rPr>
          <w:rFonts w:ascii="Arial" w:hAnsi="Arial" w:cs="Arial" w:hint="default"/>
        </w:rPr>
        <w:t xml:space="preserve"> a</w:t>
      </w:r>
      <w:r w:rsidRPr="00171F7A">
        <w:rPr>
          <w:rFonts w:ascii="Arial" w:hAnsi="Arial" w:cs="Arial"/>
        </w:rPr>
        <w:t xml:space="preserve"> good will</w:t>
      </w:r>
      <w:r w:rsidR="007C70B6">
        <w:rPr>
          <w:rFonts w:ascii="Arial" w:hAnsi="Arial" w:cs="Arial"/>
        </w:rPr>
        <w:t xml:space="preserve"> mostly is</w:t>
      </w:r>
      <w:r w:rsidRPr="00171F7A">
        <w:rPr>
          <w:rFonts w:ascii="Arial" w:hAnsi="Arial" w:cs="Arial"/>
        </w:rPr>
        <w:t xml:space="preserve"> breached, considering this there are mitigation measures that</w:t>
      </w:r>
      <w:r w:rsidR="007C70B6">
        <w:rPr>
          <w:rFonts w:ascii="Arial" w:hAnsi="Arial" w:cs="Arial" w:hint="default"/>
        </w:rPr>
        <w:t xml:space="preserve"> different</w:t>
      </w:r>
      <w:r w:rsidRPr="00171F7A">
        <w:rPr>
          <w:rFonts w:ascii="Arial" w:hAnsi="Arial" w:cs="Arial"/>
        </w:rPr>
        <w:t xml:space="preserve"> parties should put into consideration. In cases where good will performance is impossible or ineffective, the parties involved have to ensure that the damage is minimized as a result of the agreement no matter the fault</w:t>
      </w:r>
      <w:r w:rsidR="00C55BD3">
        <w:rPr>
          <w:rStyle w:val="FootnoteReference"/>
          <w:rFonts w:ascii="Arial" w:hAnsi="Arial" w:cs="Arial" w:hint="default"/>
        </w:rPr>
        <w:footnoteReference w:id="35"/>
      </w:r>
      <w:r w:rsidRPr="00171F7A">
        <w:rPr>
          <w:rFonts w:ascii="Arial" w:hAnsi="Arial" w:cs="Arial"/>
        </w:rPr>
        <w:t>. The mitigation duty has much adequate importance eithe</w:t>
      </w:r>
      <w:r w:rsidR="007C70B6">
        <w:rPr>
          <w:rFonts w:ascii="Arial" w:hAnsi="Arial" w:cs="Arial"/>
        </w:rPr>
        <w:t xml:space="preserve">r economic </w:t>
      </w:r>
      <w:r w:rsidR="00DB1347">
        <w:rPr>
          <w:rFonts w:ascii="Arial" w:hAnsi="Arial" w:cs="Arial"/>
        </w:rPr>
        <w:t xml:space="preserve"> and </w:t>
      </w:r>
      <w:r w:rsidR="00DB1347">
        <w:rPr>
          <w:rFonts w:ascii="Arial" w:hAnsi="Arial" w:cs="Arial" w:hint="default"/>
        </w:rPr>
        <w:t>stresses</w:t>
      </w:r>
      <w:r w:rsidR="00DB1347">
        <w:rPr>
          <w:rFonts w:ascii="Arial" w:hAnsi="Arial" w:cs="Arial"/>
        </w:rPr>
        <w:t xml:space="preserve"> of upright</w:t>
      </w:r>
      <w:r w:rsidRPr="00171F7A">
        <w:rPr>
          <w:rFonts w:ascii="Arial" w:hAnsi="Arial" w:cs="Arial"/>
        </w:rPr>
        <w:t xml:space="preserve"> faith</w:t>
      </w:r>
      <w:r w:rsidR="00D761EC">
        <w:rPr>
          <w:rStyle w:val="FootnoteReference"/>
          <w:rFonts w:ascii="Arial" w:hAnsi="Arial" w:cs="Arial" w:hint="default"/>
        </w:rPr>
        <w:footnoteReference w:id="36"/>
      </w:r>
      <w:r w:rsidRPr="00171F7A">
        <w:rPr>
          <w:rFonts w:ascii="Arial" w:hAnsi="Arial" w:cs="Arial"/>
        </w:rPr>
        <w:t xml:space="preserve">. In some cases, a party may tempt to cause economic injuries to </w:t>
      </w:r>
      <w:r w:rsidR="00751297" w:rsidRPr="00171F7A">
        <w:rPr>
          <w:rFonts w:ascii="Arial" w:hAnsi="Arial" w:cs="Arial" w:hint="default"/>
        </w:rPr>
        <w:t>improvement</w:t>
      </w:r>
      <w:r w:rsidRPr="00171F7A">
        <w:rPr>
          <w:rFonts w:ascii="Arial" w:hAnsi="Arial" w:cs="Arial"/>
        </w:rPr>
        <w:t xml:space="preserve"> a </w:t>
      </w:r>
      <w:r w:rsidR="00751297" w:rsidRPr="00171F7A">
        <w:rPr>
          <w:rFonts w:ascii="Arial" w:hAnsi="Arial" w:cs="Arial" w:hint="default"/>
        </w:rPr>
        <w:t>good</w:t>
      </w:r>
      <w:r w:rsidRPr="00171F7A">
        <w:rPr>
          <w:rFonts w:ascii="Arial" w:hAnsi="Arial" w:cs="Arial"/>
        </w:rPr>
        <w:t xml:space="preserve"> edge. On the other hand, </w:t>
      </w:r>
      <w:r w:rsidR="0075499B">
        <w:rPr>
          <w:rFonts w:ascii="Arial" w:hAnsi="Arial" w:cs="Arial" w:hint="default"/>
        </w:rPr>
        <w:t>it is</w:t>
      </w:r>
      <w:r w:rsidRPr="00171F7A">
        <w:rPr>
          <w:rFonts w:ascii="Arial" w:hAnsi="Arial" w:cs="Arial"/>
        </w:rPr>
        <w:t xml:space="preserve"> a matter of </w:t>
      </w:r>
      <w:r w:rsidR="00F52C8B" w:rsidRPr="00171F7A">
        <w:rPr>
          <w:rFonts w:ascii="Arial" w:hAnsi="Arial" w:cs="Arial" w:hint="default"/>
        </w:rPr>
        <w:t>malice</w:t>
      </w:r>
      <w:r w:rsidRPr="00171F7A">
        <w:rPr>
          <w:rFonts w:ascii="Arial" w:hAnsi="Arial" w:cs="Arial"/>
        </w:rPr>
        <w:t xml:space="preserve">. Despite the </w:t>
      </w:r>
      <w:r w:rsidR="003B1D05" w:rsidRPr="00171F7A">
        <w:rPr>
          <w:rFonts w:ascii="Arial" w:hAnsi="Arial" w:cs="Arial" w:hint="default"/>
        </w:rPr>
        <w:t>incentive</w:t>
      </w:r>
      <w:r w:rsidRPr="00171F7A">
        <w:rPr>
          <w:rFonts w:ascii="Arial" w:hAnsi="Arial" w:cs="Arial"/>
        </w:rPr>
        <w:t xml:space="preserve">, its </w:t>
      </w:r>
      <w:r w:rsidR="003B1D05" w:rsidRPr="00171F7A">
        <w:rPr>
          <w:rFonts w:ascii="Arial" w:hAnsi="Arial" w:cs="Arial" w:hint="default"/>
        </w:rPr>
        <w:t>disappointment</w:t>
      </w:r>
      <w:r w:rsidRPr="00171F7A">
        <w:rPr>
          <w:rFonts w:ascii="Arial" w:hAnsi="Arial" w:cs="Arial"/>
        </w:rPr>
        <w:t xml:space="preserve"> to have a mitigation measure is </w:t>
      </w:r>
      <w:r w:rsidR="00DB1347" w:rsidRPr="00171F7A">
        <w:rPr>
          <w:rFonts w:ascii="Arial" w:hAnsi="Arial" w:cs="Arial" w:hint="default"/>
        </w:rPr>
        <w:t>characterized</w:t>
      </w:r>
      <w:r w:rsidRPr="00171F7A">
        <w:rPr>
          <w:rFonts w:ascii="Arial" w:hAnsi="Arial" w:cs="Arial"/>
        </w:rPr>
        <w:t xml:space="preserve"> as an unfair deal. The parties should work together in order to mitigate damages through informing each other if there is an inability to perform or an intention to suspend a contract since all this implicate a failure to an agreement.</w:t>
      </w:r>
    </w:p>
    <w:p w14:paraId="7D714734" w14:textId="73851693" w:rsidR="00F41A40"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lastRenderedPageBreak/>
        <w:t>By considering the above recommendation, the parties that are involved in the act in good faith act in a defined and express way in their contracts. Through this impunity and uncertainty of the terms of the contract is avoided.</w:t>
      </w:r>
    </w:p>
    <w:p w14:paraId="5777F124" w14:textId="77777777"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b/>
        </w:rPr>
        <w:t>10. Conclusion</w:t>
      </w:r>
    </w:p>
    <w:p w14:paraId="2F6AC879" w14:textId="3A48D48F" w:rsidR="000F3A25" w:rsidRDefault="007A6B86" w:rsidP="00D537DE">
      <w:pPr>
        <w:pStyle w:val="HTMLPreformatted"/>
        <w:shd w:val="clear" w:color="auto" w:fill="FFFFFF"/>
        <w:spacing w:afterLines="100" w:after="240" w:line="360" w:lineRule="auto"/>
        <w:jc w:val="both"/>
        <w:rPr>
          <w:rFonts w:ascii="Arial" w:hAnsi="Arial" w:cs="Arial" w:hint="default"/>
        </w:rPr>
      </w:pPr>
      <w:r>
        <w:rPr>
          <w:rFonts w:ascii="Arial" w:hAnsi="Arial" w:cs="Arial" w:hint="default"/>
        </w:rPr>
        <w:t xml:space="preserve">English courts </w:t>
      </w:r>
      <w:r w:rsidR="003B1D05">
        <w:rPr>
          <w:rFonts w:ascii="Arial" w:hAnsi="Arial" w:cs="Arial" w:hint="default"/>
        </w:rPr>
        <w:t>associations with the principle of upright</w:t>
      </w:r>
      <w:r>
        <w:rPr>
          <w:rFonts w:ascii="Arial" w:hAnsi="Arial" w:cs="Arial" w:hint="default"/>
        </w:rPr>
        <w:t xml:space="preserve"> faith has seemed to change overtime. There </w:t>
      </w:r>
      <w:r w:rsidR="000715B3">
        <w:rPr>
          <w:rFonts w:ascii="Arial" w:hAnsi="Arial" w:cs="Arial" w:hint="default"/>
        </w:rPr>
        <w:t>isn’t any</w:t>
      </w:r>
      <w:r>
        <w:rPr>
          <w:rFonts w:ascii="Arial" w:hAnsi="Arial" w:cs="Arial" w:hint="default"/>
        </w:rPr>
        <w:t xml:space="preserve"> </w:t>
      </w:r>
      <w:r w:rsidR="000451CD">
        <w:rPr>
          <w:rFonts w:ascii="Arial" w:hAnsi="Arial" w:cs="Arial" w:hint="default"/>
        </w:rPr>
        <w:t>responsibility of upright</w:t>
      </w:r>
      <w:r>
        <w:rPr>
          <w:rFonts w:ascii="Arial" w:hAnsi="Arial" w:cs="Arial" w:hint="default"/>
        </w:rPr>
        <w:t xml:space="preserve"> faith in</w:t>
      </w:r>
      <w:r w:rsidR="00563713">
        <w:rPr>
          <w:rFonts w:ascii="Arial" w:hAnsi="Arial" w:cs="Arial" w:hint="default"/>
        </w:rPr>
        <w:t xml:space="preserve"> the</w:t>
      </w:r>
      <w:r>
        <w:rPr>
          <w:rFonts w:ascii="Arial" w:hAnsi="Arial" w:cs="Arial" w:hint="default"/>
        </w:rPr>
        <w:t xml:space="preserve"> English</w:t>
      </w:r>
      <w:r w:rsidR="000715B3">
        <w:rPr>
          <w:rFonts w:ascii="Arial" w:hAnsi="Arial" w:cs="Arial" w:hint="default"/>
        </w:rPr>
        <w:t xml:space="preserve"> law contract</w:t>
      </w:r>
      <w:r>
        <w:rPr>
          <w:rFonts w:ascii="Arial" w:hAnsi="Arial" w:cs="Arial" w:hint="default"/>
        </w:rPr>
        <w:t>. Howeve</w:t>
      </w:r>
      <w:r w:rsidR="00D90249">
        <w:rPr>
          <w:rFonts w:ascii="Arial" w:hAnsi="Arial" w:cs="Arial" w:hint="default"/>
        </w:rPr>
        <w:t xml:space="preserve">r, it is finding its way to </w:t>
      </w:r>
      <w:r>
        <w:rPr>
          <w:rFonts w:ascii="Arial" w:hAnsi="Arial" w:cs="Arial" w:hint="default"/>
        </w:rPr>
        <w:t xml:space="preserve">commercial contracts in both inclusion and terms in its implication. </w:t>
      </w:r>
      <w:r w:rsidR="0056194B">
        <w:rPr>
          <w:rFonts w:ascii="Arial" w:hAnsi="Arial" w:cs="Arial" w:hint="default"/>
        </w:rPr>
        <w:t xml:space="preserve">By recognizing good faith is welcoming </w:t>
      </w:r>
      <w:r w:rsidR="001F685F">
        <w:rPr>
          <w:rFonts w:ascii="Arial" w:hAnsi="Arial" w:cs="Arial" w:hint="default"/>
        </w:rPr>
        <w:t>growth</w:t>
      </w:r>
      <w:r w:rsidR="0056194B">
        <w:rPr>
          <w:rFonts w:ascii="Arial" w:hAnsi="Arial" w:cs="Arial" w:hint="default"/>
        </w:rPr>
        <w:t xml:space="preserve"> in the country. </w:t>
      </w:r>
      <w:r w:rsidR="00E52489">
        <w:rPr>
          <w:rFonts w:ascii="Arial" w:hAnsi="Arial" w:cs="Arial" w:hint="default"/>
        </w:rPr>
        <w:t>With</w:t>
      </w:r>
      <w:r w:rsidR="0056194B">
        <w:rPr>
          <w:rFonts w:ascii="Arial" w:hAnsi="Arial" w:cs="Arial" w:hint="default"/>
        </w:rPr>
        <w:t xml:space="preserve"> the help of the courts good will in contracts will be enhanced </w:t>
      </w:r>
      <w:r w:rsidR="00E52489">
        <w:rPr>
          <w:rFonts w:ascii="Arial" w:hAnsi="Arial" w:cs="Arial" w:hint="default"/>
        </w:rPr>
        <w:t>by</w:t>
      </w:r>
      <w:r w:rsidR="00183E46">
        <w:rPr>
          <w:rFonts w:ascii="Arial" w:hAnsi="Arial" w:cs="Arial" w:hint="default"/>
        </w:rPr>
        <w:t xml:space="preserve"> giving effect. On the other </w:t>
      </w:r>
      <w:r w:rsidR="006F25CD">
        <w:rPr>
          <w:rFonts w:ascii="Arial" w:hAnsi="Arial" w:cs="Arial" w:hint="default"/>
        </w:rPr>
        <w:t>hand,</w:t>
      </w:r>
      <w:r w:rsidR="00183E46">
        <w:rPr>
          <w:rFonts w:ascii="Arial" w:hAnsi="Arial" w:cs="Arial" w:hint="default"/>
        </w:rPr>
        <w:t xml:space="preserve"> Good faith will promote fair and honesty dealing </w:t>
      </w:r>
      <w:r w:rsidR="00E52489">
        <w:rPr>
          <w:rFonts w:ascii="Arial" w:hAnsi="Arial" w:cs="Arial" w:hint="default"/>
        </w:rPr>
        <w:t xml:space="preserve">among commercial operators. </w:t>
      </w:r>
      <w:r>
        <w:rPr>
          <w:rFonts w:ascii="Arial" w:hAnsi="Arial" w:cs="Arial" w:hint="default"/>
        </w:rPr>
        <w:t>English courts have much work to be done to the standards of good will, for instance, it never answers what are the ways forward if a party breaches the terms. Good faith comes up with new t</w:t>
      </w:r>
      <w:r w:rsidR="00E900B6">
        <w:rPr>
          <w:rFonts w:ascii="Arial" w:hAnsi="Arial" w:cs="Arial" w:hint="default"/>
        </w:rPr>
        <w:t xml:space="preserve">erminology by </w:t>
      </w:r>
      <w:r w:rsidR="007D3342">
        <w:rPr>
          <w:rFonts w:ascii="Arial" w:hAnsi="Arial" w:cs="Arial" w:hint="default"/>
        </w:rPr>
        <w:t>shifting attention</w:t>
      </w:r>
      <w:r w:rsidR="00134969">
        <w:rPr>
          <w:rFonts w:ascii="Arial" w:hAnsi="Arial" w:cs="Arial" w:hint="default"/>
        </w:rPr>
        <w:t xml:space="preserve"> to matters that have never</w:t>
      </w:r>
      <w:r>
        <w:rPr>
          <w:rFonts w:ascii="Arial" w:hAnsi="Arial" w:cs="Arial" w:hint="default"/>
        </w:rPr>
        <w:t xml:space="preserve"> been recognized as significant. However, the legal metho</w:t>
      </w:r>
      <w:r w:rsidR="00134969">
        <w:rPr>
          <w:rFonts w:ascii="Arial" w:hAnsi="Arial" w:cs="Arial" w:hint="default"/>
        </w:rPr>
        <w:t>d remains no matter</w:t>
      </w:r>
      <w:r>
        <w:rPr>
          <w:rFonts w:ascii="Arial" w:hAnsi="Arial" w:cs="Arial" w:hint="default"/>
        </w:rPr>
        <w:t xml:space="preserve"> whether is through good w</w:t>
      </w:r>
      <w:r w:rsidR="003F2F1B">
        <w:rPr>
          <w:rFonts w:ascii="Arial" w:hAnsi="Arial" w:cs="Arial" w:hint="default"/>
        </w:rPr>
        <w:t>ill or reasonableness. It cannot</w:t>
      </w:r>
      <w:r w:rsidR="00134969">
        <w:rPr>
          <w:rFonts w:ascii="Arial" w:hAnsi="Arial" w:cs="Arial" w:hint="default"/>
        </w:rPr>
        <w:t xml:space="preserve"> be</w:t>
      </w:r>
      <w:r>
        <w:rPr>
          <w:rFonts w:ascii="Arial" w:hAnsi="Arial" w:cs="Arial" w:hint="default"/>
        </w:rPr>
        <w:t xml:space="preserve"> opposed that the recognition of good will principle will bring </w:t>
      </w:r>
      <w:r w:rsidR="007D3342">
        <w:rPr>
          <w:rFonts w:ascii="Arial" w:hAnsi="Arial" w:cs="Arial" w:hint="default"/>
        </w:rPr>
        <w:t>indecision</w:t>
      </w:r>
      <w:r>
        <w:rPr>
          <w:rFonts w:ascii="Arial" w:hAnsi="Arial" w:cs="Arial" w:hint="default"/>
        </w:rPr>
        <w:t xml:space="preserve"> </w:t>
      </w:r>
      <w:r w:rsidR="00042759">
        <w:rPr>
          <w:rFonts w:ascii="Arial" w:hAnsi="Arial" w:cs="Arial" w:hint="default"/>
        </w:rPr>
        <w:t>in the English</w:t>
      </w:r>
      <w:r w:rsidR="008764F4">
        <w:rPr>
          <w:rFonts w:ascii="Arial" w:hAnsi="Arial" w:cs="Arial" w:hint="default"/>
        </w:rPr>
        <w:t xml:space="preserve"> law. The </w:t>
      </w:r>
      <w:r w:rsidR="00567DC3">
        <w:rPr>
          <w:rFonts w:ascii="Arial" w:hAnsi="Arial" w:cs="Arial" w:hint="default"/>
        </w:rPr>
        <w:t>importance of having good will consume more</w:t>
      </w:r>
      <w:r>
        <w:rPr>
          <w:rFonts w:ascii="Arial" w:hAnsi="Arial" w:cs="Arial" w:hint="default"/>
        </w:rPr>
        <w:t xml:space="preserve"> time, and raising </w:t>
      </w:r>
      <w:r w:rsidR="00D53CD7">
        <w:rPr>
          <w:rFonts w:ascii="Arial" w:hAnsi="Arial" w:cs="Arial" w:hint="default"/>
        </w:rPr>
        <w:t>queries</w:t>
      </w:r>
      <w:r>
        <w:rPr>
          <w:rFonts w:ascii="Arial" w:hAnsi="Arial" w:cs="Arial" w:hint="default"/>
        </w:rPr>
        <w:t xml:space="preserve"> practical and theoretical</w:t>
      </w:r>
      <w:r w:rsidR="00D53CD7">
        <w:rPr>
          <w:rFonts w:ascii="Arial" w:hAnsi="Arial" w:cs="Arial" w:hint="default"/>
        </w:rPr>
        <w:t xml:space="preserve"> that</w:t>
      </w:r>
      <w:bookmarkStart w:id="1" w:name="_GoBack"/>
      <w:bookmarkEnd w:id="1"/>
      <w:r>
        <w:rPr>
          <w:rFonts w:ascii="Arial" w:hAnsi="Arial" w:cs="Arial" w:hint="default"/>
        </w:rPr>
        <w:t xml:space="preserve"> </w:t>
      </w:r>
      <w:r w:rsidR="00D53CD7">
        <w:rPr>
          <w:rFonts w:ascii="Arial" w:hAnsi="Arial" w:cs="Arial" w:hint="default"/>
        </w:rPr>
        <w:t>continue</w:t>
      </w:r>
      <w:r>
        <w:rPr>
          <w:rFonts w:ascii="Arial" w:hAnsi="Arial" w:cs="Arial" w:hint="default"/>
        </w:rPr>
        <w:t xml:space="preserve"> to be answered.</w:t>
      </w:r>
    </w:p>
    <w:p w14:paraId="2E998DFE" w14:textId="77777777" w:rsidR="00D537DE" w:rsidRDefault="00D537DE" w:rsidP="00D537DE">
      <w:pPr>
        <w:spacing w:afterLines="100" w:after="240" w:line="360" w:lineRule="auto"/>
        <w:rPr>
          <w:rFonts w:ascii="Arial" w:eastAsia="SimSun" w:hAnsi="Arial" w:cs="Arial"/>
          <w:lang w:eastAsia="zh-CN"/>
        </w:rPr>
      </w:pPr>
      <w:r>
        <w:rPr>
          <w:rFonts w:ascii="Arial" w:hAnsi="Arial" w:cs="Arial"/>
        </w:rPr>
        <w:br w:type="page"/>
      </w:r>
    </w:p>
    <w:p w14:paraId="53E9206A" w14:textId="77777777" w:rsidR="000F3A25" w:rsidRPr="00D537DE" w:rsidRDefault="007A6B86" w:rsidP="00D537DE">
      <w:pPr>
        <w:pStyle w:val="HTMLPreformatted"/>
        <w:shd w:val="clear" w:color="auto" w:fill="FFFFFF"/>
        <w:spacing w:afterLines="100" w:after="240" w:line="360" w:lineRule="auto"/>
        <w:jc w:val="both"/>
        <w:rPr>
          <w:rFonts w:ascii="Arial" w:hAnsi="Arial" w:cs="Arial" w:hint="default"/>
          <w:b/>
        </w:rPr>
      </w:pPr>
      <w:r w:rsidRPr="00D537DE">
        <w:rPr>
          <w:rFonts w:ascii="Arial" w:hAnsi="Arial" w:cs="Arial"/>
          <w:b/>
        </w:rPr>
        <w:lastRenderedPageBreak/>
        <w:t>Bibliography</w:t>
      </w:r>
    </w:p>
    <w:p w14:paraId="318D65DD"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 xml:space="preserve">A Farnsworth, </w:t>
      </w:r>
      <w:r>
        <w:rPr>
          <w:rFonts w:ascii="Arial" w:hAnsi="Arial" w:cs="Arial"/>
        </w:rPr>
        <w:t>“</w:t>
      </w:r>
      <w:r>
        <w:rPr>
          <w:rFonts w:ascii="Arial" w:hAnsi="Arial" w:cs="Arial"/>
        </w:rPr>
        <w:t>Good Faith in Contract Performance</w:t>
      </w:r>
      <w:r>
        <w:rPr>
          <w:rFonts w:ascii="Arial" w:hAnsi="Arial" w:cs="Arial"/>
        </w:rPr>
        <w:t>”</w:t>
      </w:r>
      <w:r>
        <w:rPr>
          <w:rFonts w:ascii="Arial" w:hAnsi="Arial" w:cs="Arial"/>
        </w:rPr>
        <w:t xml:space="preserve">, Beatson and </w:t>
      </w:r>
      <w:r>
        <w:rPr>
          <w:rFonts w:ascii="Arial" w:hAnsi="Arial" w:cs="Arial" w:hint="default"/>
        </w:rPr>
        <w:tab/>
      </w:r>
      <w:r>
        <w:rPr>
          <w:rFonts w:ascii="Arial" w:hAnsi="Arial" w:cs="Arial"/>
        </w:rPr>
        <w:t xml:space="preserve">Friedmann (eds) Good Faith and Fault in Contract Law, Clarendon </w:t>
      </w:r>
      <w:r>
        <w:rPr>
          <w:rFonts w:ascii="Arial" w:hAnsi="Arial" w:cs="Arial" w:hint="default"/>
        </w:rPr>
        <w:tab/>
      </w:r>
      <w:r>
        <w:rPr>
          <w:rFonts w:ascii="Arial" w:hAnsi="Arial" w:cs="Arial"/>
        </w:rPr>
        <w:t>Press Oxford (1995) p 157 .</w:t>
      </w:r>
    </w:p>
    <w:p w14:paraId="4799357F" w14:textId="77777777" w:rsidR="00F41A40" w:rsidRDefault="00F41A40" w:rsidP="00D537DE">
      <w:pPr>
        <w:pStyle w:val="HTMLPreformatted"/>
        <w:shd w:val="clear" w:color="auto" w:fill="FFFFFF"/>
        <w:spacing w:afterLines="100" w:after="240" w:line="360" w:lineRule="auto"/>
        <w:ind w:left="480" w:hanging="480"/>
        <w:jc w:val="both"/>
        <w:rPr>
          <w:rFonts w:ascii="Arial" w:hAnsi="Arial" w:cs="Arial" w:hint="default"/>
        </w:rPr>
      </w:pPr>
      <w:r w:rsidRPr="00F41A40">
        <w:rPr>
          <w:rFonts w:ascii="Arial" w:hAnsi="Arial" w:cs="Arial"/>
        </w:rPr>
        <w:t>vAir India, Balabel. "TABix OF CASES."</w:t>
      </w:r>
    </w:p>
    <w:p w14:paraId="73554BDD" w14:textId="5BA62034"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Swan, "Whither Contracts: A Retrospective and Prospective Overview", in Special Lectures of the Law Society</w:t>
      </w:r>
      <w:r w:rsidR="00D537DE">
        <w:rPr>
          <w:rFonts w:ascii="Arial" w:hAnsi="Arial" w:cs="Arial"/>
        </w:rPr>
        <w:t xml:space="preserve"> of Upper Canada 1984 -- Law in </w:t>
      </w:r>
      <w:r>
        <w:rPr>
          <w:rFonts w:ascii="Arial" w:hAnsi="Arial" w:cs="Arial"/>
        </w:rPr>
        <w:t>Transition: Contracts (1984), 125, at p 148.</w:t>
      </w:r>
    </w:p>
    <w:p w14:paraId="1AF69FA1" w14:textId="77777777" w:rsidR="00626868" w:rsidRDefault="00626868" w:rsidP="00D537DE">
      <w:pPr>
        <w:pStyle w:val="HTMLPreformatted"/>
        <w:shd w:val="clear" w:color="auto" w:fill="FFFFFF"/>
        <w:spacing w:afterLines="100" w:after="240" w:line="360" w:lineRule="auto"/>
        <w:ind w:left="480" w:hanging="480"/>
        <w:jc w:val="both"/>
        <w:rPr>
          <w:rFonts w:ascii="Arial" w:hAnsi="Arial" w:cs="Arial" w:hint="default"/>
        </w:rPr>
      </w:pPr>
      <w:r w:rsidRPr="00626868">
        <w:rPr>
          <w:rFonts w:ascii="Arial" w:hAnsi="Arial" w:cs="Arial"/>
        </w:rPr>
        <w:t>Thomas, David. "Contractual obligations of good faith." Const. L. Int'l 7 (2012): 31.</w:t>
      </w:r>
    </w:p>
    <w:p w14:paraId="4E4F5A4B" w14:textId="02569326"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Yam Seng Pte v International Trade Corp [2013] EWHC 111 (QB)</w:t>
      </w:r>
    </w:p>
    <w:p w14:paraId="41781A72" w14:textId="7884379B" w:rsidR="000F3A25" w:rsidRDefault="00EA2647" w:rsidP="00D537DE">
      <w:pPr>
        <w:pStyle w:val="HTMLPreformatted"/>
        <w:shd w:val="clear" w:color="auto" w:fill="FFFFFF"/>
        <w:spacing w:afterLines="100" w:after="240" w:line="360" w:lineRule="auto"/>
        <w:ind w:left="480" w:hanging="480"/>
        <w:jc w:val="both"/>
        <w:rPr>
          <w:rFonts w:ascii="Arial" w:hAnsi="Arial" w:cs="Arial" w:hint="default"/>
        </w:rPr>
      </w:pPr>
      <w:r w:rsidRPr="00EA2647">
        <w:rPr>
          <w:rFonts w:ascii="Arial" w:hAnsi="Arial" w:cs="Arial"/>
        </w:rPr>
        <w:t xml:space="preserve">Poole, Jill. Textbook on contract law. Oxford University Press, 2016. </w:t>
      </w:r>
      <w:r w:rsidR="007A6B86">
        <w:rPr>
          <w:rFonts w:ascii="Arial" w:hAnsi="Arial" w:cs="Arial"/>
        </w:rPr>
        <w:t>[2013] EWHC 1151 (TCC) at [36].</w:t>
      </w:r>
    </w:p>
    <w:p w14:paraId="5D3B3049" w14:textId="77777777" w:rsidR="007A2AC7" w:rsidRDefault="00B4171D" w:rsidP="00D537DE">
      <w:pPr>
        <w:pStyle w:val="HTMLPreformatted"/>
        <w:shd w:val="clear" w:color="auto" w:fill="FFFFFF"/>
        <w:spacing w:afterLines="100" w:after="240" w:line="360" w:lineRule="auto"/>
        <w:ind w:left="480" w:hanging="480"/>
        <w:jc w:val="both"/>
        <w:rPr>
          <w:rFonts w:ascii="Arial" w:hAnsi="Arial" w:cs="Arial" w:hint="default"/>
        </w:rPr>
      </w:pPr>
      <w:r w:rsidRPr="00B4171D">
        <w:rPr>
          <w:rFonts w:ascii="Arial" w:hAnsi="Arial" w:cs="Arial"/>
        </w:rPr>
        <w:t>Baughen, Simon. Shipping law. Routledge, 2015.</w:t>
      </w:r>
    </w:p>
    <w:p w14:paraId="5C84C817" w14:textId="42B84539"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At [175]</w:t>
      </w:r>
    </w:p>
    <w:p w14:paraId="6CFCF76A"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Mid Essex Hospital Services NHS Trust v Compass Group UK and Ireland Ltd (trading as Medirest) [2013] EWCA Civ 200. It should be noted that duties of good faith are relevant in the context of certain kinds of contracts, such as contracts of agency, insurance, employment and contracts with consumers; however, these are beyond the scope of this article</w:t>
      </w:r>
    </w:p>
    <w:p w14:paraId="47203A44" w14:textId="77777777" w:rsidR="002E33DB" w:rsidRDefault="002E33DB" w:rsidP="00D537DE">
      <w:pPr>
        <w:pStyle w:val="HTMLPreformatted"/>
        <w:shd w:val="clear" w:color="auto" w:fill="FFFFFF"/>
        <w:spacing w:afterLines="100" w:after="240" w:line="360" w:lineRule="auto"/>
        <w:ind w:left="480" w:hanging="480"/>
        <w:jc w:val="both"/>
        <w:rPr>
          <w:rFonts w:ascii="Arial" w:hAnsi="Arial" w:cs="Arial" w:hint="default"/>
        </w:rPr>
      </w:pPr>
      <w:r w:rsidRPr="002E33DB">
        <w:rPr>
          <w:rFonts w:ascii="Arial" w:hAnsi="Arial" w:cs="Arial"/>
        </w:rPr>
        <w:t>Samuel, Geoffrey. Epistemology and method in law. Routledge, 2016.</w:t>
      </w:r>
    </w:p>
    <w:p w14:paraId="3720F02B" w14:textId="3A682755" w:rsidR="002E33DB" w:rsidRDefault="002E33DB" w:rsidP="00D537DE">
      <w:pPr>
        <w:pStyle w:val="HTMLPreformatted"/>
        <w:shd w:val="clear" w:color="auto" w:fill="FFFFFF"/>
        <w:spacing w:afterLines="100" w:after="240" w:line="360" w:lineRule="auto"/>
        <w:ind w:left="480" w:hanging="480"/>
        <w:jc w:val="both"/>
        <w:rPr>
          <w:rFonts w:ascii="Arial" w:hAnsi="Arial" w:cs="Arial" w:hint="default"/>
        </w:rPr>
      </w:pPr>
      <w:r w:rsidRPr="002E33DB">
        <w:rPr>
          <w:rFonts w:ascii="Arial" w:hAnsi="Arial" w:cs="Arial"/>
        </w:rPr>
        <w:t>Jackson, Emily. Medical law: text, cases, and materials. Oxford University Press, 2013.</w:t>
      </w:r>
    </w:p>
    <w:p w14:paraId="40EF692B" w14:textId="05AA716C"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Bristol Groundschool Limited v Whittingham [2014] EWHC 2145 (Ch); D&amp;G Cars Ltd v Essex Police Authority [2015] EWHC 226 (QB)</w:t>
      </w:r>
    </w:p>
    <w:p w14:paraId="3BA26047"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lastRenderedPageBreak/>
        <w:t>Collins, Hugh. "Good faith in European contract law." Oxford Journal of Legal Studies 14, no. 2 (1994): 229-254.</w:t>
      </w:r>
    </w:p>
    <w:p w14:paraId="5F544C79"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Newman, Ralph A. "Renaissance of Good Faith in Contracting in Anglo-American Law." Cornell L. Rev. 54 (1968): 553.</w:t>
      </w:r>
    </w:p>
    <w:p w14:paraId="40069F24"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Teubner, Gunther. "Legal irritants: good faith in British law or how unifying law ends up in new divergencies." The Modern Law Review 61, no. 1 (1998): 11-32.</w:t>
      </w:r>
    </w:p>
    <w:p w14:paraId="6D3BE154" w14:textId="3EE698DE" w:rsidR="000F3A25" w:rsidRDefault="007A2AC7" w:rsidP="00D537DE">
      <w:pPr>
        <w:pStyle w:val="HTMLPreformatted"/>
        <w:shd w:val="clear" w:color="auto" w:fill="FFFFFF"/>
        <w:spacing w:afterLines="100" w:after="240" w:line="360" w:lineRule="auto"/>
        <w:ind w:left="480" w:hanging="480"/>
        <w:jc w:val="both"/>
        <w:rPr>
          <w:rFonts w:ascii="Arial" w:hAnsi="Arial" w:cs="Arial" w:hint="default"/>
        </w:rPr>
      </w:pPr>
      <w:r w:rsidRPr="007A2AC7">
        <w:rPr>
          <w:rFonts w:ascii="Arial" w:hAnsi="Arial" w:cs="Arial"/>
        </w:rPr>
        <w:t>Monahan, Geoff. Essential contract law. Routledge-Cavendish, 2001.</w:t>
      </w:r>
      <w:r w:rsidR="007A6B86">
        <w:rPr>
          <w:rFonts w:ascii="Arial" w:hAnsi="Arial" w:cs="Arial"/>
        </w:rPr>
        <w:t>Above n2 at 41-42 per Handley JA (dissenting).</w:t>
      </w:r>
    </w:p>
    <w:p w14:paraId="71E9C53D" w14:textId="77777777" w:rsidR="00F6055D" w:rsidRDefault="00F6055D" w:rsidP="00D537DE">
      <w:pPr>
        <w:pStyle w:val="HTMLPreformatted"/>
        <w:shd w:val="clear" w:color="auto" w:fill="FFFFFF"/>
        <w:spacing w:afterLines="100" w:after="240" w:line="360" w:lineRule="auto"/>
        <w:ind w:left="480" w:hanging="480"/>
        <w:jc w:val="both"/>
        <w:rPr>
          <w:rFonts w:ascii="Arial" w:hAnsi="Arial" w:cs="Arial" w:hint="default"/>
        </w:rPr>
      </w:pPr>
      <w:r w:rsidRPr="00F6055D">
        <w:rPr>
          <w:rFonts w:ascii="Arial" w:hAnsi="Arial" w:cs="Arial"/>
        </w:rPr>
        <w:t>Maniruzzaman, A. F. M. "The concept of good faith in international investment disputes-the arbitrator's dilemma." Amicus Curiae 2012, no. 89 (2012): 16-18.</w:t>
      </w:r>
    </w:p>
    <w:p w14:paraId="5257E0DC" w14:textId="3040AAE0" w:rsidR="004E6A86" w:rsidRDefault="004E6A86" w:rsidP="00D537DE">
      <w:pPr>
        <w:pStyle w:val="HTMLPreformatted"/>
        <w:shd w:val="clear" w:color="auto" w:fill="FFFFFF"/>
        <w:spacing w:afterLines="100" w:after="240" w:line="360" w:lineRule="auto"/>
        <w:ind w:left="480" w:hanging="480"/>
        <w:jc w:val="both"/>
        <w:rPr>
          <w:rFonts w:ascii="Arial" w:hAnsi="Arial" w:cs="Arial" w:hint="default"/>
        </w:rPr>
      </w:pPr>
      <w:r w:rsidRPr="004E6A86">
        <w:rPr>
          <w:rFonts w:ascii="Arial" w:hAnsi="Arial" w:cs="Arial"/>
        </w:rPr>
        <w:t>O'Connor, Joseph F. Good faith in international law. Dartmouth Pub Co, 1991.</w:t>
      </w:r>
    </w:p>
    <w:p w14:paraId="15DBC28F"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See Carter v Boehm (1766) 97 E.R. 1162, 3 Burr. 1905, 1910. See also Mellish v Motteux (1792) 170 E.R.113, 113</w:t>
      </w:r>
      <w:r>
        <w:rPr>
          <w:rFonts w:ascii="Arial" w:hAnsi="Arial" w:cs="Arial"/>
        </w:rPr>
        <w:t>–</w:t>
      </w:r>
      <w:r>
        <w:rPr>
          <w:rFonts w:ascii="Arial" w:hAnsi="Arial" w:cs="Arial"/>
        </w:rPr>
        <w:t xml:space="preserve">14, Peake at 156See L.E. Trakman, </w:t>
      </w:r>
      <w:r>
        <w:rPr>
          <w:rFonts w:ascii="Arial" w:hAnsi="Arial" w:cs="Arial"/>
        </w:rPr>
        <w:t>“</w:t>
      </w:r>
      <w:r>
        <w:rPr>
          <w:rFonts w:ascii="Arial" w:hAnsi="Arial" w:cs="Arial"/>
        </w:rPr>
        <w:t>Pluralism in Contract Law</w:t>
      </w:r>
      <w:r>
        <w:rPr>
          <w:rFonts w:ascii="Arial" w:hAnsi="Arial" w:cs="Arial"/>
        </w:rPr>
        <w:t>”</w:t>
      </w:r>
      <w:r>
        <w:rPr>
          <w:rFonts w:ascii="Arial" w:hAnsi="Arial" w:cs="Arial"/>
        </w:rPr>
        <w:t xml:space="preserve"> (2010) 58 Buff.L.R. 1031.</w:t>
      </w:r>
    </w:p>
    <w:p w14:paraId="2AC3A970"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 xml:space="preserve">See C.C. Turpin, </w:t>
      </w:r>
      <w:r>
        <w:rPr>
          <w:rFonts w:ascii="Arial" w:hAnsi="Arial" w:cs="Arial"/>
        </w:rPr>
        <w:t>“</w:t>
      </w:r>
      <w:r>
        <w:rPr>
          <w:rFonts w:ascii="Arial" w:hAnsi="Arial" w:cs="Arial"/>
        </w:rPr>
        <w:t>Bonae Fidei Induciae</w:t>
      </w:r>
      <w:r>
        <w:rPr>
          <w:rFonts w:ascii="Arial" w:hAnsi="Arial" w:cs="Arial"/>
        </w:rPr>
        <w:t>”</w:t>
      </w:r>
      <w:r>
        <w:rPr>
          <w:rFonts w:ascii="Arial" w:hAnsi="Arial" w:cs="Arial"/>
        </w:rPr>
        <w:t xml:space="preserve"> [1996] C.L.J. 260. See also </w:t>
      </w:r>
      <w:r>
        <w:rPr>
          <w:rFonts w:ascii="Arial" w:hAnsi="Arial" w:cs="Arial" w:hint="default"/>
        </w:rPr>
        <w:tab/>
      </w:r>
      <w:r>
        <w:rPr>
          <w:rFonts w:ascii="Arial" w:hAnsi="Arial" w:cs="Arial"/>
        </w:rPr>
        <w:t>Barbudev v Eurocom Cable</w:t>
      </w:r>
      <w:r>
        <w:rPr>
          <w:rFonts w:ascii="Arial" w:hAnsi="Arial" w:cs="Arial" w:hint="default"/>
        </w:rPr>
        <w:t xml:space="preserve"> </w:t>
      </w:r>
      <w:r>
        <w:rPr>
          <w:rFonts w:ascii="Arial" w:hAnsi="Arial" w:cs="Arial"/>
        </w:rPr>
        <w:t xml:space="preserve">Managements Bulgaria EOOD and </w:t>
      </w:r>
      <w:r>
        <w:rPr>
          <w:rFonts w:ascii="Arial" w:hAnsi="Arial" w:cs="Arial" w:hint="default"/>
        </w:rPr>
        <w:tab/>
      </w:r>
      <w:r>
        <w:rPr>
          <w:rFonts w:ascii="Arial" w:hAnsi="Arial" w:cs="Arial"/>
        </w:rPr>
        <w:t>others [2011] EWHC 1560 (Comm).</w:t>
      </w:r>
    </w:p>
    <w:p w14:paraId="74E64110" w14:textId="77777777" w:rsidR="002E33DB" w:rsidRDefault="002E33DB" w:rsidP="00D537DE">
      <w:pPr>
        <w:pStyle w:val="HTMLPreformatted"/>
        <w:shd w:val="clear" w:color="auto" w:fill="FFFFFF"/>
        <w:spacing w:afterLines="100" w:after="240" w:line="360" w:lineRule="auto"/>
        <w:ind w:left="480" w:hanging="480"/>
        <w:jc w:val="both"/>
        <w:rPr>
          <w:rFonts w:ascii="Arial" w:hAnsi="Arial" w:cs="Arial" w:hint="default"/>
        </w:rPr>
      </w:pPr>
      <w:r w:rsidRPr="002E33DB">
        <w:rPr>
          <w:rFonts w:ascii="Arial" w:hAnsi="Arial" w:cs="Arial"/>
        </w:rPr>
        <w:t>Vorster, J. P. "The influence of English law on the implication of terms in the South African law of contract." S. African LJ 104 (1987): 588.</w:t>
      </w:r>
    </w:p>
    <w:p w14:paraId="622421AB" w14:textId="405B0364" w:rsidR="003A0521" w:rsidRDefault="003A0521" w:rsidP="00D537DE">
      <w:pPr>
        <w:pStyle w:val="HTMLPreformatted"/>
        <w:shd w:val="clear" w:color="auto" w:fill="FFFFFF"/>
        <w:spacing w:afterLines="100" w:after="240" w:line="360" w:lineRule="auto"/>
        <w:ind w:left="480" w:hanging="480"/>
        <w:jc w:val="both"/>
        <w:rPr>
          <w:rFonts w:ascii="Arial" w:hAnsi="Arial" w:cs="Arial" w:hint="default"/>
        </w:rPr>
      </w:pPr>
      <w:r w:rsidRPr="003A0521">
        <w:rPr>
          <w:rFonts w:ascii="Arial" w:hAnsi="Arial" w:cs="Arial"/>
        </w:rPr>
        <w:t>Klein, John. "Good faith in International transactions." Liverpool law review 15, no. 2 (1993): 115-141.</w:t>
      </w:r>
    </w:p>
    <w:p w14:paraId="77EB6802"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See Liverpool City Council v Irwin [1977] A.C. 239, 261 (Lord Salmon)</w:t>
      </w:r>
    </w:p>
    <w:p w14:paraId="1D0202A6"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See New Zealand Shipping Co Ltd. v Soci</w:t>
      </w:r>
      <w:r>
        <w:rPr>
          <w:rFonts w:ascii="Arial" w:hAnsi="Arial" w:cs="Arial"/>
        </w:rPr>
        <w:t>é</w:t>
      </w:r>
      <w:r>
        <w:rPr>
          <w:rFonts w:ascii="Arial" w:hAnsi="Arial" w:cs="Arial"/>
        </w:rPr>
        <w:t>t</w:t>
      </w:r>
      <w:r>
        <w:rPr>
          <w:rFonts w:ascii="Arial" w:hAnsi="Arial" w:cs="Arial"/>
        </w:rPr>
        <w:t>é</w:t>
      </w:r>
      <w:r>
        <w:rPr>
          <w:rFonts w:ascii="Arial" w:hAnsi="Arial" w:cs="Arial"/>
        </w:rPr>
        <w:t xml:space="preserve"> des Ateliers et Chantiers de France [1919] A.C. 1, 9.</w:t>
      </w:r>
    </w:p>
    <w:p w14:paraId="712C5FC3"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lastRenderedPageBreak/>
        <w:t xml:space="preserve">On the distinction between good faith duties in English and codified civil law </w:t>
      </w:r>
      <w:r>
        <w:rPr>
          <w:rFonts w:ascii="Arial" w:hAnsi="Arial" w:cs="Arial" w:hint="default"/>
        </w:rPr>
        <w:tab/>
      </w:r>
      <w:r>
        <w:rPr>
          <w:rFonts w:ascii="Arial" w:hAnsi="Arial" w:cs="Arial"/>
        </w:rPr>
        <w:t xml:space="preserve">systems of Europe, see </w:t>
      </w:r>
    </w:p>
    <w:p w14:paraId="4E62A44A"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Lord Bingham in Interfoto Picture Library Ltd. v Stiletto Visual Programmes Ltd. [1989] 1 Q.B. 433,</w:t>
      </w:r>
    </w:p>
    <w:p w14:paraId="39458CD1"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 xml:space="preserve">439; Director General of Fair Trading v First National Bank [2001] UKHL 52, </w:t>
      </w:r>
      <w:r>
        <w:rPr>
          <w:rFonts w:ascii="Arial" w:hAnsi="Arial" w:cs="Arial" w:hint="default"/>
        </w:rPr>
        <w:tab/>
      </w:r>
      <w:r>
        <w:rPr>
          <w:rFonts w:ascii="Arial" w:hAnsi="Arial" w:cs="Arial"/>
        </w:rPr>
        <w:t>[2002] 1 A.C. 481 a [17].</w:t>
      </w:r>
    </w:p>
    <w:p w14:paraId="3C37F0EA"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 xml:space="preserve">On the decline of </w:t>
      </w:r>
      <w:r>
        <w:rPr>
          <w:rFonts w:ascii="Arial" w:hAnsi="Arial" w:cs="Arial"/>
        </w:rPr>
        <w:t>“</w:t>
      </w:r>
      <w:r>
        <w:rPr>
          <w:rFonts w:ascii="Arial" w:hAnsi="Arial" w:cs="Arial"/>
        </w:rPr>
        <w:t>good faith</w:t>
      </w:r>
      <w:r>
        <w:rPr>
          <w:rFonts w:ascii="Arial" w:hAnsi="Arial" w:cs="Arial"/>
        </w:rPr>
        <w:t>”</w:t>
      </w:r>
      <w:r>
        <w:rPr>
          <w:rFonts w:ascii="Arial" w:hAnsi="Arial" w:cs="Arial"/>
        </w:rPr>
        <w:t xml:space="preserve"> duties as a measure of </w:t>
      </w:r>
      <w:r>
        <w:rPr>
          <w:rFonts w:ascii="Arial" w:hAnsi="Arial" w:cs="Arial"/>
        </w:rPr>
        <w:t>“</w:t>
      </w:r>
      <w:r>
        <w:rPr>
          <w:rFonts w:ascii="Arial" w:hAnsi="Arial" w:cs="Arial"/>
        </w:rPr>
        <w:t>fair dealing</w:t>
      </w:r>
      <w:r>
        <w:rPr>
          <w:rFonts w:ascii="Arial" w:hAnsi="Arial" w:cs="Arial"/>
        </w:rPr>
        <w:t>”</w:t>
      </w:r>
      <w:r>
        <w:rPr>
          <w:rFonts w:ascii="Arial" w:hAnsi="Arial" w:cs="Arial"/>
        </w:rPr>
        <w:t xml:space="preserve"> in contracting, see A.F. Mason,</w:t>
      </w:r>
      <w:r>
        <w:rPr>
          <w:rFonts w:ascii="Arial" w:hAnsi="Arial" w:cs="Arial"/>
        </w:rPr>
        <w:t>“</w:t>
      </w:r>
      <w:r>
        <w:rPr>
          <w:rFonts w:ascii="Arial" w:hAnsi="Arial" w:cs="Arial"/>
        </w:rPr>
        <w:t>Contract, Good Faith and Equitable Standards in Fair Dealing</w:t>
      </w:r>
      <w:r>
        <w:rPr>
          <w:rFonts w:ascii="Arial" w:hAnsi="Arial" w:cs="Arial"/>
        </w:rPr>
        <w:t>”</w:t>
      </w:r>
      <w:r>
        <w:rPr>
          <w:rFonts w:ascii="Arial" w:hAnsi="Arial" w:cs="Arial"/>
        </w:rPr>
        <w:t xml:space="preserve"> (2000) 116 L.Q.R. 66; P. Atiyah,</w:t>
      </w:r>
      <w:r>
        <w:rPr>
          <w:rFonts w:ascii="Arial" w:hAnsi="Arial" w:cs="Arial" w:hint="default"/>
        </w:rPr>
        <w:t xml:space="preserve"> </w:t>
      </w:r>
      <w:r>
        <w:rPr>
          <w:rFonts w:ascii="Arial" w:hAnsi="Arial" w:cs="Arial"/>
        </w:rPr>
        <w:t>The Rise and Fall of Freedom of Contract (Oxford 1979), 402</w:t>
      </w:r>
      <w:r>
        <w:rPr>
          <w:rFonts w:ascii="Arial" w:hAnsi="Arial" w:cs="Arial"/>
        </w:rPr>
        <w:t>–</w:t>
      </w:r>
      <w:r>
        <w:rPr>
          <w:rFonts w:ascii="Arial" w:hAnsi="Arial" w:cs="Arial"/>
        </w:rPr>
        <w:t xml:space="preserve">05. But </w:t>
      </w:r>
      <w:r>
        <w:rPr>
          <w:rFonts w:ascii="Arial" w:hAnsi="Arial" w:cs="Arial" w:hint="default"/>
        </w:rPr>
        <w:tab/>
      </w:r>
      <w:r>
        <w:rPr>
          <w:rFonts w:ascii="Arial" w:hAnsi="Arial" w:cs="Arial"/>
        </w:rPr>
        <w:t>see Yam Seng [2013]</w:t>
      </w:r>
      <w:r>
        <w:rPr>
          <w:rFonts w:ascii="Arial" w:hAnsi="Arial" w:cs="Arial" w:hint="default"/>
        </w:rPr>
        <w:t xml:space="preserve"> </w:t>
      </w:r>
      <w:r>
        <w:rPr>
          <w:rFonts w:ascii="Arial" w:hAnsi="Arial" w:cs="Arial"/>
        </w:rPr>
        <w:t xml:space="preserve">EWHC 111, in which the High Court implied a </w:t>
      </w:r>
      <w:r>
        <w:rPr>
          <w:rFonts w:ascii="Arial" w:hAnsi="Arial" w:cs="Arial" w:hint="default"/>
        </w:rPr>
        <w:tab/>
      </w:r>
      <w:r>
        <w:rPr>
          <w:rFonts w:ascii="Arial" w:hAnsi="Arial" w:cs="Arial"/>
        </w:rPr>
        <w:t>duty to negotiate in good faith into a long-term distribution</w:t>
      </w:r>
      <w:r>
        <w:rPr>
          <w:rFonts w:ascii="Arial" w:hAnsi="Arial" w:cs="Arial" w:hint="default"/>
        </w:rPr>
        <w:t xml:space="preserve"> </w:t>
      </w:r>
      <w:r>
        <w:rPr>
          <w:rFonts w:ascii="Arial" w:hAnsi="Arial" w:cs="Arial" w:hint="default"/>
        </w:rPr>
        <w:tab/>
      </w:r>
      <w:r>
        <w:rPr>
          <w:rFonts w:ascii="Arial" w:hAnsi="Arial" w:cs="Arial"/>
        </w:rPr>
        <w:t xml:space="preserve">agreement. On resistance to duties to contract in good faith in </w:t>
      </w:r>
      <w:r>
        <w:rPr>
          <w:rFonts w:ascii="Arial" w:hAnsi="Arial" w:cs="Arial" w:hint="default"/>
        </w:rPr>
        <w:tab/>
      </w:r>
      <w:r>
        <w:rPr>
          <w:rFonts w:ascii="Arial" w:hAnsi="Arial" w:cs="Arial"/>
        </w:rPr>
        <w:t>general among Australian judges,</w:t>
      </w:r>
      <w:r>
        <w:rPr>
          <w:rFonts w:ascii="Arial" w:hAnsi="Arial" w:cs="Arial" w:hint="default"/>
        </w:rPr>
        <w:t xml:space="preserve"> </w:t>
      </w:r>
      <w:r>
        <w:rPr>
          <w:rFonts w:ascii="Arial" w:hAnsi="Arial" w:cs="Arial"/>
        </w:rPr>
        <w:t>see e.g. Service Station Association Ltd. v Berg Bennett &amp; Associates Pty Ltd. (1993) 45 F.C.R. 84, 91</w:t>
      </w:r>
      <w:r>
        <w:rPr>
          <w:rFonts w:ascii="Arial" w:hAnsi="Arial" w:cs="Arial"/>
        </w:rPr>
        <w:t>–</w:t>
      </w:r>
      <w:r>
        <w:rPr>
          <w:rFonts w:ascii="Arial" w:hAnsi="Arial" w:cs="Arial" w:hint="default"/>
        </w:rPr>
        <w:t xml:space="preserve"> </w:t>
      </w:r>
      <w:r>
        <w:rPr>
          <w:rFonts w:ascii="Arial" w:hAnsi="Arial" w:cs="Arial"/>
        </w:rPr>
        <w:t>98 (Gummow J.); South Sydney District Rugby League Football Club Ltd. v News Ltd. [2000] FCA</w:t>
      </w:r>
      <w:r>
        <w:rPr>
          <w:rFonts w:ascii="Arial" w:hAnsi="Arial" w:cs="Arial" w:hint="default"/>
        </w:rPr>
        <w:t xml:space="preserve"> </w:t>
      </w:r>
      <w:r>
        <w:rPr>
          <w:rFonts w:ascii="Arial" w:hAnsi="Arial" w:cs="Arial"/>
        </w:rPr>
        <w:t>1541, (2000) 177 A.L.R. 611 at [238]</w:t>
      </w:r>
      <w:r w:rsidR="00D537DE">
        <w:rPr>
          <w:rFonts w:ascii="Arial" w:hAnsi="Arial" w:cs="Arial" w:hint="default"/>
        </w:rPr>
        <w:t xml:space="preserve"> </w:t>
      </w:r>
      <w:r w:rsidR="00D537DE">
        <w:rPr>
          <w:rFonts w:ascii="Arial" w:hAnsi="Arial" w:cs="Arial"/>
        </w:rPr>
        <w:t>–</w:t>
      </w:r>
      <w:r w:rsidR="00D537DE">
        <w:rPr>
          <w:rFonts w:ascii="Arial" w:hAnsi="Arial" w:cs="Arial" w:hint="default"/>
        </w:rPr>
        <w:t xml:space="preserve"> [</w:t>
      </w:r>
      <w:r>
        <w:rPr>
          <w:rFonts w:ascii="Arial" w:hAnsi="Arial" w:cs="Arial"/>
        </w:rPr>
        <w:t>239].</w:t>
      </w:r>
    </w:p>
    <w:p w14:paraId="49220352"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University of East Anglia, Norwich Law School.</w:t>
      </w:r>
    </w:p>
    <w:p w14:paraId="38E6311D"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R. Powell, "Good Faith in Contracts" (1956) 9 C.L.P. 16.</w:t>
      </w:r>
    </w:p>
    <w:p w14:paraId="71F6F495" w14:textId="77777777" w:rsidR="000F3A25" w:rsidRDefault="007A6B86" w:rsidP="00D537DE">
      <w:pPr>
        <w:pStyle w:val="HTMLPreformatted"/>
        <w:shd w:val="clear" w:color="auto" w:fill="FFFFFF"/>
        <w:spacing w:afterLines="100" w:after="240" w:line="360" w:lineRule="auto"/>
        <w:ind w:left="480" w:hanging="480"/>
        <w:jc w:val="both"/>
        <w:rPr>
          <w:rFonts w:ascii="Arial" w:hAnsi="Arial" w:cs="Arial" w:hint="default"/>
        </w:rPr>
      </w:pPr>
      <w:r>
        <w:rPr>
          <w:rFonts w:ascii="Arial" w:hAnsi="Arial" w:cs="Arial"/>
        </w:rPr>
        <w:t xml:space="preserve">Cp. E. McKendrick, "Good Faith: A Matter of </w:t>
      </w:r>
      <w:r w:rsidR="00D537DE">
        <w:rPr>
          <w:rFonts w:ascii="Arial" w:hAnsi="Arial" w:cs="Arial" w:hint="default"/>
        </w:rPr>
        <w:t>Principle?</w:t>
      </w:r>
      <w:r>
        <w:rPr>
          <w:rFonts w:ascii="Arial" w:hAnsi="Arial" w:cs="Arial"/>
        </w:rPr>
        <w:t xml:space="preserve"> in Forte op. cit, p. 39, 59; R.</w:t>
      </w:r>
      <w:r>
        <w:rPr>
          <w:rFonts w:ascii="Arial" w:hAnsi="Arial" w:cs="Arial" w:hint="default"/>
        </w:rPr>
        <w:t xml:space="preserve"> </w:t>
      </w:r>
      <w:r>
        <w:rPr>
          <w:rFonts w:ascii="Arial" w:hAnsi="Arial" w:cs="Arial"/>
        </w:rPr>
        <w:t xml:space="preserve">Zimmermann </w:t>
      </w:r>
      <w:r w:rsidR="00D537DE">
        <w:rPr>
          <w:rFonts w:ascii="Arial" w:hAnsi="Arial" w:cs="Arial"/>
        </w:rPr>
        <w:t xml:space="preserve">&amp; S. Whittaker op cit., p. 13. </w:t>
      </w:r>
    </w:p>
    <w:p w14:paraId="4FF0CCBC" w14:textId="302B5618" w:rsidR="009D3D09" w:rsidRDefault="009D3D09" w:rsidP="00D537DE">
      <w:pPr>
        <w:pStyle w:val="HTMLPreformatted"/>
        <w:shd w:val="clear" w:color="auto" w:fill="FFFFFF"/>
        <w:spacing w:afterLines="100" w:after="240" w:line="360" w:lineRule="auto"/>
        <w:ind w:left="480" w:hanging="480"/>
        <w:jc w:val="both"/>
        <w:rPr>
          <w:rFonts w:ascii="Arial" w:hAnsi="Arial" w:cs="Arial" w:hint="default"/>
        </w:rPr>
      </w:pPr>
      <w:r w:rsidRPr="009D3D09">
        <w:rPr>
          <w:rFonts w:ascii="Arial" w:hAnsi="Arial" w:cs="Arial"/>
        </w:rPr>
        <w:t>Klein, John. "Good faith in International transactions." Liverpool law review 15, no. 2 (1993): 115-141.</w:t>
      </w:r>
    </w:p>
    <w:p w14:paraId="79EC5FD4" w14:textId="01CAB2FD" w:rsidR="006808C9" w:rsidRDefault="006808C9" w:rsidP="00D537DE">
      <w:pPr>
        <w:pStyle w:val="HTMLPreformatted"/>
        <w:shd w:val="clear" w:color="auto" w:fill="FFFFFF"/>
        <w:spacing w:afterLines="100" w:after="240" w:line="360" w:lineRule="auto"/>
        <w:ind w:left="480" w:hanging="480"/>
        <w:jc w:val="both"/>
        <w:rPr>
          <w:rFonts w:ascii="Arial" w:hAnsi="Arial" w:cs="Arial" w:hint="default"/>
        </w:rPr>
      </w:pPr>
      <w:r w:rsidRPr="006808C9">
        <w:rPr>
          <w:rFonts w:ascii="Arial" w:hAnsi="Arial" w:cs="Arial"/>
        </w:rPr>
        <w:t>Starr, June. "The" invention" of early legal ideas: Sir Henry Maine and the perpetual tutelage of women'." History and Power in the Study of Law: New directions in legal anthropology (1989): 345-368.</w:t>
      </w:r>
    </w:p>
    <w:p w14:paraId="0095E9A9" w14:textId="77777777" w:rsidR="00C55BD3" w:rsidRDefault="00C55BD3" w:rsidP="00D537DE">
      <w:pPr>
        <w:pStyle w:val="HTMLPreformatted"/>
        <w:shd w:val="clear" w:color="auto" w:fill="FFFFFF"/>
        <w:spacing w:afterLines="100" w:after="240" w:line="360" w:lineRule="auto"/>
        <w:ind w:left="480" w:hanging="480"/>
        <w:jc w:val="both"/>
        <w:rPr>
          <w:rFonts w:ascii="Arial" w:hAnsi="Arial" w:cs="Arial" w:hint="default"/>
        </w:rPr>
      </w:pPr>
    </w:p>
    <w:sectPr w:rsidR="00C55BD3">
      <w:pgSz w:w="11900" w:h="16840"/>
      <w:pgMar w:top="1440" w:right="1800" w:bottom="1440" w:left="180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87476" w14:textId="77777777" w:rsidR="00817FC2" w:rsidRDefault="00817FC2">
      <w:pPr>
        <w:spacing w:after="0" w:line="240" w:lineRule="auto"/>
      </w:pPr>
      <w:r>
        <w:separator/>
      </w:r>
    </w:p>
  </w:endnote>
  <w:endnote w:type="continuationSeparator" w:id="0">
    <w:p w14:paraId="2DA00AF6" w14:textId="77777777" w:rsidR="00817FC2" w:rsidRDefault="0081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default"/>
    <w:sig w:usb0="E1000AEF" w:usb1="5000A1FF" w:usb2="00000000" w:usb3="00000000" w:csb0="200001BF" w:csb1="4F01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23DBA" w14:textId="305CEE05" w:rsidR="000F3A25" w:rsidRDefault="007A6B86">
    <w:pPr>
      <w:pStyle w:val="Footer"/>
      <w:jc w:val="center"/>
    </w:pPr>
    <w:r>
      <w:rPr>
        <w:rStyle w:val="PageNumber"/>
      </w:rPr>
      <w:fldChar w:fldCharType="begin"/>
    </w:r>
    <w:r>
      <w:rPr>
        <w:rStyle w:val="PageNumber"/>
      </w:rPr>
      <w:instrText xml:space="preserve"> PAGE </w:instrText>
    </w:r>
    <w:r>
      <w:rPr>
        <w:rStyle w:val="PageNumber"/>
      </w:rPr>
      <w:fldChar w:fldCharType="separate"/>
    </w:r>
    <w:r w:rsidR="00D53CD7">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51CFB" w14:textId="77777777" w:rsidR="00817FC2" w:rsidRDefault="00817FC2">
      <w:pPr>
        <w:spacing w:after="0" w:line="240" w:lineRule="auto"/>
      </w:pPr>
      <w:r>
        <w:separator/>
      </w:r>
    </w:p>
  </w:footnote>
  <w:footnote w:type="continuationSeparator" w:id="0">
    <w:p w14:paraId="00925069" w14:textId="77777777" w:rsidR="00817FC2" w:rsidRDefault="00817FC2">
      <w:pPr>
        <w:spacing w:after="0" w:line="240" w:lineRule="auto"/>
      </w:pPr>
      <w:r>
        <w:continuationSeparator/>
      </w:r>
    </w:p>
  </w:footnote>
  <w:footnote w:id="1">
    <w:p w14:paraId="427A7807" w14:textId="77777777" w:rsidR="000F3A25" w:rsidRDefault="007A6B86" w:rsidP="00D537DE">
      <w:pPr>
        <w:pStyle w:val="FootnoteText"/>
        <w:spacing w:after="0" w:line="240" w:lineRule="auto"/>
        <w:rPr>
          <w:rFonts w:eastAsia="SimSun"/>
          <w:lang w:eastAsia="zh-CN"/>
        </w:rPr>
      </w:pPr>
      <w:r>
        <w:rPr>
          <w:rStyle w:val="FootnoteReference"/>
        </w:rPr>
        <w:footnoteRef/>
      </w:r>
      <w:r>
        <w:t xml:space="preserve"> </w:t>
      </w:r>
      <w:r>
        <w:rPr>
          <w:rFonts w:ascii="Helvetica" w:eastAsia="Helvetica" w:hAnsi="Helvetica" w:cs="Helvetica"/>
          <w:color w:val="222222"/>
          <w:sz w:val="14"/>
          <w:szCs w:val="14"/>
          <w:shd w:val="clear" w:color="auto" w:fill="FFFFFF"/>
        </w:rPr>
        <w:t> A Farnsworth, “</w:t>
      </w:r>
      <w:r>
        <w:rPr>
          <w:rFonts w:ascii="Helvetica" w:eastAsia="Helvetica" w:hAnsi="Helvetica" w:cs="Helvetica"/>
          <w:i/>
          <w:color w:val="222222"/>
          <w:sz w:val="14"/>
          <w:szCs w:val="14"/>
          <w:shd w:val="clear" w:color="auto" w:fill="FFFFFF"/>
        </w:rPr>
        <w:t>Good Faith in Contract Performance”</w:t>
      </w:r>
      <w:r>
        <w:rPr>
          <w:rFonts w:ascii="Helvetica" w:eastAsia="Helvetica" w:hAnsi="Helvetica" w:cs="Helvetica"/>
          <w:color w:val="222222"/>
          <w:sz w:val="14"/>
          <w:szCs w:val="14"/>
          <w:shd w:val="clear" w:color="auto" w:fill="FFFFFF"/>
        </w:rPr>
        <w:t>, Beatson and Friedmann (eds)</w:t>
      </w:r>
      <w:r>
        <w:rPr>
          <w:rFonts w:ascii="Helvetica" w:eastAsia="Helvetica" w:hAnsi="Helvetica" w:cs="Helvetica"/>
          <w:i/>
          <w:color w:val="222222"/>
          <w:sz w:val="14"/>
          <w:szCs w:val="14"/>
          <w:shd w:val="clear" w:color="auto" w:fill="FFFFFF"/>
        </w:rPr>
        <w:t> Good Faith and Fault in Contract Law</w:t>
      </w:r>
      <w:r>
        <w:rPr>
          <w:rFonts w:ascii="Helvetica" w:eastAsia="Helvetica" w:hAnsi="Helvetica" w:cs="Helvetica"/>
          <w:color w:val="222222"/>
          <w:sz w:val="14"/>
          <w:szCs w:val="14"/>
          <w:shd w:val="clear" w:color="auto" w:fill="FFFFFF"/>
        </w:rPr>
        <w:t xml:space="preserve">, Clarendon Press Oxford (1995) </w:t>
      </w:r>
      <w:r>
        <w:rPr>
          <w:rFonts w:ascii="Helvetica" w:eastAsia="SimSun" w:hAnsi="Helvetica" w:cs="Helvetica" w:hint="eastAsia"/>
          <w:color w:val="222222"/>
          <w:sz w:val="14"/>
          <w:szCs w:val="14"/>
          <w:shd w:val="clear" w:color="auto" w:fill="FFFFFF"/>
          <w:lang w:eastAsia="zh-CN"/>
        </w:rPr>
        <w:t>p</w:t>
      </w:r>
      <w:r>
        <w:rPr>
          <w:rFonts w:ascii="Helvetica" w:eastAsia="Helvetica" w:hAnsi="Helvetica" w:cs="Helvetica"/>
          <w:color w:val="222222"/>
          <w:sz w:val="14"/>
          <w:szCs w:val="14"/>
          <w:shd w:val="clear" w:color="auto" w:fill="FFFFFF"/>
        </w:rPr>
        <w:t xml:space="preserve"> </w:t>
      </w:r>
      <w:r w:rsidR="00D537DE">
        <w:rPr>
          <w:rFonts w:ascii="Helvetica" w:eastAsia="Helvetica" w:hAnsi="Helvetica" w:cs="Helvetica"/>
          <w:color w:val="222222"/>
          <w:sz w:val="14"/>
          <w:szCs w:val="14"/>
          <w:shd w:val="clear" w:color="auto" w:fill="FFFFFF"/>
        </w:rPr>
        <w:t>157.</w:t>
      </w:r>
    </w:p>
  </w:footnote>
  <w:footnote w:id="2">
    <w:p w14:paraId="6F5B8460" w14:textId="77777777" w:rsidR="000F3A25" w:rsidRDefault="007A6B86" w:rsidP="00D537DE">
      <w:pPr>
        <w:pStyle w:val="FootnoteText"/>
        <w:spacing w:after="0" w:line="240" w:lineRule="auto"/>
      </w:pPr>
      <w:r>
        <w:rPr>
          <w:rStyle w:val="FootnoteReference"/>
        </w:rPr>
        <w:footnoteRef/>
      </w:r>
      <w:r>
        <w:t xml:space="preserve"> </w:t>
      </w:r>
      <w:r>
        <w:rPr>
          <w:rFonts w:ascii="Helvetica" w:eastAsia="Helvetica" w:hAnsi="Helvetica" w:cs="Helvetica"/>
          <w:color w:val="222222"/>
          <w:sz w:val="14"/>
          <w:szCs w:val="14"/>
          <w:shd w:val="clear" w:color="auto" w:fill="FFFFFF"/>
        </w:rPr>
        <w:t>[1998] Lexis Citation 1612 (CA).</w:t>
      </w:r>
    </w:p>
  </w:footnote>
  <w:footnote w:id="3">
    <w:p w14:paraId="24F23CEE" w14:textId="77777777" w:rsidR="000F3A25" w:rsidRDefault="007A6B86" w:rsidP="00D537DE">
      <w:pPr>
        <w:pStyle w:val="FootnoteText"/>
        <w:spacing w:after="0" w:line="240" w:lineRule="auto"/>
      </w:pPr>
      <w:r>
        <w:rPr>
          <w:rStyle w:val="FootnoteReference"/>
        </w:rPr>
        <w:footnoteRef/>
      </w:r>
      <w:r>
        <w:t xml:space="preserve"> </w:t>
      </w:r>
      <w:r>
        <w:rPr>
          <w:rFonts w:ascii="Helvetica" w:eastAsia="Helvetica" w:hAnsi="Helvetica" w:cs="Helvetica"/>
          <w:color w:val="222222"/>
          <w:sz w:val="14"/>
          <w:szCs w:val="14"/>
          <w:shd w:val="clear" w:color="auto" w:fill="FFFFFF"/>
        </w:rPr>
        <w:t>Swan, "Whither Contracts: A Retrospective and Prospective Overview", in Special Lectures of the Law Society of Upper Canada 1984 -- Law in Transition: Contracts (1984), 125, at p 148.</w:t>
      </w:r>
    </w:p>
  </w:footnote>
  <w:footnote w:id="4">
    <w:p w14:paraId="7C183938"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lang w:eastAsia="zh-CN"/>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[2010] EWHC 1535 (Ch)</w:t>
      </w:r>
      <w:r>
        <w:rPr>
          <w:rFonts w:ascii="Helvetica" w:eastAsia="Helvetica" w:hAnsi="Helvetica" w:cs="Helvetica" w:hint="eastAsia"/>
          <w:color w:val="222222"/>
          <w:sz w:val="14"/>
          <w:szCs w:val="14"/>
          <w:shd w:val="clear" w:color="auto" w:fill="FFFFFF"/>
          <w:lang w:eastAsia="zh-CN"/>
        </w:rPr>
        <w:t>.</w:t>
      </w:r>
    </w:p>
  </w:footnote>
  <w:footnote w:id="5">
    <w:p w14:paraId="4858137A"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Yam Seng Pte v International Trade Corp [2013] EWHC 111 (QB)</w:t>
      </w:r>
    </w:p>
  </w:footnote>
  <w:footnote w:id="6">
    <w:p w14:paraId="75F00C27"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[2014] EWHC 1156 (Ch) [150]</w:t>
      </w:r>
    </w:p>
  </w:footnote>
  <w:footnote w:id="7">
    <w:p w14:paraId="150F3665"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[2013] EWHC 1151 (TCC) at [36].</w:t>
      </w:r>
    </w:p>
  </w:footnote>
  <w:footnote w:id="8">
    <w:p w14:paraId="03A68ED8"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[2015] EWHC 226 (QB).</w:t>
      </w:r>
    </w:p>
  </w:footnote>
  <w:footnote w:id="9">
    <w:p w14:paraId="27C2B941" w14:textId="77777777" w:rsidR="000F3A25" w:rsidRDefault="007A6B86" w:rsidP="00D537DE">
      <w:pPr>
        <w:pStyle w:val="FootnoteText"/>
        <w:spacing w:after="0" w:line="240" w:lineRule="auto"/>
        <w:rPr>
          <w:rFonts w:ascii="Helvetica" w:eastAsia="Helvetica" w:hAnsi="Helvetica" w:cs="Helvetica"/>
          <w:color w:val="222222"/>
          <w:sz w:val="14"/>
          <w:szCs w:val="14"/>
          <w:shd w:val="clear" w:color="auto" w:fill="FFFFFF"/>
          <w:lang w:eastAsia="zh-CN"/>
        </w:rPr>
      </w:pPr>
      <w:r>
        <w:rPr>
          <w:rFonts w:ascii="Helvetica" w:eastAsia="Helvetica" w:hAnsi="Helvetica" w:cs="Helvetica"/>
          <w:color w:val="222222"/>
          <w:sz w:val="14"/>
          <w:szCs w:val="14"/>
          <w:shd w:val="clear" w:color="auto" w:fill="FFFFFF"/>
        </w:rPr>
        <w:footnoteRef/>
      </w:r>
      <w:r>
        <w:rPr>
          <w:rFonts w:ascii="Helvetica" w:eastAsia="Helvetica" w:hAnsi="Helvetica" w:cs="Helvetica"/>
          <w:color w:val="222222"/>
          <w:sz w:val="14"/>
          <w:szCs w:val="14"/>
          <w:shd w:val="clear" w:color="auto" w:fill="FFFFFF"/>
        </w:rPr>
        <w:t xml:space="preserve"> At [175</w:t>
      </w:r>
      <w:r>
        <w:rPr>
          <w:rFonts w:ascii="Helvetica" w:eastAsia="Helvetica" w:hAnsi="Helvetica" w:cs="Helvetica" w:hint="eastAsia"/>
          <w:color w:val="222222"/>
          <w:sz w:val="14"/>
          <w:szCs w:val="14"/>
          <w:shd w:val="clear" w:color="auto" w:fill="FFFFFF"/>
          <w:lang w:eastAsia="zh-CN"/>
        </w:rPr>
        <w:t>]</w:t>
      </w:r>
    </w:p>
  </w:footnote>
  <w:footnote w:id="10">
    <w:p w14:paraId="7449C2B5" w14:textId="77777777" w:rsidR="000F3A25" w:rsidRDefault="007A6B86" w:rsidP="00D537DE">
      <w:pPr>
        <w:pStyle w:val="FootnoteText"/>
        <w:spacing w:after="0" w:line="240" w:lineRule="auto"/>
        <w:rPr>
          <w:lang w:val="en-GB"/>
        </w:rPr>
      </w:pPr>
      <w:r>
        <w:rPr>
          <w:rStyle w:val="FootnoteReference"/>
        </w:rPr>
        <w:footnoteRef/>
      </w:r>
      <w:r>
        <w:t xml:space="preserve"> Mid Essex Hospital Services NHS Trust v Compass Group UK and Ireland Ltd (trading as Medirest) [2013] EWCA Civ 200. It should be noted that duties of good faith are relevant in the context of certain kinds of contracts, such as contracts of agency, insurance, employment and contracts with consumers; however, these are beyond the scope of this article</w:t>
      </w:r>
    </w:p>
  </w:footnote>
  <w:footnote w:id="11">
    <w:p w14:paraId="4CBFA0A0" w14:textId="77777777" w:rsidR="000F3A25" w:rsidRDefault="007A6B86" w:rsidP="00D537DE">
      <w:pPr>
        <w:pStyle w:val="FootnoteText"/>
        <w:spacing w:after="0" w:line="240" w:lineRule="auto"/>
        <w:rPr>
          <w:lang w:val="en-GB"/>
        </w:rPr>
      </w:pPr>
      <w:r>
        <w:rPr>
          <w:rStyle w:val="FootnoteReference"/>
        </w:rPr>
        <w:footnoteRef/>
      </w:r>
      <w:r>
        <w:t xml:space="preserve"> [1989] QB 433</w:t>
      </w:r>
    </w:p>
  </w:footnote>
  <w:footnote w:id="12">
    <w:p w14:paraId="6E81F22A" w14:textId="77777777" w:rsidR="000F3A25" w:rsidRDefault="007A6B86" w:rsidP="00D537DE">
      <w:pPr>
        <w:pStyle w:val="FootnoteText"/>
        <w:spacing w:after="0" w:line="240" w:lineRule="auto"/>
        <w:rPr>
          <w:lang w:val="en-GB"/>
        </w:rPr>
      </w:pPr>
      <w:r>
        <w:rPr>
          <w:rStyle w:val="FootnoteReference"/>
        </w:rPr>
        <w:footnoteRef/>
      </w:r>
      <w:r>
        <w:t xml:space="preserve"> [2013] EWHC 111 (QB)</w:t>
      </w:r>
    </w:p>
  </w:footnote>
  <w:footnote w:id="13">
    <w:p w14:paraId="0A341F82" w14:textId="77777777" w:rsidR="000F3A25" w:rsidRDefault="007A6B86" w:rsidP="00D537DE">
      <w:pPr>
        <w:pStyle w:val="FootnoteText"/>
        <w:spacing w:after="0" w:line="240" w:lineRule="auto"/>
        <w:rPr>
          <w:lang w:val="en-GB"/>
        </w:rPr>
      </w:pPr>
      <w:r>
        <w:rPr>
          <w:rStyle w:val="FootnoteReference"/>
        </w:rPr>
        <w:footnoteRef/>
      </w:r>
      <w:r>
        <w:t xml:space="preserve"> Bristol Groundschool Limited v Whittingham [2014] EWHC 2145 (Ch); D&amp;G Cars Ltd v Essex Police Authority [2015] EWHC 226 (QB)</w:t>
      </w:r>
    </w:p>
  </w:footnote>
  <w:footnote w:id="14">
    <w:p w14:paraId="0CA98796" w14:textId="77777777" w:rsidR="000F3A25" w:rsidRDefault="007A6B86" w:rsidP="00D537DE">
      <w:pPr>
        <w:pStyle w:val="FootnoteText"/>
        <w:spacing w:after="0" w:line="240" w:lineRule="auto"/>
        <w:rPr>
          <w:lang w:val="en-GB"/>
        </w:rPr>
      </w:pPr>
      <w:r>
        <w:rPr>
          <w:rStyle w:val="FootnoteReference"/>
        </w:rPr>
        <w:footnoteRef/>
      </w:r>
      <w:r>
        <w:t xml:space="preserve"> Collins, Hugh. "Good faith in European contract law." Oxford Journal of Legal Studies 14, no. 2 (1994): 229-254.</w:t>
      </w:r>
    </w:p>
  </w:footnote>
  <w:footnote w:id="15">
    <w:p w14:paraId="5EC3324C" w14:textId="77777777" w:rsidR="000F3A25" w:rsidRDefault="007A6B86" w:rsidP="00D537DE">
      <w:pPr>
        <w:pStyle w:val="FootnoteText"/>
        <w:spacing w:after="0" w:line="240" w:lineRule="auto"/>
        <w:rPr>
          <w:lang w:val="en-GB"/>
        </w:rPr>
      </w:pPr>
      <w:r>
        <w:rPr>
          <w:rStyle w:val="FootnoteReference"/>
        </w:rPr>
        <w:footnoteRef/>
      </w:r>
      <w:r>
        <w:t xml:space="preserve"> Newman, Ralph A. "Renaissance of Good Faith in Contracting in Anglo-American Law." Cornell L. Rev. 54 (1968): 553.</w:t>
      </w:r>
    </w:p>
  </w:footnote>
  <w:footnote w:id="16">
    <w:p w14:paraId="68247B5A" w14:textId="055A72A2" w:rsidR="006808C9" w:rsidRPr="006808C9" w:rsidRDefault="006808C9">
      <w:pPr>
        <w:pStyle w:val="FootnoteText"/>
        <w:rPr>
          <w:lang w:val="en-GB"/>
        </w:rPr>
      </w:pPr>
      <w:r>
        <w:rPr>
          <w:rStyle w:val="FootnoteReference"/>
        </w:rPr>
        <w:footnoteRef/>
      </w:r>
      <w:r>
        <w:t xml:space="preserve"> </w:t>
      </w:r>
      <w:r w:rsidRPr="006808C9">
        <w:t>Ibid. at 2 (quoting Sir Henry Maine, Ancient Law, ed. Sir Frederick Pollock, J. Murray, 1930, 52)</w:t>
      </w:r>
    </w:p>
  </w:footnote>
  <w:footnote w:id="17">
    <w:p w14:paraId="06E1C867" w14:textId="4FBDCBCF" w:rsidR="0093331A" w:rsidRPr="0093331A" w:rsidRDefault="0093331A">
      <w:pPr>
        <w:pStyle w:val="FootnoteText"/>
        <w:rPr>
          <w:lang w:val="en-GB"/>
        </w:rPr>
      </w:pPr>
      <w:r>
        <w:rPr>
          <w:rStyle w:val="FootnoteReference"/>
        </w:rPr>
        <w:footnoteRef/>
      </w:r>
      <w:r>
        <w:t xml:space="preserve"> </w:t>
      </w:r>
      <w:r w:rsidRPr="0093331A">
        <w:t>Common and civil law systems have adopted different approaches to the good faith obligation at the nego</w:t>
      </w:r>
      <w:r w:rsidR="00E40A9E" w:rsidRPr="00E40A9E">
        <w:t xml:space="preserve"> O'Connor, Joseph F. Good faith in international law. Dartmouth Pub Co, 1991.</w:t>
      </w:r>
      <w:r w:rsidRPr="0093331A">
        <w:t>tiation stage. See infra notes 17-26.</w:t>
      </w:r>
    </w:p>
  </w:footnote>
  <w:footnote w:id="18">
    <w:p w14:paraId="6C992450" w14:textId="79CD1DBF" w:rsidR="00E40A9E" w:rsidRPr="00E40A9E" w:rsidRDefault="00E40A9E">
      <w:pPr>
        <w:pStyle w:val="FootnoteText"/>
        <w:rPr>
          <w:lang w:val="en-GB"/>
        </w:rPr>
      </w:pPr>
      <w:r>
        <w:rPr>
          <w:rStyle w:val="FootnoteReference"/>
        </w:rPr>
        <w:footnoteRef/>
      </w:r>
      <w:r>
        <w:t xml:space="preserve"> </w:t>
      </w:r>
      <w:r w:rsidR="00CB4BA5" w:rsidRPr="00CB4BA5">
        <w:t>Ibid. at *2 - *3, (quoting section 164(2) of the Restatement (Second) of Contracts (1979) (citations omitted).</w:t>
      </w:r>
    </w:p>
  </w:footnote>
  <w:footnote w:id="19">
    <w:p w14:paraId="2A4C7969" w14:textId="737032D7" w:rsidR="00F23B8A" w:rsidRPr="00F23B8A" w:rsidRDefault="00F23B8A">
      <w:pPr>
        <w:pStyle w:val="FootnoteText"/>
        <w:rPr>
          <w:lang w:val="en-GB"/>
        </w:rPr>
      </w:pPr>
      <w:r>
        <w:rPr>
          <w:rStyle w:val="FootnoteReference"/>
        </w:rPr>
        <w:footnoteRef/>
      </w:r>
      <w:r>
        <w:t xml:space="preserve"> </w:t>
      </w:r>
      <w:r w:rsidRPr="00F23B8A">
        <w:t>Ibid. at *2 - *3, (quoting section 164(2) of the Restatement (Second) of Contracts (1979) (citations omitted).</w:t>
      </w:r>
    </w:p>
  </w:footnote>
  <w:footnote w:id="20">
    <w:p w14:paraId="016D7F48" w14:textId="77777777" w:rsidR="000F3A25" w:rsidRDefault="007A6B86" w:rsidP="00D537DE">
      <w:pPr>
        <w:pStyle w:val="FootnoteText"/>
        <w:spacing w:after="0" w:line="240" w:lineRule="auto"/>
        <w:rPr>
          <w:lang w:val="en-GB"/>
        </w:rPr>
      </w:pPr>
      <w:r>
        <w:rPr>
          <w:rStyle w:val="FootnoteReference"/>
        </w:rPr>
        <w:footnoteRef/>
      </w:r>
      <w:r>
        <w:t xml:space="preserve"> Teubner, Gunther. "Legal irritants: good faith in British law or how unifying law ends up in new divergencies." The Modern Law Review 61, no. 1 (1998): 11-32.</w:t>
      </w:r>
    </w:p>
  </w:footnote>
  <w:footnote w:id="21">
    <w:p w14:paraId="60B88F52" w14:textId="77777777" w:rsidR="000F3A25" w:rsidRDefault="007A6B86" w:rsidP="00D537DE">
      <w:pPr>
        <w:pStyle w:val="FootnoteText"/>
        <w:tabs>
          <w:tab w:val="left" w:pos="4640"/>
        </w:tabs>
        <w:spacing w:after="0" w:line="240" w:lineRule="auto"/>
        <w:rPr>
          <w:lang w:val="en-GB"/>
        </w:rPr>
      </w:pPr>
      <w:r>
        <w:rPr>
          <w:rStyle w:val="FootnoteReference"/>
        </w:rPr>
        <w:footnoteRef/>
      </w:r>
      <w:r>
        <w:t xml:space="preserve"> (1991) 24 NSWLR 1.</w:t>
      </w:r>
      <w:r w:rsidR="00D537DE">
        <w:tab/>
      </w:r>
    </w:p>
  </w:footnote>
  <w:footnote w:id="22">
    <w:p w14:paraId="235F3667" w14:textId="77777777" w:rsidR="000F3A25" w:rsidRDefault="007A6B86" w:rsidP="00D537DE">
      <w:pPr>
        <w:pStyle w:val="FootnoteText"/>
        <w:spacing w:after="0" w:line="240" w:lineRule="auto"/>
        <w:rPr>
          <w:lang w:val="en-GB"/>
        </w:rPr>
      </w:pPr>
      <w:r>
        <w:rPr>
          <w:rStyle w:val="FootnoteReference"/>
        </w:rPr>
        <w:footnoteRef/>
      </w:r>
      <w:r>
        <w:t xml:space="preserve"> Above n2 at 41-42 per Handley JA (dissenting).</w:t>
      </w:r>
    </w:p>
  </w:footnote>
  <w:footnote w:id="23">
    <w:p w14:paraId="16B6C4CB" w14:textId="77777777" w:rsidR="000F3A25" w:rsidRDefault="007A6B86" w:rsidP="00D537DE">
      <w:pPr>
        <w:pStyle w:val="FootnoteText"/>
        <w:spacing w:after="0" w:line="240" w:lineRule="auto"/>
        <w:rPr>
          <w:lang w:val="en-GB"/>
        </w:rPr>
      </w:pPr>
      <w:r>
        <w:rPr>
          <w:rStyle w:val="FootnoteReference"/>
        </w:rPr>
        <w:footnoteRef/>
      </w:r>
      <w:r>
        <w:t xml:space="preserve"> [2009] NSWCA 177.</w:t>
      </w:r>
    </w:p>
  </w:footnote>
  <w:footnote w:id="24">
    <w:p w14:paraId="7CA85C23" w14:textId="77777777" w:rsidR="000F3A25" w:rsidRDefault="007A6B86" w:rsidP="00D537DE">
      <w:pPr>
        <w:pStyle w:val="FootnoteText"/>
        <w:spacing w:after="0" w:line="240" w:lineRule="auto"/>
      </w:pPr>
      <w:r>
        <w:rPr>
          <w:rStyle w:val="FootnoteReference"/>
        </w:rPr>
        <w:footnoteRef/>
      </w:r>
      <w:r>
        <w:t xml:space="preserve"> See Carter v Boehm (1766) 97 E.R. 1162, 3 Burr. 1905, 1910. See also Mellish v Motteux (1792) 170 E.R.</w:t>
      </w:r>
    </w:p>
    <w:p w14:paraId="61E393FD" w14:textId="77777777" w:rsidR="000F3A25" w:rsidRDefault="007A6B86" w:rsidP="00D537DE">
      <w:pPr>
        <w:pStyle w:val="FootnoteText"/>
        <w:spacing w:after="0" w:line="240" w:lineRule="auto"/>
        <w:rPr>
          <w:lang w:val="en-GB"/>
        </w:rPr>
      </w:pPr>
      <w:r>
        <w:t>113, 113–14, Peake at 156</w:t>
      </w:r>
    </w:p>
  </w:footnote>
  <w:footnote w:id="25">
    <w:p w14:paraId="72B132B0" w14:textId="77777777" w:rsidR="000F3A25" w:rsidRDefault="007A6B86" w:rsidP="00D537DE">
      <w:pPr>
        <w:pStyle w:val="FootnoteText"/>
        <w:spacing w:after="0" w:line="240" w:lineRule="auto"/>
        <w:rPr>
          <w:lang w:val="en-GB"/>
        </w:rPr>
      </w:pPr>
      <w:r>
        <w:rPr>
          <w:rStyle w:val="FootnoteReference"/>
        </w:rPr>
        <w:footnoteRef/>
      </w:r>
      <w:r>
        <w:t xml:space="preserve"> See L.E. Trakman, “Pluralism in Contract Law” (2010) 58 Buff.L.R. 1031.</w:t>
      </w:r>
    </w:p>
  </w:footnote>
  <w:footnote w:id="26">
    <w:p w14:paraId="12F28BB7" w14:textId="77777777" w:rsidR="000F3A25" w:rsidRDefault="007A6B86" w:rsidP="00D537DE">
      <w:pPr>
        <w:pStyle w:val="FootnoteText"/>
        <w:spacing w:after="0" w:line="240" w:lineRule="auto"/>
      </w:pPr>
      <w:r>
        <w:rPr>
          <w:rStyle w:val="FootnoteReference"/>
        </w:rPr>
        <w:footnoteRef/>
      </w:r>
      <w:r>
        <w:t xml:space="preserve"> See C.C. Turpin, “Bonae Fidei Induciae” [1996] C.L.J. 260. See also Barbudev v Eurocom Cable</w:t>
      </w:r>
    </w:p>
    <w:p w14:paraId="7DE6B608" w14:textId="77777777" w:rsidR="000F3A25" w:rsidRDefault="007A6B86" w:rsidP="00D537DE">
      <w:pPr>
        <w:pStyle w:val="FootnoteText"/>
        <w:spacing w:after="0" w:line="240" w:lineRule="auto"/>
        <w:rPr>
          <w:lang w:val="en-GB"/>
        </w:rPr>
      </w:pPr>
      <w:r>
        <w:t>Managements Bulgaria EOOD and others [2011] EWHC 1560 (Comm).</w:t>
      </w:r>
    </w:p>
  </w:footnote>
  <w:footnote w:id="27">
    <w:p w14:paraId="16E246D9" w14:textId="77777777" w:rsidR="000F3A25" w:rsidRDefault="007A6B86" w:rsidP="00D537DE">
      <w:pPr>
        <w:pStyle w:val="FootnoteText"/>
        <w:spacing w:after="0" w:line="240" w:lineRule="auto"/>
        <w:rPr>
          <w:lang w:val="en-GB"/>
        </w:rPr>
      </w:pPr>
      <w:r>
        <w:rPr>
          <w:rStyle w:val="FootnoteReference"/>
        </w:rPr>
        <w:footnoteRef/>
      </w:r>
      <w:r>
        <w:t xml:space="preserve"> See generally The Moorcock (1889) 14 PD 64, at p. 68 (Bowen L.J.).</w:t>
      </w:r>
    </w:p>
  </w:footnote>
  <w:footnote w:id="28">
    <w:p w14:paraId="01C4A2B7" w14:textId="77777777" w:rsidR="000F3A25" w:rsidRDefault="007A6B86" w:rsidP="00D537DE">
      <w:pPr>
        <w:pStyle w:val="FootnoteText"/>
        <w:spacing w:after="0" w:line="240" w:lineRule="auto"/>
        <w:rPr>
          <w:lang w:val="en-GB"/>
        </w:rPr>
      </w:pPr>
      <w:r>
        <w:rPr>
          <w:rStyle w:val="FootnoteReference"/>
        </w:rPr>
        <w:footnoteRef/>
      </w:r>
      <w:r>
        <w:t xml:space="preserve"> See Liverpool City Council v Irwin [1977] A.C. 239, 261 (Lord Salmon)</w:t>
      </w:r>
    </w:p>
  </w:footnote>
  <w:footnote w:id="29">
    <w:p w14:paraId="6FA2FC93" w14:textId="77777777" w:rsidR="000F3A25" w:rsidRDefault="007A6B86" w:rsidP="00D537DE">
      <w:pPr>
        <w:pStyle w:val="FootnoteText"/>
        <w:spacing w:after="0" w:line="240" w:lineRule="auto"/>
        <w:rPr>
          <w:lang w:val="en-GB"/>
        </w:rPr>
      </w:pPr>
      <w:r>
        <w:rPr>
          <w:rStyle w:val="FootnoteReference"/>
        </w:rPr>
        <w:footnoteRef/>
      </w:r>
      <w:r>
        <w:t xml:space="preserve"> See New Zealand Shipping Co Ltd. v Société des Ateliers et Chantiers de France [1919] A.C. 1, 9.</w:t>
      </w:r>
    </w:p>
  </w:footnote>
  <w:footnote w:id="30">
    <w:p w14:paraId="5AC09926" w14:textId="77777777" w:rsidR="000F3A25" w:rsidRDefault="007A6B86" w:rsidP="00D537DE">
      <w:pPr>
        <w:pStyle w:val="FootnoteText"/>
        <w:spacing w:after="0" w:line="240" w:lineRule="auto"/>
      </w:pPr>
      <w:r>
        <w:rPr>
          <w:rStyle w:val="FootnoteReference"/>
        </w:rPr>
        <w:footnoteRef/>
      </w:r>
      <w:r>
        <w:t xml:space="preserve"> On the distinction between good faith duties in English and codified civil law systems of Europe, see </w:t>
      </w:r>
    </w:p>
    <w:p w14:paraId="29C0406A" w14:textId="77777777" w:rsidR="000F3A25" w:rsidRDefault="007A6B86" w:rsidP="00D537DE">
      <w:pPr>
        <w:pStyle w:val="FootnoteText"/>
        <w:spacing w:after="0" w:line="240" w:lineRule="auto"/>
      </w:pPr>
      <w:r>
        <w:t>Lord Bingham in Interfoto Picture Library Ltd. v Stiletto Visual Programmes Ltd. [1989] 1 Q.B. 433,</w:t>
      </w:r>
    </w:p>
    <w:p w14:paraId="4F73F4C7" w14:textId="77777777" w:rsidR="000F3A25" w:rsidRDefault="007A6B86" w:rsidP="00D537DE">
      <w:pPr>
        <w:pStyle w:val="FootnoteText"/>
        <w:spacing w:after="0" w:line="240" w:lineRule="auto"/>
      </w:pPr>
      <w:r>
        <w:t>439; Director General of Fair Trading v First National Bank [2001] UKHL 52, [2002] 1 A.C. 481 at</w:t>
      </w:r>
    </w:p>
    <w:p w14:paraId="2E826111" w14:textId="77777777" w:rsidR="000F3A25" w:rsidRDefault="007A6B86" w:rsidP="00D537DE">
      <w:pPr>
        <w:pStyle w:val="FootnoteText"/>
        <w:spacing w:after="0" w:line="240" w:lineRule="auto"/>
        <w:rPr>
          <w:lang w:val="en-GB"/>
        </w:rPr>
      </w:pPr>
      <w:r>
        <w:t>[17].</w:t>
      </w:r>
    </w:p>
  </w:footnote>
  <w:footnote w:id="31">
    <w:p w14:paraId="5AD29CCB" w14:textId="77777777" w:rsidR="000F3A25" w:rsidRDefault="007A6B86" w:rsidP="00D537DE">
      <w:pPr>
        <w:pStyle w:val="FootnoteText"/>
        <w:spacing w:after="0" w:line="240" w:lineRule="auto"/>
      </w:pPr>
      <w:r>
        <w:rPr>
          <w:rStyle w:val="FootnoteReference"/>
        </w:rPr>
        <w:footnoteRef/>
      </w:r>
      <w:r>
        <w:t xml:space="preserve"> On the decline of “good faith” duties as a measure of “fair dealing” in contracting, see A.F. Mason,</w:t>
      </w:r>
    </w:p>
    <w:p w14:paraId="5CD60CDC" w14:textId="77777777" w:rsidR="000F3A25" w:rsidRDefault="007A6B86" w:rsidP="00D537DE">
      <w:pPr>
        <w:pStyle w:val="FootnoteText"/>
        <w:spacing w:after="0" w:line="240" w:lineRule="auto"/>
      </w:pPr>
      <w:r>
        <w:t>“Contract, Good Faith and Equitable Standards in Fair Dealing” (2000) 116 L.Q.R. 66; P. Atiyah,</w:t>
      </w:r>
    </w:p>
    <w:p w14:paraId="1AB82A18" w14:textId="77777777" w:rsidR="000F3A25" w:rsidRDefault="007A6B86" w:rsidP="00D537DE">
      <w:pPr>
        <w:pStyle w:val="FootnoteText"/>
        <w:spacing w:after="0" w:line="240" w:lineRule="auto"/>
      </w:pPr>
      <w:r>
        <w:t>The Rise and Fall of Freedom of Contract (Oxford 1979), 402–05. But see Yam Seng [2013]</w:t>
      </w:r>
    </w:p>
    <w:p w14:paraId="263389DA" w14:textId="77777777" w:rsidR="000F3A25" w:rsidRDefault="007A6B86" w:rsidP="00D537DE">
      <w:pPr>
        <w:pStyle w:val="FootnoteText"/>
        <w:spacing w:after="0" w:line="240" w:lineRule="auto"/>
      </w:pPr>
      <w:r>
        <w:t>EWHC 111, in which the High Court implied a duty to negotiate in good faith into a long-term distribution</w:t>
      </w:r>
    </w:p>
    <w:p w14:paraId="223C2D57" w14:textId="77777777" w:rsidR="000F3A25" w:rsidRDefault="007A6B86" w:rsidP="00D537DE">
      <w:pPr>
        <w:pStyle w:val="FootnoteText"/>
        <w:spacing w:after="0" w:line="240" w:lineRule="auto"/>
      </w:pPr>
      <w:r>
        <w:t>agreement. On resistance to duties to contract in good faith in general among Australian judges,</w:t>
      </w:r>
    </w:p>
    <w:p w14:paraId="79A41E78" w14:textId="77777777" w:rsidR="000F3A25" w:rsidRDefault="007A6B86" w:rsidP="00D537DE">
      <w:pPr>
        <w:pStyle w:val="FootnoteText"/>
        <w:spacing w:after="0" w:line="240" w:lineRule="auto"/>
      </w:pPr>
      <w:r>
        <w:t>see e.g. Service Station Association Ltd. v Berg Bennett &amp; Associates Pty Ltd. (1993) 45 F.C.R. 84, 91–</w:t>
      </w:r>
    </w:p>
    <w:p w14:paraId="2831E6D1" w14:textId="77777777" w:rsidR="000F3A25" w:rsidRDefault="007A6B86" w:rsidP="00D537DE">
      <w:pPr>
        <w:pStyle w:val="FootnoteText"/>
        <w:spacing w:after="0" w:line="240" w:lineRule="auto"/>
      </w:pPr>
      <w:r>
        <w:t>98 (Gummow J.); South Sydney District Rugby League Football Club Ltd. v News Ltd. [2000] FCA</w:t>
      </w:r>
    </w:p>
    <w:p w14:paraId="1D70B845" w14:textId="77777777" w:rsidR="000F3A25" w:rsidRDefault="007A6B86" w:rsidP="00D537DE">
      <w:pPr>
        <w:pStyle w:val="FootnoteText"/>
        <w:spacing w:after="0" w:line="240" w:lineRule="auto"/>
        <w:rPr>
          <w:lang w:val="en-GB"/>
        </w:rPr>
      </w:pPr>
      <w:r>
        <w:t>1541, (2000) 177 A.L.R. 611 at [238]</w:t>
      </w:r>
      <w:r w:rsidR="00D537DE">
        <w:t>– [</w:t>
      </w:r>
      <w:r>
        <w:t>239].</w:t>
      </w:r>
    </w:p>
  </w:footnote>
  <w:footnote w:id="32">
    <w:p w14:paraId="0859E877" w14:textId="77777777" w:rsidR="000F3A25" w:rsidRDefault="007A6B86" w:rsidP="00D537DE">
      <w:pPr>
        <w:pStyle w:val="FootnoteText"/>
        <w:spacing w:after="0" w:line="240" w:lineRule="auto"/>
        <w:rPr>
          <w:lang w:val="en-GB"/>
        </w:rPr>
      </w:pPr>
      <w:r>
        <w:rPr>
          <w:rStyle w:val="FootnoteReference"/>
        </w:rPr>
        <w:footnoteRef/>
      </w:r>
      <w:r>
        <w:t xml:space="preserve"> * University of East Anglia, Norwich Law School.</w:t>
      </w:r>
    </w:p>
  </w:footnote>
  <w:footnote w:id="33">
    <w:p w14:paraId="7C37D5F3" w14:textId="77777777" w:rsidR="000F3A25" w:rsidRDefault="007A6B86" w:rsidP="00D537DE">
      <w:pPr>
        <w:pStyle w:val="FootnoteText"/>
        <w:spacing w:after="0" w:line="240" w:lineRule="auto"/>
        <w:rPr>
          <w:lang w:val="en-GB"/>
        </w:rPr>
      </w:pPr>
      <w:r>
        <w:rPr>
          <w:rStyle w:val="FootnoteReference"/>
        </w:rPr>
        <w:footnoteRef/>
      </w:r>
      <w:r>
        <w:t xml:space="preserve"> R. Powell, "Good Faith in Contracts" (1956) 9 C.L.P. 16.</w:t>
      </w:r>
    </w:p>
  </w:footnote>
  <w:footnote w:id="34">
    <w:p w14:paraId="0517B860" w14:textId="77777777" w:rsidR="000F3A25" w:rsidRDefault="007A6B86" w:rsidP="00D537DE">
      <w:pPr>
        <w:pStyle w:val="FootnoteText"/>
        <w:spacing w:after="0" w:line="240" w:lineRule="auto"/>
      </w:pPr>
      <w:r>
        <w:rPr>
          <w:rStyle w:val="FootnoteReference"/>
        </w:rPr>
        <w:footnoteRef/>
      </w:r>
      <w:r>
        <w:t xml:space="preserve"> Cp. E. McKendrick, "Good Faith: A Matter of </w:t>
      </w:r>
      <w:r w:rsidR="00D537DE">
        <w:t>Principle?</w:t>
      </w:r>
      <w:r>
        <w:t xml:space="preserve"> in Forte op. cit, p. 39, 59; R.</w:t>
      </w:r>
    </w:p>
    <w:p w14:paraId="7A090055" w14:textId="77777777" w:rsidR="000F3A25" w:rsidRDefault="007A6B86" w:rsidP="00D537DE">
      <w:pPr>
        <w:pStyle w:val="FootnoteText"/>
        <w:spacing w:after="0" w:line="240" w:lineRule="auto"/>
        <w:rPr>
          <w:lang w:val="en-GB"/>
        </w:rPr>
      </w:pPr>
      <w:r>
        <w:t xml:space="preserve">Zimmermann </w:t>
      </w:r>
      <w:r w:rsidR="00D537DE">
        <w:t xml:space="preserve">&amp; S. Whittaker op cit., p. 13. </w:t>
      </w:r>
    </w:p>
  </w:footnote>
  <w:footnote w:id="35">
    <w:p w14:paraId="6B56A64D" w14:textId="1049F703" w:rsidR="00C55BD3" w:rsidRPr="00C55BD3" w:rsidRDefault="00C55BD3">
      <w:pPr>
        <w:pStyle w:val="FootnoteText"/>
        <w:rPr>
          <w:lang w:val="en-GB"/>
        </w:rPr>
      </w:pPr>
      <w:r>
        <w:rPr>
          <w:rStyle w:val="FootnoteReference"/>
        </w:rPr>
        <w:footnoteRef/>
      </w:r>
      <w:r>
        <w:t xml:space="preserve"> </w:t>
      </w:r>
      <w:r w:rsidRPr="00C55BD3">
        <w:t>CISG, supra n.3 art. 71. See also supra n.55 and accompanying text.</w:t>
      </w:r>
    </w:p>
  </w:footnote>
  <w:footnote w:id="36">
    <w:p w14:paraId="59AE652A" w14:textId="567C4555" w:rsidR="00D761EC" w:rsidRPr="00D761EC" w:rsidRDefault="00D761EC">
      <w:pPr>
        <w:pStyle w:val="FootnoteText"/>
        <w:rPr>
          <w:lang w:val="en-GB"/>
        </w:rPr>
      </w:pPr>
      <w:r>
        <w:rPr>
          <w:rStyle w:val="FootnoteReference"/>
        </w:rPr>
        <w:footnoteRef/>
      </w:r>
      <w:r>
        <w:t xml:space="preserve"> </w:t>
      </w:r>
      <w:r w:rsidRPr="00D761EC">
        <w:t>CISG, supra n.3 art. 79. See also supra n.53 and accompanying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F3A3A" w14:textId="77777777" w:rsidR="000F3A25" w:rsidRDefault="007A6B86">
    <w:pPr>
      <w:pStyle w:val="Header"/>
      <w:rPr>
        <w:rFonts w:ascii="Arial" w:eastAsia="SimSun" w:hAnsi="Arial" w:cs="Arial"/>
        <w:sz w:val="20"/>
        <w:szCs w:val="20"/>
        <w:lang w:eastAsia="zh-CN"/>
      </w:rPr>
    </w:pPr>
    <w:r>
      <w:rPr>
        <w:rFonts w:ascii="Arial" w:hAnsi="Arial" w:cs="Arial"/>
        <w:sz w:val="20"/>
        <w:szCs w:val="20"/>
      </w:rPr>
      <w:t xml:space="preserve">Student Number: </w:t>
    </w:r>
    <w:r>
      <w:rPr>
        <w:rFonts w:ascii="Arial" w:eastAsia="SimSun" w:hAnsi="Arial" w:cs="Arial" w:hint="eastAsia"/>
        <w:sz w:val="20"/>
        <w:szCs w:val="20"/>
        <w:lang w:eastAsia="zh-CN"/>
      </w:rPr>
      <w:t>180237704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0F068" w14:textId="77777777" w:rsidR="000F3A25" w:rsidRDefault="007A6B86">
    <w:pPr>
      <w:pStyle w:val="Header"/>
    </w:pPr>
    <w:r>
      <w:rPr>
        <w:rFonts w:ascii="Arial" w:hAnsi="Arial" w:cs="Arial"/>
        <w:b/>
        <w:noProof/>
      </w:rPr>
      <w:drawing>
        <wp:inline distT="0" distB="0" distL="0" distR="0" wp14:anchorId="571333F1" wp14:editId="16BC9027">
          <wp:extent cx="2272665"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72937"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839"/>
    <w:multiLevelType w:val="multilevel"/>
    <w:tmpl w:val="061E6839"/>
    <w:lvl w:ilvl="0">
      <w:start w:val="1"/>
      <w:numFmt w:val="decimal"/>
      <w:lvlText w:val="%1."/>
      <w:lvlJc w:val="left"/>
      <w:pPr>
        <w:ind w:left="720" w:hanging="360"/>
      </w:pPr>
    </w:lvl>
    <w:lvl w:ilvl="1">
      <w:start w:val="1991"/>
      <w:numFmt w:val="bullet"/>
      <w:lvlText w:val=""/>
      <w:lvlJc w:val="left"/>
      <w:pPr>
        <w:ind w:left="1440" w:hanging="360"/>
      </w:pPr>
      <w:rPr>
        <w:rFonts w:ascii="Symbol" w:eastAsia="SimSun" w:hAnsi="Symbo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xNDA3MzQyMzI1tDRX0lEKTi0uzszPAykwqgUA3bi0LywAAAA="/>
  </w:docVars>
  <w:rsids>
    <w:rsidRoot w:val="00A4600C"/>
    <w:rsid w:val="00002752"/>
    <w:rsid w:val="00004DF0"/>
    <w:rsid w:val="000127AC"/>
    <w:rsid w:val="00013202"/>
    <w:rsid w:val="000302F1"/>
    <w:rsid w:val="00037BFE"/>
    <w:rsid w:val="00042759"/>
    <w:rsid w:val="000435E2"/>
    <w:rsid w:val="000451CD"/>
    <w:rsid w:val="00064117"/>
    <w:rsid w:val="000715B3"/>
    <w:rsid w:val="00074924"/>
    <w:rsid w:val="00082406"/>
    <w:rsid w:val="00083B1A"/>
    <w:rsid w:val="000861C5"/>
    <w:rsid w:val="00091352"/>
    <w:rsid w:val="000921D0"/>
    <w:rsid w:val="00095069"/>
    <w:rsid w:val="000964F3"/>
    <w:rsid w:val="000B6C6D"/>
    <w:rsid w:val="000C5A9B"/>
    <w:rsid w:val="000D0840"/>
    <w:rsid w:val="000E1BB4"/>
    <w:rsid w:val="000E2395"/>
    <w:rsid w:val="000E2B8C"/>
    <w:rsid w:val="000E33D5"/>
    <w:rsid w:val="000E3B2C"/>
    <w:rsid w:val="000E3CB5"/>
    <w:rsid w:val="000E580D"/>
    <w:rsid w:val="000E5A14"/>
    <w:rsid w:val="000F066B"/>
    <w:rsid w:val="000F3A25"/>
    <w:rsid w:val="000F700C"/>
    <w:rsid w:val="00111497"/>
    <w:rsid w:val="001220B2"/>
    <w:rsid w:val="00124970"/>
    <w:rsid w:val="00126963"/>
    <w:rsid w:val="001325C6"/>
    <w:rsid w:val="00134969"/>
    <w:rsid w:val="001449A2"/>
    <w:rsid w:val="0015520F"/>
    <w:rsid w:val="00156500"/>
    <w:rsid w:val="00160B9C"/>
    <w:rsid w:val="00162E59"/>
    <w:rsid w:val="001655EF"/>
    <w:rsid w:val="00171F7A"/>
    <w:rsid w:val="00183E46"/>
    <w:rsid w:val="00192004"/>
    <w:rsid w:val="001A0EA2"/>
    <w:rsid w:val="001A1741"/>
    <w:rsid w:val="001B2E1B"/>
    <w:rsid w:val="001C7358"/>
    <w:rsid w:val="001D2115"/>
    <w:rsid w:val="001D39E7"/>
    <w:rsid w:val="001F3F98"/>
    <w:rsid w:val="001F48FF"/>
    <w:rsid w:val="001F4E5E"/>
    <w:rsid w:val="001F685F"/>
    <w:rsid w:val="0023304D"/>
    <w:rsid w:val="00234161"/>
    <w:rsid w:val="00235176"/>
    <w:rsid w:val="00237DF3"/>
    <w:rsid w:val="0024200C"/>
    <w:rsid w:val="002627C2"/>
    <w:rsid w:val="00270A74"/>
    <w:rsid w:val="00272047"/>
    <w:rsid w:val="00272704"/>
    <w:rsid w:val="002774CA"/>
    <w:rsid w:val="0028576C"/>
    <w:rsid w:val="00291283"/>
    <w:rsid w:val="00297276"/>
    <w:rsid w:val="002A5829"/>
    <w:rsid w:val="002A63D8"/>
    <w:rsid w:val="002A7D73"/>
    <w:rsid w:val="002B44A6"/>
    <w:rsid w:val="002C2D9B"/>
    <w:rsid w:val="002C5262"/>
    <w:rsid w:val="002C6FA6"/>
    <w:rsid w:val="002D1D63"/>
    <w:rsid w:val="002D1DCE"/>
    <w:rsid w:val="002D244F"/>
    <w:rsid w:val="002D3FBE"/>
    <w:rsid w:val="002E002B"/>
    <w:rsid w:val="002E33DB"/>
    <w:rsid w:val="002E3AEA"/>
    <w:rsid w:val="002E3F3F"/>
    <w:rsid w:val="002E7678"/>
    <w:rsid w:val="00311C10"/>
    <w:rsid w:val="00317249"/>
    <w:rsid w:val="00317B2C"/>
    <w:rsid w:val="003237CB"/>
    <w:rsid w:val="003264F8"/>
    <w:rsid w:val="0033314A"/>
    <w:rsid w:val="003337EE"/>
    <w:rsid w:val="00343AF2"/>
    <w:rsid w:val="00345ECE"/>
    <w:rsid w:val="00354F51"/>
    <w:rsid w:val="0037113C"/>
    <w:rsid w:val="00373CAE"/>
    <w:rsid w:val="00374FAA"/>
    <w:rsid w:val="00377029"/>
    <w:rsid w:val="00381485"/>
    <w:rsid w:val="003866B0"/>
    <w:rsid w:val="0039064C"/>
    <w:rsid w:val="003A0521"/>
    <w:rsid w:val="003A5FB2"/>
    <w:rsid w:val="003B1D05"/>
    <w:rsid w:val="003B503D"/>
    <w:rsid w:val="003B5DA4"/>
    <w:rsid w:val="003B6AE1"/>
    <w:rsid w:val="003D2DCB"/>
    <w:rsid w:val="003D3114"/>
    <w:rsid w:val="003E1F66"/>
    <w:rsid w:val="003E5C52"/>
    <w:rsid w:val="003E64B5"/>
    <w:rsid w:val="003F2F1B"/>
    <w:rsid w:val="00405BEF"/>
    <w:rsid w:val="0042278C"/>
    <w:rsid w:val="004324EC"/>
    <w:rsid w:val="00444C9E"/>
    <w:rsid w:val="00447479"/>
    <w:rsid w:val="0045019D"/>
    <w:rsid w:val="00464FE1"/>
    <w:rsid w:val="00465798"/>
    <w:rsid w:val="00470CB0"/>
    <w:rsid w:val="00475886"/>
    <w:rsid w:val="00486742"/>
    <w:rsid w:val="004867DC"/>
    <w:rsid w:val="00486D49"/>
    <w:rsid w:val="00490DA8"/>
    <w:rsid w:val="0049248B"/>
    <w:rsid w:val="0049263E"/>
    <w:rsid w:val="004B21AB"/>
    <w:rsid w:val="004B7F40"/>
    <w:rsid w:val="004D05D3"/>
    <w:rsid w:val="004D2FF4"/>
    <w:rsid w:val="004E0B6F"/>
    <w:rsid w:val="004E4AAD"/>
    <w:rsid w:val="004E6A86"/>
    <w:rsid w:val="004F09DF"/>
    <w:rsid w:val="004F7783"/>
    <w:rsid w:val="0052033B"/>
    <w:rsid w:val="005321DE"/>
    <w:rsid w:val="005369B9"/>
    <w:rsid w:val="00554D57"/>
    <w:rsid w:val="0055788F"/>
    <w:rsid w:val="0056194B"/>
    <w:rsid w:val="00563713"/>
    <w:rsid w:val="00567DC3"/>
    <w:rsid w:val="00573868"/>
    <w:rsid w:val="00580CEE"/>
    <w:rsid w:val="005834B9"/>
    <w:rsid w:val="00595FAF"/>
    <w:rsid w:val="005B51B3"/>
    <w:rsid w:val="005B5A99"/>
    <w:rsid w:val="005C71DB"/>
    <w:rsid w:val="005D3F08"/>
    <w:rsid w:val="005D59CF"/>
    <w:rsid w:val="005D7F52"/>
    <w:rsid w:val="005E082A"/>
    <w:rsid w:val="005F48C2"/>
    <w:rsid w:val="006002B5"/>
    <w:rsid w:val="00604750"/>
    <w:rsid w:val="006109B7"/>
    <w:rsid w:val="006110E0"/>
    <w:rsid w:val="00620BC3"/>
    <w:rsid w:val="00624A4E"/>
    <w:rsid w:val="00626868"/>
    <w:rsid w:val="006365EE"/>
    <w:rsid w:val="00636766"/>
    <w:rsid w:val="0065649C"/>
    <w:rsid w:val="006569A3"/>
    <w:rsid w:val="00656E6F"/>
    <w:rsid w:val="00662197"/>
    <w:rsid w:val="00676E7B"/>
    <w:rsid w:val="006808C9"/>
    <w:rsid w:val="0069047C"/>
    <w:rsid w:val="00696CE5"/>
    <w:rsid w:val="006A7366"/>
    <w:rsid w:val="006A7CF2"/>
    <w:rsid w:val="006C46DE"/>
    <w:rsid w:val="006C4EC4"/>
    <w:rsid w:val="006D4F85"/>
    <w:rsid w:val="006F25CD"/>
    <w:rsid w:val="00701718"/>
    <w:rsid w:val="0070190A"/>
    <w:rsid w:val="00726DFF"/>
    <w:rsid w:val="00731EA3"/>
    <w:rsid w:val="00751297"/>
    <w:rsid w:val="0075499B"/>
    <w:rsid w:val="00764FA8"/>
    <w:rsid w:val="007805DE"/>
    <w:rsid w:val="007829C6"/>
    <w:rsid w:val="007943BA"/>
    <w:rsid w:val="007A249B"/>
    <w:rsid w:val="007A2AC7"/>
    <w:rsid w:val="007A6B86"/>
    <w:rsid w:val="007B538C"/>
    <w:rsid w:val="007B6F0F"/>
    <w:rsid w:val="007C70B6"/>
    <w:rsid w:val="007C724F"/>
    <w:rsid w:val="007D3342"/>
    <w:rsid w:val="007D3D5C"/>
    <w:rsid w:val="007D699C"/>
    <w:rsid w:val="007E1AC8"/>
    <w:rsid w:val="00817FC2"/>
    <w:rsid w:val="00824FFA"/>
    <w:rsid w:val="00826600"/>
    <w:rsid w:val="00833802"/>
    <w:rsid w:val="0083468C"/>
    <w:rsid w:val="00841208"/>
    <w:rsid w:val="0084205C"/>
    <w:rsid w:val="008479CA"/>
    <w:rsid w:val="008513E2"/>
    <w:rsid w:val="0085153C"/>
    <w:rsid w:val="00851832"/>
    <w:rsid w:val="008671DF"/>
    <w:rsid w:val="00871F2D"/>
    <w:rsid w:val="00875EE9"/>
    <w:rsid w:val="008764F4"/>
    <w:rsid w:val="00876B52"/>
    <w:rsid w:val="0088676A"/>
    <w:rsid w:val="008939AC"/>
    <w:rsid w:val="008A3C51"/>
    <w:rsid w:val="008A775C"/>
    <w:rsid w:val="008B6843"/>
    <w:rsid w:val="008D1449"/>
    <w:rsid w:val="008D49F9"/>
    <w:rsid w:val="008E473B"/>
    <w:rsid w:val="009015D7"/>
    <w:rsid w:val="009020AE"/>
    <w:rsid w:val="009126A8"/>
    <w:rsid w:val="00924D88"/>
    <w:rsid w:val="0093331A"/>
    <w:rsid w:val="009345AC"/>
    <w:rsid w:val="00934A23"/>
    <w:rsid w:val="00940D1D"/>
    <w:rsid w:val="00967B7F"/>
    <w:rsid w:val="009729BA"/>
    <w:rsid w:val="00987B89"/>
    <w:rsid w:val="009944F4"/>
    <w:rsid w:val="0099770B"/>
    <w:rsid w:val="009A232C"/>
    <w:rsid w:val="009B28AE"/>
    <w:rsid w:val="009B3516"/>
    <w:rsid w:val="009C06E6"/>
    <w:rsid w:val="009C1EA6"/>
    <w:rsid w:val="009D3D09"/>
    <w:rsid w:val="009D751D"/>
    <w:rsid w:val="009E6C46"/>
    <w:rsid w:val="009F2008"/>
    <w:rsid w:val="009F395A"/>
    <w:rsid w:val="009F3BCD"/>
    <w:rsid w:val="00A01256"/>
    <w:rsid w:val="00A10C5C"/>
    <w:rsid w:val="00A159E4"/>
    <w:rsid w:val="00A41A45"/>
    <w:rsid w:val="00A4600C"/>
    <w:rsid w:val="00A516A4"/>
    <w:rsid w:val="00A55FC7"/>
    <w:rsid w:val="00A56E05"/>
    <w:rsid w:val="00A61A1F"/>
    <w:rsid w:val="00A62222"/>
    <w:rsid w:val="00A64055"/>
    <w:rsid w:val="00A64A18"/>
    <w:rsid w:val="00A67624"/>
    <w:rsid w:val="00A709F4"/>
    <w:rsid w:val="00A74439"/>
    <w:rsid w:val="00A817EF"/>
    <w:rsid w:val="00A82411"/>
    <w:rsid w:val="00A82421"/>
    <w:rsid w:val="00A86B09"/>
    <w:rsid w:val="00A94B42"/>
    <w:rsid w:val="00A95B53"/>
    <w:rsid w:val="00AA27CF"/>
    <w:rsid w:val="00AB16DF"/>
    <w:rsid w:val="00AB775C"/>
    <w:rsid w:val="00AC5600"/>
    <w:rsid w:val="00AD20FC"/>
    <w:rsid w:val="00AD3643"/>
    <w:rsid w:val="00AE3733"/>
    <w:rsid w:val="00AE69E5"/>
    <w:rsid w:val="00AF091E"/>
    <w:rsid w:val="00AF1749"/>
    <w:rsid w:val="00AF41DA"/>
    <w:rsid w:val="00AF72C2"/>
    <w:rsid w:val="00B00B6E"/>
    <w:rsid w:val="00B06CF3"/>
    <w:rsid w:val="00B10BC3"/>
    <w:rsid w:val="00B120C3"/>
    <w:rsid w:val="00B14386"/>
    <w:rsid w:val="00B35E37"/>
    <w:rsid w:val="00B41643"/>
    <w:rsid w:val="00B4171D"/>
    <w:rsid w:val="00B43743"/>
    <w:rsid w:val="00B46106"/>
    <w:rsid w:val="00B5374E"/>
    <w:rsid w:val="00B56864"/>
    <w:rsid w:val="00B6142E"/>
    <w:rsid w:val="00B65939"/>
    <w:rsid w:val="00B7011A"/>
    <w:rsid w:val="00B71D1A"/>
    <w:rsid w:val="00B77108"/>
    <w:rsid w:val="00B8717B"/>
    <w:rsid w:val="00B908D2"/>
    <w:rsid w:val="00B96817"/>
    <w:rsid w:val="00BA37D8"/>
    <w:rsid w:val="00BA63C4"/>
    <w:rsid w:val="00BB0387"/>
    <w:rsid w:val="00BB09E6"/>
    <w:rsid w:val="00BB246E"/>
    <w:rsid w:val="00BC7585"/>
    <w:rsid w:val="00BD3AD1"/>
    <w:rsid w:val="00BD4F91"/>
    <w:rsid w:val="00BE072A"/>
    <w:rsid w:val="00BF2075"/>
    <w:rsid w:val="00BF3389"/>
    <w:rsid w:val="00BF5321"/>
    <w:rsid w:val="00BF72E4"/>
    <w:rsid w:val="00C02015"/>
    <w:rsid w:val="00C14BDE"/>
    <w:rsid w:val="00C34128"/>
    <w:rsid w:val="00C45014"/>
    <w:rsid w:val="00C556D9"/>
    <w:rsid w:val="00C55BD3"/>
    <w:rsid w:val="00C55D03"/>
    <w:rsid w:val="00C73656"/>
    <w:rsid w:val="00C742AE"/>
    <w:rsid w:val="00C764A9"/>
    <w:rsid w:val="00C83997"/>
    <w:rsid w:val="00C84566"/>
    <w:rsid w:val="00C8560B"/>
    <w:rsid w:val="00C863BB"/>
    <w:rsid w:val="00C910F8"/>
    <w:rsid w:val="00C92112"/>
    <w:rsid w:val="00C96F67"/>
    <w:rsid w:val="00CA4E2C"/>
    <w:rsid w:val="00CB0001"/>
    <w:rsid w:val="00CB3D08"/>
    <w:rsid w:val="00CB458E"/>
    <w:rsid w:val="00CB4BA5"/>
    <w:rsid w:val="00CB60E2"/>
    <w:rsid w:val="00CB68D4"/>
    <w:rsid w:val="00CB73D0"/>
    <w:rsid w:val="00CD0F62"/>
    <w:rsid w:val="00CD654C"/>
    <w:rsid w:val="00CE2706"/>
    <w:rsid w:val="00CF2D69"/>
    <w:rsid w:val="00D11C30"/>
    <w:rsid w:val="00D371BC"/>
    <w:rsid w:val="00D43B5B"/>
    <w:rsid w:val="00D537DE"/>
    <w:rsid w:val="00D53CD7"/>
    <w:rsid w:val="00D55BE4"/>
    <w:rsid w:val="00D70987"/>
    <w:rsid w:val="00D735B5"/>
    <w:rsid w:val="00D751DB"/>
    <w:rsid w:val="00D761EC"/>
    <w:rsid w:val="00D8458B"/>
    <w:rsid w:val="00D90249"/>
    <w:rsid w:val="00D945BF"/>
    <w:rsid w:val="00DA0C64"/>
    <w:rsid w:val="00DB0A42"/>
    <w:rsid w:val="00DB1347"/>
    <w:rsid w:val="00DB1EF2"/>
    <w:rsid w:val="00DB2D39"/>
    <w:rsid w:val="00DC6487"/>
    <w:rsid w:val="00DD30A3"/>
    <w:rsid w:val="00DD4A31"/>
    <w:rsid w:val="00DD558F"/>
    <w:rsid w:val="00DE4019"/>
    <w:rsid w:val="00DF170B"/>
    <w:rsid w:val="00DF27AC"/>
    <w:rsid w:val="00E0298E"/>
    <w:rsid w:val="00E02BE1"/>
    <w:rsid w:val="00E121DB"/>
    <w:rsid w:val="00E16DA3"/>
    <w:rsid w:val="00E2381D"/>
    <w:rsid w:val="00E24EB9"/>
    <w:rsid w:val="00E24FE2"/>
    <w:rsid w:val="00E278DB"/>
    <w:rsid w:val="00E34787"/>
    <w:rsid w:val="00E40A9E"/>
    <w:rsid w:val="00E4405A"/>
    <w:rsid w:val="00E52489"/>
    <w:rsid w:val="00E526CB"/>
    <w:rsid w:val="00E55FE1"/>
    <w:rsid w:val="00E64AAF"/>
    <w:rsid w:val="00E70BB4"/>
    <w:rsid w:val="00E73D3D"/>
    <w:rsid w:val="00E75A28"/>
    <w:rsid w:val="00E77FB4"/>
    <w:rsid w:val="00E821E6"/>
    <w:rsid w:val="00E86517"/>
    <w:rsid w:val="00E900B6"/>
    <w:rsid w:val="00E91187"/>
    <w:rsid w:val="00E9118F"/>
    <w:rsid w:val="00EA2647"/>
    <w:rsid w:val="00EB09D6"/>
    <w:rsid w:val="00EC025F"/>
    <w:rsid w:val="00EC2462"/>
    <w:rsid w:val="00EC406C"/>
    <w:rsid w:val="00EC501B"/>
    <w:rsid w:val="00ED7607"/>
    <w:rsid w:val="00EE2024"/>
    <w:rsid w:val="00F0282D"/>
    <w:rsid w:val="00F03ADE"/>
    <w:rsid w:val="00F1574F"/>
    <w:rsid w:val="00F17E03"/>
    <w:rsid w:val="00F17FE4"/>
    <w:rsid w:val="00F22F85"/>
    <w:rsid w:val="00F23B8A"/>
    <w:rsid w:val="00F24100"/>
    <w:rsid w:val="00F4052D"/>
    <w:rsid w:val="00F40D46"/>
    <w:rsid w:val="00F41A40"/>
    <w:rsid w:val="00F459CB"/>
    <w:rsid w:val="00F45D96"/>
    <w:rsid w:val="00F52C8B"/>
    <w:rsid w:val="00F552CA"/>
    <w:rsid w:val="00F6055D"/>
    <w:rsid w:val="00F617EB"/>
    <w:rsid w:val="00F71344"/>
    <w:rsid w:val="00F80FE9"/>
    <w:rsid w:val="00F8689A"/>
    <w:rsid w:val="00F91497"/>
    <w:rsid w:val="00F91A49"/>
    <w:rsid w:val="00F946CA"/>
    <w:rsid w:val="00F96AC1"/>
    <w:rsid w:val="00FB25DD"/>
    <w:rsid w:val="00FB40B7"/>
    <w:rsid w:val="00FB6286"/>
    <w:rsid w:val="00FC7B2A"/>
    <w:rsid w:val="00FD30A6"/>
    <w:rsid w:val="00FE2C0C"/>
    <w:rsid w:val="00FF2327"/>
    <w:rsid w:val="00FF5EBD"/>
    <w:rsid w:val="00FF741D"/>
    <w:rsid w:val="186B7696"/>
    <w:rsid w:val="25456310"/>
    <w:rsid w:val="47B317DD"/>
    <w:rsid w:val="51B60B85"/>
    <w:rsid w:val="58D879CB"/>
    <w:rsid w:val="607641BB"/>
    <w:rsid w:val="7E32E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C17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FootnoteText">
    <w:name w:val="footnote text"/>
    <w:basedOn w:val="Normal"/>
    <w:uiPriority w:val="99"/>
    <w:unhideWhenUsed/>
    <w:qFormat/>
    <w:pPr>
      <w:snapToGrid w:val="0"/>
    </w:pPr>
    <w:rPr>
      <w:sz w:val="18"/>
    </w:r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lang w:eastAsia="zh-CN"/>
    </w:rPr>
  </w:style>
  <w:style w:type="character" w:styleId="PageNumber">
    <w:name w:val="page number"/>
    <w:basedOn w:val="DefaultParagraphFont"/>
    <w:uiPriority w:val="99"/>
    <w:unhideWhenUsed/>
    <w:qFormat/>
  </w:style>
  <w:style w:type="character" w:styleId="FootnoteReference">
    <w:name w:val="footnote reference"/>
    <w:basedOn w:val="DefaultParagraphFont"/>
    <w:uiPriority w:val="99"/>
    <w:unhideWhenUsed/>
    <w:qFormat/>
    <w:rPr>
      <w:vertAlign w:val="superscript"/>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9497B-182A-419D-AA23-0A168FE7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3382</Words>
  <Characters>19282</Characters>
  <Application>Microsoft Office Word</Application>
  <DocSecurity>0</DocSecurity>
  <Lines>160</Lines>
  <Paragraphs>45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Sheffield</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Braid</dc:creator>
  <cp:lastModifiedBy>vinn</cp:lastModifiedBy>
  <cp:revision>120</cp:revision>
  <dcterms:created xsi:type="dcterms:W3CDTF">2019-02-01T11:12:00Z</dcterms:created>
  <dcterms:modified xsi:type="dcterms:W3CDTF">2019-02-01T13:14:00Z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