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PLAINT</w:t>
      </w:r>
    </w:p>
    <w:p>
      <w:r>
        <w:t>Case Details: Hit and run incident along Kenyatta Road. Plaintiff was injured as a result of the defendant's failure to stop and render assistance as required by Sections 73 &amp; 75 of the Traffic Act (Cap 403). Plaintiff seeks compensation for injuries, medical expenses, pain and suffering, referencing Republic v. John Muendo [2017] eKLR and Kenya Alliance Insurance Co. Ltd v. Omondi [1995] eKLR as relevant case law.</w:t>
      </w:r>
    </w:p>
    <w:p>
      <w:r>
        <w:t>[PLAINT CONTENT TO BE GENERATED USING STRUCTURED PROMPT]</w:t>
      </w:r>
    </w:p>
    <w:p>
      <w:r>
        <w:t>This document requires human review before filing.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