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Superstore Business Intelligence Report</w:t>
      </w:r>
    </w:p>
    <w:p>
      <w:pPr>
        <w:pStyle w:val="Heading1"/>
      </w:pPr>
      <w:r>
        <w:t>1. Executive Overview</w:t>
      </w:r>
    </w:p>
    <w:p>
      <w:r>
        <w:t>This report presents the findings from the end-to-end data analysis of the Global Superstore dataset. The primary objective of this analysis is to evaluate global sales performance, operational efficiency, and product profitability to uncover the root causes of profit leaks and provide actionable business recommendations.</w:t>
      </w:r>
    </w:p>
    <w:p>
      <w:pPr>
        <w:pStyle w:val="Heading1"/>
      </w:pPr>
      <w:r>
        <w:t>2. Key Business Insights</w:t>
      </w:r>
    </w:p>
    <w:p>
      <w:pPr>
        <w:pStyle w:val="ListBullet"/>
      </w:pPr>
      <w:r>
        <w:rPr>
          <w:b/>
        </w:rPr>
        <w:t xml:space="preserve">Revenue is Growing, but Efficiency is Slipping: </w:t>
      </w:r>
      <w:r>
        <w:t>While total sales volume grew consistently between 2011 and 2014, the overall Profit Margin peaked in 2013 (~11.95%) and began declining in 2014 (~11.72%). The company is generating more revenue, but operational costs and discounting are eroding the bottom line.</w:t>
      </w:r>
    </w:p>
    <w:p>
      <w:pPr>
        <w:pStyle w:val="ListBullet"/>
      </w:pPr>
      <w:r>
        <w:rPr>
          <w:b/>
        </w:rPr>
        <w:t xml:space="preserve">The 20% Discount "Death Zone": </w:t>
      </w:r>
      <w:r>
        <w:t>Scatter plot analysis reveals a hard mathematical threshold: any product sub-category with an average discount exceeding 20% drops into a negative profit margin, effectively erasing the value of the sale regardless of volume.</w:t>
      </w:r>
    </w:p>
    <w:p>
      <w:pPr>
        <w:pStyle w:val="ListBullet"/>
      </w:pPr>
      <w:r>
        <w:rPr>
          <w:b/>
        </w:rPr>
        <w:t xml:space="preserve">Furniture is a Profit Bleeder: </w:t>
      </w:r>
      <w:r>
        <w:t>Despite high sales volumes, the Furniture category barely breaks even compared to Technology and Office Supplies. Specific items within this category (such as Tables and Bookcases) are operating at a net loss globally.</w:t>
      </w:r>
    </w:p>
    <w:p>
      <w:pPr>
        <w:pStyle w:val="ListBullet"/>
      </w:pPr>
      <w:r>
        <w:rPr>
          <w:b/>
        </w:rPr>
        <w:t xml:space="preserve">High-Volume, Negative-Profit Customers: </w:t>
      </w:r>
      <w:r>
        <w:t>A Customer Value analysis identified a dangerous cluster of B2B/Corporate clients who purchase high volumes ($10K–$30K) but generate negative profit (-$2K to -$5K) due to aggressive negotiated discounts and expensive shipping methods.</w:t>
      </w:r>
    </w:p>
    <w:p>
      <w:pPr>
        <w:pStyle w:val="Heading1"/>
      </w:pPr>
      <w:r>
        <w:t>3. Actionable Recommendations</w:t>
      </w:r>
    </w:p>
    <w:p>
      <w:pPr>
        <w:pStyle w:val="ListNumber"/>
      </w:pPr>
      <w:r>
        <w:rPr>
          <w:b/>
        </w:rPr>
        <w:t xml:space="preserve">Institute a Strict 15% Discount Cap: </w:t>
      </w:r>
      <w:r>
        <w:t>Update the global pricing policy to lock maximum sales discounts at 15% across all regions. This leaves a 5% safety buffer before hitting the 20% negative-profit threshold while keeping sales teams competitive.</w:t>
      </w:r>
    </w:p>
    <w:p>
      <w:pPr>
        <w:pStyle w:val="ListNumber"/>
      </w:pPr>
      <w:r>
        <w:rPr>
          <w:b/>
        </w:rPr>
        <w:t xml:space="preserve">Overhaul the Furniture Strategy: </w:t>
      </w:r>
      <w:r>
        <w:t>Place an immediate freeze on discounting the Furniture category. Conduct a vendor audit to lower wholesale and shipping costs. If margins cannot be improved, consider sunsetting the lowest-performing SKUs to redirect capital to high-margin Technology products.</w:t>
      </w:r>
    </w:p>
    <w:p>
      <w:pPr>
        <w:pStyle w:val="ListNumber"/>
      </w:pPr>
      <w:r>
        <w:rPr>
          <w:b/>
        </w:rPr>
        <w:t xml:space="preserve">Restructure Unprofitable Client Accounts: </w:t>
      </w:r>
      <w:r>
        <w:t>The sales team must immediately audit the high-volume/negative-profit corporate accounts. These clients must be moved to standard pricing tiers, or their shipping must be restricted to "Standard Class" to recover logistical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