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0"/>
      </w:pPr>
      <w:r>
        <w:rPr>
          <w:b/>
          <w:bCs/>
          <w:color w:val="5A6B80"/>
          <w:spacing w:val="40"/>
          <w:sz w:val="22"/>
          <w:szCs w:val="22"/>
        </w:rPr>
        <w:t xml:space="preserve">ALINTA TECH SOLUTIONS</w:t>
      </w:r>
    </w:p>
    <w:p>
      <w:pPr>
        <w:pBdr>
          <w:bottom w:val="single" w:color="1F3A5F" w:sz="12" w:space="6"/>
        </w:pBdr>
        <w:spacing w:after="120"/>
      </w:pPr>
      <w:r>
        <w:rPr>
          <w:b/>
          <w:bCs/>
          <w:color w:val="1F3A5F"/>
          <w:sz w:val="72"/>
          <w:szCs w:val="72"/>
        </w:rPr>
        <w:t xml:space="preserve">Nex</w:t>
      </w:r>
    </w:p>
    <w:p>
      <w:pPr>
        <w:spacing w:after="600"/>
      </w:pPr>
      <w:r>
        <w:rPr>
          <w:color w:val="1F3A5F"/>
          <w:sz w:val="36"/>
          <w:szCs w:val="36"/>
        </w:rPr>
        <w:t xml:space="preserve">Architecture Plan &amp; Delivery Roadmap to MVP and Beyond</w:t>
      </w:r>
    </w:p>
    <w:p>
      <w:pPr>
        <w:spacing w:after="100"/>
      </w:pPr>
      <w:r>
        <w:rPr>
          <w:b/>
          <w:bCs/>
          <w:color w:val="1F3A5F"/>
          <w:sz w:val="20"/>
          <w:szCs w:val="20"/>
        </w:rPr>
        <w:t xml:space="preserve">Document:  </w:t>
      </w:r>
      <w:r>
        <w:rPr>
          <w:sz w:val="20"/>
          <w:szCs w:val="20"/>
        </w:rPr>
        <w:t xml:space="preserve">Nex guiding document: target architecture, current-state assessment, staged roadmap, MVP plan</w:t>
      </w:r>
    </w:p>
    <w:p>
      <w:pPr>
        <w:spacing w:after="100"/>
      </w:pPr>
      <w:r>
        <w:rPr>
          <w:b/>
          <w:bCs/>
          <w:color w:val="1F3A5F"/>
          <w:sz w:val="20"/>
          <w:szCs w:val="20"/>
        </w:rPr>
        <w:t xml:space="preserve">Source inputs:  </w:t>
      </w:r>
      <w:r>
        <w:rPr>
          <w:i/>
          <w:iCs/>
          <w:sz w:val="20"/>
          <w:szCs w:val="20"/>
        </w:rPr>
        <w:t xml:space="preserve">ATS SME Trading Platform — Investor Business Plan V1.0</w:t>
      </w:r>
      <w:r>
        <w:rPr>
          <w:sz w:val="20"/>
          <w:szCs w:val="20"/>
        </w:rPr>
        <w:t xml:space="preserve"> and the </w:t>
      </w:r>
      <w:r>
        <w:rPr>
          <w:rFonts w:ascii="Consolas" w:cs="Consolas" w:eastAsia="Consolas" w:hAnsi="Consolas"/>
          <w:sz w:val="18"/>
          <w:szCs w:val="18"/>
          <w:shd w:fill="EEF1F5" w:color="auto" w:val="clear"/>
        </w:rPr>
        <w:t xml:space="preserve">ATS</w:t>
      </w:r>
      <w:r>
        <w:rPr>
          <w:sz w:val="20"/>
          <w:szCs w:val="20"/>
        </w:rPr>
        <w:t xml:space="preserve"> repository as of 24 Sep 2026 (commit </w:t>
      </w:r>
      <w:r>
        <w:rPr>
          <w:rFonts w:ascii="Consolas" w:cs="Consolas" w:eastAsia="Consolas" w:hAnsi="Consolas"/>
          <w:sz w:val="18"/>
          <w:szCs w:val="18"/>
          <w:shd w:fill="EEF1F5" w:color="auto" w:val="clear"/>
        </w:rPr>
        <w:t xml:space="preserve">aa8ce23</w:t>
      </w:r>
      <w:r>
        <w:rPr>
          <w:sz w:val="20"/>
          <w:szCs w:val="20"/>
        </w:rPr>
        <w:t xml:space="preserve">)</w:t>
      </w:r>
    </w:p>
    <w:p>
      <w:pPr>
        <w:spacing w:after="100"/>
      </w:pPr>
      <w:r>
        <w:rPr>
          <w:b/>
          <w:bCs/>
          <w:color w:val="1F3A5F"/>
          <w:sz w:val="20"/>
          <w:szCs w:val="20"/>
        </w:rPr>
        <w:t xml:space="preserve">Audience:  </w:t>
      </w:r>
      <w:r>
        <w:rPr>
          <w:sz w:val="20"/>
          <w:szCs w:val="20"/>
        </w:rPr>
        <w:t xml:space="preserve">Founders, product owner, engineering team, prospective pilot clients, investors (technical due diligence)</w:t>
      </w:r>
    </w:p>
    <w:p>
      <w:pPr>
        <w:spacing w:after="100"/>
      </w:pPr>
      <w:r>
        <w:rPr>
          <w:b/>
          <w:bCs/>
          <w:color w:val="1F3A5F"/>
          <w:sz w:val="20"/>
          <w:szCs w:val="20"/>
        </w:rPr>
        <w:t xml:space="preserve">Status:  </w:t>
      </w:r>
      <w:r>
        <w:rPr>
          <w:sz w:val="20"/>
          <w:szCs w:val="20"/>
        </w:rPr>
        <w:t xml:space="preserve">Draft v0.1 for review</w:t>
      </w:r>
    </w:p>
    <w:p>
      <w:pPr>
        <w:spacing w:before="200"/>
      </w:pPr>
      <w:r>
        <w:rPr>
          <w:color w:val="5A6B80"/>
          <w:sz w:val="20"/>
          <w:szCs w:val="20"/>
        </w:rPr>
        <w:t xml:space="preserve">Date: 24 September 2026</w:t>
      </w:r>
    </w:p>
    <w:p>
      <w:r>
        <w:br w:type="page"/>
      </w:r>
    </w:p>
    <w:p>
      <w:pPr>
        <w:spacing w:after="200"/>
      </w:pPr>
      <w:r>
        <w:rPr>
          <w:b/>
          <w:bCs/>
          <w:color w:val="1F3A5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A6B80"/>
          <w:sz w:val="16"/>
          <w:szCs w:val="16"/>
        </w:rPr>
        <w:t xml:space="preserve">Right-click the table of contents and choose "Update Field" if page numbers are missing.</w:t>
      </w:r>
    </w:p>
    <w:p>
      <w:r>
        <w:br w:type="page"/>
      </w:r>
    </w:p>
    <w:p>
      <w:pPr>
        <w:pStyle w:val="Heading1"/>
      </w:pPr>
      <w:r>
        <w:t xml:space="preserve">0. How to use this document</w:t>
      </w:r>
    </w:p>
    <w:p>
      <w:pPr>
        <w:pStyle w:val="ListParagraph"/>
        <w:numPr>
          <w:ilvl w:val="0"/>
          <w:numId w:val="2"/>
        </w:numPr>
        <w:spacing w:after="60"/>
      </w:pPr>
      <w:r>
        <w:rPr>
          <w:b/>
          <w:bCs/>
        </w:rPr>
        <w:t xml:space="preserve">Section 1</w:t>
      </w:r>
      <w:r>
        <w:t xml:space="preserve"> restates what the business plan says we are building, so engineering decisions can be traced back to it.</w:t>
      </w:r>
    </w:p>
    <w:p>
      <w:pPr>
        <w:pStyle w:val="ListParagraph"/>
        <w:numPr>
          <w:ilvl w:val="0"/>
          <w:numId w:val="2"/>
        </w:numPr>
        <w:spacing w:after="60"/>
      </w:pPr>
      <w:r>
        <w:rPr>
          <w:b/>
          <w:bCs/>
        </w:rPr>
        <w:t xml:space="preserve">Section 2</w:t>
      </w:r>
      <w:r>
        <w:t xml:space="preserve"> is an honest assessment of where Nex actually is today. Every later section starts from this baseline.</w:t>
      </w:r>
    </w:p>
    <w:p>
      <w:pPr>
        <w:pStyle w:val="ListParagraph"/>
        <w:numPr>
          <w:ilvl w:val="0"/>
          <w:numId w:val="2"/>
        </w:numPr>
        <w:spacing w:after="60"/>
      </w:pPr>
      <w:r>
        <w:rPr>
          <w:b/>
          <w:bCs/>
        </w:rPr>
        <w:t xml:space="preserve">Sections 3–4</w:t>
      </w:r>
      <w:r>
        <w:t xml:space="preserve"> define the </w:t>
      </w:r>
      <w:r>
        <w:rPr>
          <w:b/>
          <w:bCs/>
        </w:rPr>
        <w:t xml:space="preserve">target architecture</w:t>
      </w:r>
      <w:r>
        <w:t xml:space="preserve"> and how today's code moves into it.</w:t>
      </w:r>
    </w:p>
    <w:p>
      <w:pPr>
        <w:pStyle w:val="ListParagraph"/>
        <w:numPr>
          <w:ilvl w:val="0"/>
          <w:numId w:val="2"/>
        </w:numPr>
        <w:spacing w:after="60"/>
      </w:pPr>
      <w:r>
        <w:rPr>
          <w:b/>
          <w:bCs/>
        </w:rPr>
        <w:t xml:space="preserve">Section 5</w:t>
      </w:r>
      <w:r>
        <w:t xml:space="preserve"> is the </w:t>
      </w:r>
      <w:r>
        <w:rPr>
          <w:b/>
          <w:bCs/>
        </w:rPr>
        <w:t xml:space="preserve">staged roadmap</w:t>
      </w:r>
      <w:r>
        <w:t xml:space="preserve"> (Stage 0 → Stage 5), with objectives, deliverables and exit gates.</w:t>
      </w:r>
    </w:p>
    <w:p>
      <w:pPr>
        <w:pStyle w:val="ListParagraph"/>
        <w:numPr>
          <w:ilvl w:val="0"/>
          <w:numId w:val="2"/>
        </w:numPr>
        <w:spacing w:after="60"/>
      </w:pPr>
      <w:r>
        <w:rPr>
          <w:b/>
          <w:bCs/>
        </w:rPr>
        <w:t xml:space="preserve">Section 6</w:t>
      </w:r>
      <w:r>
        <w:t xml:space="preserve"> is the </w:t>
      </w:r>
      <w:r>
        <w:rPr>
          <w:b/>
          <w:bCs/>
        </w:rPr>
        <w:t xml:space="preserve">MVP playbook</w:t>
      </w:r>
      <w:r>
        <w:t xml:space="preserve">: scope, acceptance criteria, sprint plan and definition of done.</w:t>
      </w:r>
    </w:p>
    <w:p>
      <w:pPr>
        <w:pStyle w:val="ListParagraph"/>
        <w:numPr>
          <w:ilvl w:val="0"/>
          <w:numId w:val="2"/>
        </w:numPr>
        <w:spacing w:after="60"/>
      </w:pPr>
      <w:r>
        <w:rPr>
          <w:b/>
          <w:bCs/>
        </w:rPr>
        <w:t xml:space="preserve">Sections 7–10</w:t>
      </w:r>
      <w:r>
        <w:t xml:space="preserve"> cover the team, engineering practices, risks, and </w:t>
      </w:r>
      <w:r>
        <w:rPr>
          <w:b/>
          <w:bCs/>
        </w:rPr>
        <w:t xml:space="preserve">decisions leadership needs to make now</w:t>
      </w:r>
      <w:r>
        <w:t xml:space="preserve">.</w:t>
      </w:r>
    </w:p>
    <w:p>
      <w:pPr>
        <w:spacing w:after="120"/>
      </w:pPr>
      <w:r>
        <w:t xml:space="preserve">Keep this document in the repo and update it at each stage gate. Record architecture decisions as ADRs under </w:t>
      </w:r>
      <w:r>
        <w:rPr>
          <w:rFonts w:ascii="Consolas" w:cs="Consolas" w:eastAsia="Consolas" w:hAnsi="Consolas"/>
          <w:sz w:val="18"/>
          <w:szCs w:val="18"/>
          <w:shd w:fill="EEF1F5" w:color="auto" w:val="clear"/>
        </w:rPr>
        <w:t xml:space="preserve">docs/adr/</w:t>
      </w:r>
      <w:r>
        <w:t xml:space="preserve">. This document says </w:t>
      </w:r>
      <w:r>
        <w:rPr>
          <w:i/>
          <w:iCs/>
        </w:rPr>
        <w:t xml:space="preserve">what</w:t>
      </w:r>
      <w:r>
        <w:t xml:space="preserve"> and </w:t>
      </w:r>
      <w:r>
        <w:rPr>
          <w:i/>
          <w:iCs/>
        </w:rPr>
        <w:t xml:space="preserve">why</w:t>
      </w:r>
      <w:r>
        <w:t xml:space="preserve">; the ADRs capture the detail of each decision.</w:t>
      </w:r>
    </w:p>
    <w:p>
      <w:r>
        <w:br w:type="page"/>
      </w:r>
    </w:p>
    <w:p>
      <w:pPr>
        <w:pStyle w:val="Heading1"/>
      </w:pPr>
      <w:r>
        <w:t xml:space="preserve">1. The target outcome (from the business plan)</w:t>
      </w:r>
    </w:p>
    <w:p>
      <w:pPr>
        <w:spacing w:after="120"/>
      </w:pPr>
      <w:r>
        <w:rPr>
          <w:b/>
          <w:bCs/>
        </w:rPr>
        <w:t xml:space="preserve">Vision.</w:t>
      </w:r>
      <w:r>
        <w:t xml:space="preserve"> A cloud-native, cross-asset trading and risk platform for regional and mid-size banks, brokers and asset managers. It offers roughly </w:t>
      </w:r>
      <w:r>
        <w:rPr>
          <w:i/>
          <w:iCs/>
        </w:rPr>
        <w:t xml:space="preserve">"80% of enterprise functionality with 20% of the complexity"</w:t>
      </w:r>
      <w:r>
        <w:t xml:space="preserve"> at a fraction of the cost of Murex, Calypso/ION or Finastra. It is sold as tiered SaaS and is built for local-market compliance, which global vendors are slow to support.</w:t>
      </w:r>
    </w:p>
    <w:p>
      <w:pPr>
        <w:pBdr>
          <w:left w:val="single" w:color="C78A1A" w:sz="18" w:space="8"/>
        </w:pBdr>
        <w:shd w:fill="FFF6E5" w:color="auto" w:val="clear"/>
        <w:spacing w:after="120"/>
        <w:ind w:left="360"/>
      </w:pPr>
      <w:r>
        <w:rPr>
          <w:i/>
          <w:iCs/>
          <w:color w:val="4A3B1A"/>
        </w:rPr>
        <w:t xml:space="preserve">Note: the plan contains an editorial comment asking to align wording. The target customer is </w:t>
      </w:r>
      <w:r>
        <w:rPr>
          <w:i/>
          <w:iCs/>
          <w:color w:val="4A3B1A"/>
        </w:rPr>
        <w:t xml:space="preserve">financial institutions that cannot justify tier-1 systems</w:t>
      </w:r>
      <w:r>
        <w:rPr>
          <w:i/>
          <w:iCs/>
          <w:color w:val="4A3B1A"/>
        </w:rPr>
        <w:t xml:space="preserve"> (regional banks, brokers, asset managers), with room for smaller players. This document follows that wording.</w:t>
      </w:r>
    </w:p>
    <w:p>
      <w:pPr>
        <w:spacing w:after="120"/>
      </w:pPr>
      <w:r>
        <w:rPr>
          <w:b/>
          <w:bCs/>
        </w:rPr>
        <w:t xml:space="preserve">Capabilities the plan commits to (end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6"/>
        <w:gridCol w:w="7722"/>
      </w:tblGrid>
      <w:tr>
        <w:trPr>
          <w:cantSplit/>
          <w:tblHeader/>
        </w:trPr>
        <w:tc>
          <w:tcPr>
            <w:tcW w:type="dxa" w:w="191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Capability</w:t>
            </w:r>
          </w:p>
        </w:tc>
        <w:tc>
          <w:tcPr>
            <w:tcW w:type="dxa" w:w="7722"/>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Plan commitment</w:t>
            </w:r>
          </w:p>
        </w:tc>
      </w:tr>
      <w:tr>
        <w:trPr>
          <w:cantSplit/>
        </w:trPr>
        <w:tc>
          <w:tcPr>
            <w:tcW w:type="dxa" w:w="19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Multi-asset trade capture</w:t>
            </w:r>
          </w:p>
        </w:tc>
        <w:tc>
          <w:tcPr>
            <w:tcW w:type="dxa" w:w="772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FX, equities, fixed income, money markets and vanilla derivatives in one unified model. New instruments are added by configuration, not code</w:t>
            </w:r>
          </w:p>
        </w:tc>
      </w:tr>
      <w:tr>
        <w:trPr>
          <w:cantSplit/>
        </w:trPr>
        <w:tc>
          <w:tcPr>
            <w:tcW w:type="dxa" w:w="19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Real-time P&amp;L and risk</w:t>
            </w:r>
          </w:p>
        </w:tc>
        <w:tc>
          <w:tcPr>
            <w:tcW w:type="dxa" w:w="772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Event-driven recalculation on trade or price change; on-demand Greeks and VaR</w:t>
            </w:r>
          </w:p>
        </w:tc>
      </w:tr>
      <w:tr>
        <w:trPr>
          <w:cantSplit/>
        </w:trPr>
        <w:tc>
          <w:tcPr>
            <w:tcW w:type="dxa" w:w="19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STP and confirmations</w:t>
            </w:r>
          </w:p>
        </w:tc>
        <w:tc>
          <w:tcPr>
            <w:tcW w:type="dxa" w:w="772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Auto-generated confirmations (e-mail/SWIFT), affirmation/matching, settlement instructions, FIX/SWIFT integration</w:t>
            </w:r>
          </w:p>
        </w:tc>
      </w:tr>
      <w:tr>
        <w:trPr>
          <w:cantSplit/>
        </w:trPr>
        <w:tc>
          <w:tcPr>
            <w:tcW w:type="dxa" w:w="19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Compliance by design</w:t>
            </w:r>
          </w:p>
        </w:tc>
        <w:tc>
          <w:tcPr>
            <w:tcW w:type="dxa" w:w="772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RBAC, maker-checker, pre-trade limits, a complete audit trail, encryption, POPIA/GDPR, regulatory extracts</w:t>
            </w:r>
          </w:p>
        </w:tc>
      </w:tr>
      <w:tr>
        <w:trPr>
          <w:cantSplit/>
        </w:trPr>
        <w:tc>
          <w:tcPr>
            <w:tcW w:type="dxa" w:w="19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Reporting</w:t>
            </w:r>
          </w:p>
        </w:tc>
        <w:tc>
          <w:tcPr>
            <w:tcW w:type="dxa" w:w="772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Configurable management, client and regulatory reports; PDF/Excel export; later, NLG commentary</w:t>
            </w:r>
          </w:p>
        </w:tc>
      </w:tr>
      <w:tr>
        <w:trPr>
          <w:cantSplit/>
        </w:trPr>
        <w:tc>
          <w:tcPr>
            <w:tcW w:type="dxa" w:w="19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Modern UX</w:t>
            </w:r>
          </w:p>
        </w:tc>
        <w:tc>
          <w:tcPr>
            <w:tcW w:type="dxa" w:w="772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Web-based, responsive, real-time push (WebSockets), multi-currency and multi-language</w:t>
            </w:r>
          </w:p>
        </w:tc>
      </w:tr>
      <w:tr>
        <w:trPr>
          <w:cantSplit/>
        </w:trPr>
        <w:tc>
          <w:tcPr>
            <w:tcW w:type="dxa" w:w="19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Optional modules</w:t>
            </w:r>
          </w:p>
        </w:tc>
        <w:tc>
          <w:tcPr>
            <w:tcW w:type="dxa" w:w="772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AI anomaly detection, ML insights, RPA-friendly APIs, DLT-ready, crypto-agile (post-quantum) security</w:t>
            </w:r>
          </w:p>
        </w:tc>
      </w:tr>
      <w:tr>
        <w:trPr>
          <w:cantSplit/>
        </w:trPr>
        <w:tc>
          <w:tcPr>
            <w:tcW w:type="dxa" w:w="19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Technology</w:t>
            </w:r>
          </w:p>
        </w:tc>
        <w:tc>
          <w:tcPr>
            <w:tcW w:type="dxa" w:w="772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Cloud-native microservices, Docker/Kubernetes, cloud-agnostic, Java/.NET core plus Python analytics, React/Angular UI, SQL plus a time-series store, open APIs, SOC 2, CI/CD</w:t>
            </w:r>
          </w:p>
        </w:tc>
      </w:tr>
    </w:tbl>
    <w:p>
      <w:pPr>
        <w:spacing w:after="120"/>
      </w:pPr>
    </w:p>
    <w:p>
      <w:pPr>
        <w:spacing w:after="120"/>
      </w:pPr>
      <w:r>
        <w:rPr>
          <w:b/>
          <w:bCs/>
        </w:rPr>
        <w:t xml:space="preserve">Phases and commercial model in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8"/>
        <w:gridCol w:w="2155"/>
        <w:gridCol w:w="4516"/>
        <w:gridCol w:w="1879"/>
      </w:tblGrid>
      <w:tr>
        <w:trPr>
          <w:cantSplit/>
          <w:tblHeader/>
        </w:trPr>
        <w:tc>
          <w:tcPr>
            <w:tcW w:type="dxa" w:w="1088"/>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Phase</w:t>
            </w:r>
          </w:p>
        </w:tc>
        <w:tc>
          <w:tcPr>
            <w:tcW w:type="dxa" w:w="2155"/>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Plan date (as written)</w:t>
            </w:r>
          </w:p>
        </w:tc>
        <w:tc>
          <w:tcPr>
            <w:tcW w:type="dxa" w:w="451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Scope</w:t>
            </w:r>
          </w:p>
        </w:tc>
        <w:tc>
          <w:tcPr>
            <w:tcW w:type="dxa" w:w="187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Commercial link</w:t>
            </w:r>
          </w:p>
        </w:tc>
      </w:tr>
      <w:tr>
        <w:trPr>
          <w:cantSplit/>
        </w:trPr>
        <w:tc>
          <w:tcPr>
            <w:tcW w:type="dxa" w:w="108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Phase 1 — MVP</w:t>
            </w:r>
          </w:p>
        </w:tc>
        <w:tc>
          <w:tcPr>
            <w:tcW w:type="dxa" w:w="215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"Mid-2025" / "2026" (the plan is inconsistent)</w:t>
            </w:r>
          </w:p>
        </w:tc>
        <w:tc>
          <w:tcPr>
            <w:tcW w:type="dxa" w:w="45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Trade capture for a limited asset set, positions, P&amp;L, confirmations, EOD reports, user management, audit logging</w:t>
            </w:r>
          </w:p>
        </w:tc>
        <w:tc>
          <w:tcPr>
            <w:tcW w:type="dxa" w:w="18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1–3 pilot clients, free or discounted</w:t>
            </w:r>
          </w:p>
        </w:tc>
      </w:tr>
      <w:tr>
        <w:trPr>
          <w:cantSplit/>
        </w:trPr>
        <w:tc>
          <w:tcPr>
            <w:tcW w:type="dxa" w:w="108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Phase 2 — Beta</w:t>
            </w:r>
          </w:p>
        </w:tc>
        <w:tc>
          <w:tcPr>
            <w:tcW w:type="dxa" w:w="215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"Late 2025 – mid 2026" / "end 2026"</w:t>
            </w:r>
          </w:p>
        </w:tc>
        <w:tc>
          <w:tcPr>
            <w:tcW w:type="dxa" w:w="45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More asset classes, basic VaR/Greeks, pre-trade limits, full audit trail, workflow automation, localisation; 2–5 beta clients</w:t>
            </w:r>
          </w:p>
        </w:tc>
        <w:tc>
          <w:tcPr>
            <w:tcW w:type="dxa" w:w="18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~10 clients, ~$2M ARR by end of year 2</w:t>
            </w:r>
          </w:p>
        </w:tc>
      </w:tr>
      <w:tr>
        <w:trPr>
          <w:cantSplit/>
        </w:trPr>
        <w:tc>
          <w:tcPr>
            <w:tcW w:type="dxa" w:w="108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Phase 3 — Full launch</w:t>
            </w:r>
          </w:p>
        </w:tc>
        <w:tc>
          <w:tcPr>
            <w:tcW w:type="dxa" w:w="215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Early 2027</w:t>
            </w:r>
          </w:p>
        </w:tc>
        <w:tc>
          <w:tcPr>
            <w:tcW w:type="dxa" w:w="45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All major asset classes, stress testing, full reporting suite, AI/RPA modules, SOC 2, scale testing</w:t>
            </w:r>
          </w:p>
        </w:tc>
        <w:tc>
          <w:tcPr>
            <w:tcW w:type="dxa" w:w="18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25+ clients, $7M+ ARR</w:t>
            </w:r>
          </w:p>
        </w:tc>
      </w:tr>
    </w:tbl>
    <w:p>
      <w:pPr>
        <w:spacing w:after="120"/>
      </w:pPr>
    </w:p>
    <w:p>
      <w:pPr>
        <w:spacing w:after="120"/>
      </w:pPr>
      <w:r>
        <w:rPr>
          <w:b/>
          <w:bCs/>
        </w:rPr>
        <w:t xml:space="preserve">Funding assumption:</w:t>
      </w:r>
      <w:r>
        <w:t xml:space="preserve"> $2–3M over 18–24 months for an 8–12 FTE team, compliance and security, and go-to-market.</w:t>
      </w:r>
    </w:p>
    <w:p>
      <w:r>
        <w:br w:type="page"/>
      </w:r>
    </w:p>
    <w:p>
      <w:pPr>
        <w:pStyle w:val="Heading1"/>
      </w:pPr>
      <w:r>
        <w:t xml:space="preserve">2. Where Nex is today (current-state assessment, 24 Sep 2026)</w:t>
      </w:r>
    </w:p>
    <w:p>
      <w:pPr>
        <w:pStyle w:val="Heading2"/>
      </w:pPr>
      <w:r>
        <w:t xml:space="preserve">2.1 Summary</w:t>
      </w:r>
    </w:p>
    <w:p>
      <w:pPr>
        <w:spacing w:after="120"/>
      </w:pPr>
      <w:r>
        <w:t xml:space="preserve">Nex is at a </w:t>
      </w:r>
      <w:r>
        <w:rPr>
          <w:b/>
          <w:bCs/>
        </w:rPr>
        <w:t xml:space="preserve">"Stage 0 — prototype / domain foundations"</w:t>
      </w:r>
      <w:r>
        <w:t xml:space="preserve"> level. The repository holds a promising start on the </w:t>
      </w:r>
      <w:r>
        <w:rPr>
          <w:b/>
          <w:bCs/>
        </w:rPr>
        <w:t xml:space="preserve">quantitative domain layer</w:t>
      </w:r>
      <w:r>
        <w:t xml:space="preserve"> (conventions, calendars, cashflows, curves) and a </w:t>
      </w:r>
      <w:r>
        <w:rPr>
          <w:b/>
          <w:bCs/>
        </w:rPr>
        <w:t xml:space="preserve">JavaFX desktop mock-up</w:t>
      </w:r>
      <w:r>
        <w:t xml:space="preserve"> of trade capture. It does not yet have a build system, persistence, services, authentication, tests or a running valuation path. </w:t>
      </w:r>
      <w:r>
        <w:rPr>
          <w:b/>
          <w:bCs/>
        </w:rPr>
        <w:t xml:space="preserve">The codebase does not compile in its current state.</w:t>
      </w:r>
    </w:p>
    <w:p>
      <w:pPr>
        <w:spacing w:after="120"/>
      </w:pPr>
      <w:r>
        <w:t xml:space="preserve">Measured against the business plan, the MVP ("Phase 1") has </w:t>
      </w:r>
      <w:r>
        <w:rPr>
          <w:b/>
          <w:bCs/>
        </w:rPr>
        <w:t xml:space="preserve">not</w:t>
      </w:r>
      <w:r>
        <w:t xml:space="preserve"> been reached. The plan's dated milestones (MVP 2025/2026, Beta 2026) have slipped and need to be re-baselined (see §5 and Decision D1).</w:t>
      </w:r>
    </w:p>
    <w:p>
      <w:pPr>
        <w:pStyle w:val="Heading2"/>
      </w:pPr>
      <w:r>
        <w:t xml:space="preserve">2.2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3924"/>
        <w:gridCol w:w="3375"/>
      </w:tblGrid>
      <w:tr>
        <w:trPr>
          <w:cantSplit/>
          <w:tblHeader/>
        </w:trPr>
        <w:tc>
          <w:tcPr>
            <w:tcW w:type="dxa" w:w="233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Area</w:t>
            </w:r>
          </w:p>
        </w:tc>
        <w:tc>
          <w:tcPr>
            <w:tcW w:type="dxa" w:w="3924"/>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What exists</w:t>
            </w:r>
          </w:p>
        </w:tc>
        <w:tc>
          <w:tcPr>
            <w:tcW w:type="dxa" w:w="3375"/>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Maturity</w:t>
            </w:r>
          </w:p>
        </w:tc>
      </w:tr>
      <w:tr>
        <w:trPr>
          <w:cantSplit/>
        </w:trPr>
        <w:tc>
          <w:tcPr>
            <w:tcW w:type="dxa" w:w="23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Repository</w:t>
            </w:r>
          </w:p>
        </w:tc>
        <w:tc>
          <w:tcPr>
            <w:tcW w:type="dxa" w:w="392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~80 files and ~6.3k lines of Java in 1 commit. IntelliJ </w:t>
            </w:r>
            <w:r>
              <w:rPr>
                <w:rFonts w:ascii="Consolas" w:cs="Consolas" w:eastAsia="Consolas" w:hAnsi="Consolas"/>
                <w:sz w:val="16"/>
                <w:szCs w:val="16"/>
                <w:shd w:fill="EEF1F5" w:color="auto" w:val="clear"/>
              </w:rPr>
              <w:t xml:space="preserve">.iml</w:t>
            </w:r>
            <w:r>
              <w:rPr>
                <w:sz w:val="18"/>
                <w:szCs w:val="18"/>
              </w:rPr>
              <w:t xml:space="preserve"> project, Java 21</w:t>
            </w:r>
          </w:p>
        </w:tc>
        <w:tc>
          <w:tcPr>
            <w:tcW w:type="dxa" w:w="337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Early</w:t>
            </w:r>
          </w:p>
        </w:tc>
      </w:tr>
      <w:tr>
        <w:trPr>
          <w:cantSplit/>
        </w:trPr>
        <w:tc>
          <w:tcPr>
            <w:tcW w:type="dxa" w:w="233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Build &amp; dependencies</w:t>
            </w:r>
          </w:p>
        </w:tc>
        <w:tc>
          <w:tcPr>
            <w:tcW w:type="dxa" w:w="392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No Maven or Gradle. Libraries (JavaFX SDK, Jackson 2.15, Apache POI 5.4, commons-collections4) are referenced by paths </w:t>
            </w:r>
            <w:r>
              <w:rPr>
                <w:i/>
                <w:iCs/>
                <w:sz w:val="18"/>
                <w:szCs w:val="18"/>
              </w:rPr>
              <w:t xml:space="preserve">outside</w:t>
            </w:r>
            <w:r>
              <w:rPr>
                <w:sz w:val="18"/>
                <w:szCs w:val="18"/>
              </w:rPr>
              <w:t xml:space="preserve"> the repo (e.g. </w:t>
            </w:r>
            <w:r>
              <w:rPr>
                <w:rFonts w:ascii="Consolas" w:cs="Consolas" w:eastAsia="Consolas" w:hAnsi="Consolas"/>
                <w:sz w:val="16"/>
                <w:szCs w:val="16"/>
                <w:shd w:fill="EEF1F5" w:color="auto" w:val="clear"/>
              </w:rPr>
              <w:t xml:space="preserve">C:\Program Files\JavaFXsdk</w:t>
            </w:r>
            <w:r>
              <w:rPr>
                <w:sz w:val="18"/>
                <w:szCs w:val="18"/>
              </w:rPr>
              <w:t xml:space="preserve">)</w:t>
            </w:r>
          </w:p>
        </w:tc>
        <w:tc>
          <w:tcPr>
            <w:tcW w:type="dxa" w:w="337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 Not reproducible</w:t>
            </w:r>
          </w:p>
        </w:tc>
      </w:tr>
      <w:tr>
        <w:trPr>
          <w:cantSplit/>
        </w:trPr>
        <w:tc>
          <w:tcPr>
            <w:tcW w:type="dxa" w:w="23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Conventions</w:t>
            </w:r>
            <w:r>
              <w:rPr>
                <w:sz w:val="18"/>
                <w:szCs w:val="18"/>
              </w:rPr>
              <w:t xml:space="preserve"> (</w:t>
            </w:r>
            <w:r>
              <w:rPr>
                <w:rFonts w:ascii="Consolas" w:cs="Consolas" w:eastAsia="Consolas" w:hAnsi="Consolas"/>
                <w:sz w:val="16"/>
                <w:szCs w:val="16"/>
                <w:shd w:fill="EEF1F5" w:color="auto" w:val="clear"/>
              </w:rPr>
              <w:t xml:space="preserve">com.ats.pricing.tools</w:t>
            </w:r>
            <w:r>
              <w:rPr>
                <w:sz w:val="18"/>
                <w:szCs w:val="18"/>
              </w:rPr>
              <w:t xml:space="preserve">)</w:t>
            </w:r>
          </w:p>
        </w:tc>
        <w:tc>
          <w:tcPr>
            <w:tcW w:type="dxa" w:w="392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Day counts (Act/360, Act/365, Act/Act ISDA, 30/360 US), Modified Following, date intervals</w:t>
            </w:r>
          </w:p>
        </w:tc>
        <w:tc>
          <w:tcPr>
            <w:tcW w:type="dxa" w:w="337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 Good foundation, untested</w:t>
            </w:r>
          </w:p>
        </w:tc>
      </w:tr>
      <w:tr>
        <w:trPr>
          <w:cantSplit/>
        </w:trPr>
        <w:tc>
          <w:tcPr>
            <w:tcW w:type="dxa" w:w="233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Foundation types</w:t>
            </w:r>
            <w:r>
              <w:rPr>
                <w:sz w:val="18"/>
                <w:szCs w:val="18"/>
              </w:rPr>
              <w:t xml:space="preserve"> (</w:t>
            </w:r>
            <w:r>
              <w:rPr>
                <w:rFonts w:ascii="Consolas" w:cs="Consolas" w:eastAsia="Consolas" w:hAnsi="Consolas"/>
                <w:sz w:val="16"/>
                <w:szCs w:val="16"/>
                <w:shd w:fill="EEF1F5" w:color="auto" w:val="clear"/>
              </w:rPr>
              <w:t xml:space="preserve">com.ats.pricing.foundation</w:t>
            </w:r>
            <w:r>
              <w:rPr>
                <w:sz w:val="18"/>
                <w:szCs w:val="18"/>
              </w:rPr>
              <w:t xml:space="preserve">)</w:t>
            </w:r>
          </w:p>
        </w:tc>
        <w:tc>
          <w:tcPr>
            <w:tcW w:type="dxa" w:w="392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Currency</w:t>
            </w:r>
            <w:r>
              <w:rPr>
                <w:sz w:val="18"/>
                <w:szCs w:val="18"/>
              </w:rPr>
              <w:t xml:space="preserve">, </w:t>
            </w:r>
            <w:r>
              <w:rPr>
                <w:rFonts w:ascii="Consolas" w:cs="Consolas" w:eastAsia="Consolas" w:hAnsi="Consolas"/>
                <w:sz w:val="16"/>
                <w:szCs w:val="16"/>
                <w:shd w:fill="EEF1F5" w:color="auto" w:val="clear"/>
              </w:rPr>
              <w:t xml:space="preserve">Payment</w:t>
            </w:r>
            <w:r>
              <w:rPr>
                <w:sz w:val="18"/>
                <w:szCs w:val="18"/>
              </w:rPr>
              <w:t xml:space="preserve">, </w:t>
            </w:r>
            <w:r>
              <w:rPr>
                <w:rFonts w:ascii="Consolas" w:cs="Consolas" w:eastAsia="Consolas" w:hAnsi="Consolas"/>
                <w:sz w:val="16"/>
                <w:szCs w:val="16"/>
                <w:shd w:fill="EEF1F5" w:color="auto" w:val="clear"/>
              </w:rPr>
              <w:t xml:space="preserve">CashFlow</w:t>
            </w:r>
            <w:r>
              <w:rPr>
                <w:sz w:val="18"/>
                <w:szCs w:val="18"/>
              </w:rPr>
              <w:t xml:space="preserve">, </w:t>
            </w:r>
            <w:r>
              <w:rPr>
                <w:rFonts w:ascii="Consolas" w:cs="Consolas" w:eastAsia="Consolas" w:hAnsi="Consolas"/>
                <w:sz w:val="16"/>
                <w:szCs w:val="16"/>
                <w:shd w:fill="EEF1F5" w:color="auto" w:val="clear"/>
              </w:rPr>
              <w:t xml:space="preserve">TimePeriod</w:t>
            </w:r>
            <w:r>
              <w:rPr>
                <w:sz w:val="18"/>
                <w:szCs w:val="18"/>
              </w:rPr>
              <w:t xml:space="preserve">/</w:t>
            </w:r>
            <w:r>
              <w:rPr>
                <w:rFonts w:ascii="Consolas" w:cs="Consolas" w:eastAsia="Consolas" w:hAnsi="Consolas"/>
                <w:sz w:val="16"/>
                <w:szCs w:val="16"/>
                <w:shd w:fill="EEF1F5" w:color="auto" w:val="clear"/>
              </w:rPr>
              <w:t xml:space="preserve">ReferenceTimePeriod</w:t>
            </w:r>
            <w:r>
              <w:rPr>
                <w:sz w:val="18"/>
                <w:szCs w:val="18"/>
              </w:rPr>
              <w:t xml:space="preserve"> tenors, </w:t>
            </w:r>
            <w:r>
              <w:rPr>
                <w:rFonts w:ascii="Consolas" w:cs="Consolas" w:eastAsia="Consolas" w:hAnsi="Consolas"/>
                <w:sz w:val="16"/>
                <w:szCs w:val="16"/>
                <w:shd w:fill="EEF1F5" w:color="auto" w:val="clear"/>
              </w:rPr>
              <w:t xml:space="preserve">BusinessCenter</w:t>
            </w:r>
            <w:r>
              <w:rPr>
                <w:sz w:val="18"/>
                <w:szCs w:val="18"/>
              </w:rPr>
              <w:t xml:space="preserve"> (ZAJO, USNY, GBLO), </w:t>
            </w:r>
            <w:r>
              <w:rPr>
                <w:rFonts w:ascii="Consolas" w:cs="Consolas" w:eastAsia="Consolas" w:hAnsi="Consolas"/>
                <w:sz w:val="16"/>
                <w:szCs w:val="16"/>
                <w:shd w:fill="EEF1F5" w:color="auto" w:val="clear"/>
              </w:rPr>
              <w:t xml:space="preserve">BusinessDayCalendar</w:t>
            </w:r>
          </w:p>
        </w:tc>
        <w:tc>
          <w:tcPr>
            <w:tcW w:type="dxa" w:w="337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 Useful; some classes were ported from a larger codebase and reference missing types</w:t>
            </w:r>
          </w:p>
        </w:tc>
      </w:tr>
      <w:tr>
        <w:trPr>
          <w:cantSplit/>
        </w:trPr>
        <w:tc>
          <w:tcPr>
            <w:tcW w:type="dxa" w:w="23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Numerics &amp; market data</w:t>
            </w:r>
            <w:r>
              <w:rPr>
                <w:sz w:val="18"/>
                <w:szCs w:val="18"/>
              </w:rPr>
              <w:t xml:space="preserve"> (</w:t>
            </w:r>
            <w:r>
              <w:rPr>
                <w:rFonts w:ascii="Consolas" w:cs="Consolas" w:eastAsia="Consolas" w:hAnsi="Consolas"/>
                <w:sz w:val="16"/>
                <w:szCs w:val="16"/>
                <w:shd w:fill="EEF1F5" w:color="auto" w:val="clear"/>
              </w:rPr>
              <w:t xml:space="preserve">com.ats.math</w:t>
            </w:r>
            <w:r>
              <w:rPr>
                <w:sz w:val="18"/>
                <w:szCs w:val="18"/>
              </w:rPr>
              <w:t xml:space="preserve">, </w:t>
            </w:r>
            <w:r>
              <w:rPr>
                <w:rFonts w:ascii="Consolas" w:cs="Consolas" w:eastAsia="Consolas" w:hAnsi="Consolas"/>
                <w:sz w:val="16"/>
                <w:szCs w:val="16"/>
                <w:shd w:fill="EEF1F5" w:color="auto" w:val="clear"/>
              </w:rPr>
              <w:t xml:space="preserve">com.ats.pricing.marketData</w:t>
            </w:r>
            <w:r>
              <w:rPr>
                <w:sz w:val="18"/>
                <w:szCs w:val="18"/>
              </w:rPr>
              <w:t xml:space="preserve">)</w:t>
            </w:r>
          </w:p>
        </w:tc>
        <w:tc>
          <w:tcPr>
            <w:tcW w:type="dxa" w:w="392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Interpolator1D</w:t>
            </w:r>
            <w:r>
              <w:rPr>
                <w:sz w:val="18"/>
                <w:szCs w:val="18"/>
              </w:rPr>
              <w:t xml:space="preserve">/linear interpolation, </w:t>
            </w:r>
            <w:r>
              <w:rPr>
                <w:rFonts w:ascii="Consolas" w:cs="Consolas" w:eastAsia="Consolas" w:hAnsi="Consolas"/>
                <w:sz w:val="16"/>
                <w:szCs w:val="16"/>
                <w:shd w:fill="EEF1F5" w:color="auto" w:val="clear"/>
              </w:rPr>
              <w:t xml:space="preserve">DateBasedSurface1D</w:t>
            </w:r>
            <w:r>
              <w:rPr>
                <w:sz w:val="18"/>
                <w:szCs w:val="18"/>
              </w:rPr>
              <w:t xml:space="preserve"> (1.5k lines, boundary handling, scenario hook), </w:t>
            </w:r>
            <w:r>
              <w:rPr>
                <w:rFonts w:ascii="Consolas" w:cs="Consolas" w:eastAsia="Consolas" w:hAnsi="Consolas"/>
                <w:sz w:val="16"/>
                <w:szCs w:val="16"/>
                <w:shd w:fill="EEF1F5" w:color="auto" w:val="clear"/>
              </w:rPr>
              <w:t xml:space="preserve">InterestRateCurve</w:t>
            </w:r>
          </w:p>
        </w:tc>
        <w:tc>
          <w:tcPr>
            <w:tcW w:type="dxa" w:w="337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 Strong design intent, does not compile (missing </w:t>
            </w:r>
            <w:r>
              <w:rPr>
                <w:rFonts w:ascii="Consolas" w:cs="Consolas" w:eastAsia="Consolas" w:hAnsi="Consolas"/>
                <w:sz w:val="16"/>
                <w:szCs w:val="16"/>
                <w:shd w:fill="EEF1F5" w:color="auto" w:val="clear"/>
              </w:rPr>
              <w:t xml:space="preserve">Compounding</w:t>
            </w:r>
            <w:r>
              <w:rPr>
                <w:sz w:val="18"/>
                <w:szCs w:val="18"/>
              </w:rPr>
              <w:t xml:space="preserve">, </w:t>
            </w:r>
            <w:r>
              <w:rPr>
                <w:rFonts w:ascii="Consolas" w:cs="Consolas" w:eastAsia="Consolas" w:hAnsi="Consolas"/>
                <w:sz w:val="16"/>
                <w:szCs w:val="16"/>
                <w:shd w:fill="EEF1F5" w:color="auto" w:val="clear"/>
              </w:rPr>
              <w:t xml:space="preserve">Entity</w:t>
            </w:r>
            <w:r>
              <w:rPr>
                <w:sz w:val="18"/>
                <w:szCs w:val="18"/>
              </w:rPr>
              <w:t xml:space="preserve">, </w:t>
            </w:r>
            <w:r>
              <w:rPr>
                <w:rFonts w:ascii="Consolas" w:cs="Consolas" w:eastAsia="Consolas" w:hAnsi="Consolas"/>
                <w:sz w:val="16"/>
                <w:szCs w:val="16"/>
                <w:shd w:fill="EEF1F5" w:color="auto" w:val="clear"/>
              </w:rPr>
              <w:t xml:space="preserve">InterestRateSource</w:t>
            </w:r>
            <w:r>
              <w:rPr>
                <w:sz w:val="18"/>
                <w:szCs w:val="18"/>
              </w:rPr>
              <w:t xml:space="preserve">; mixes </w:t>
            </w:r>
            <w:r>
              <w:rPr>
                <w:rFonts w:ascii="Consolas" w:cs="Consolas" w:eastAsia="Consolas" w:hAnsi="Consolas"/>
                <w:sz w:val="16"/>
                <w:szCs w:val="16"/>
                <w:shd w:fill="EEF1F5" w:color="auto" w:val="clear"/>
              </w:rPr>
              <w:t xml:space="preserve">Date</w:t>
            </w:r>
            <w:r>
              <w:rPr>
                <w:sz w:val="18"/>
                <w:szCs w:val="18"/>
              </w:rPr>
              <w:t xml:space="preserve"> and </w:t>
            </w:r>
            <w:r>
              <w:rPr>
                <w:rFonts w:ascii="Consolas" w:cs="Consolas" w:eastAsia="Consolas" w:hAnsi="Consolas"/>
                <w:sz w:val="16"/>
                <w:szCs w:val="16"/>
                <w:shd w:fill="EEF1F5" w:color="auto" w:val="clear"/>
              </w:rPr>
              <w:t xml:space="preserve">LocalDate</w:t>
            </w:r>
            <w:r>
              <w:rPr>
                <w:sz w:val="18"/>
                <w:szCs w:val="18"/>
              </w:rPr>
              <w:t xml:space="preserve">)</w:t>
            </w:r>
          </w:p>
        </w:tc>
      </w:tr>
      <w:tr>
        <w:trPr>
          <w:cantSplit/>
        </w:trPr>
        <w:tc>
          <w:tcPr>
            <w:tcW w:type="dxa" w:w="233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Instruments</w:t>
            </w:r>
          </w:p>
        </w:tc>
        <w:tc>
          <w:tcPr>
            <w:tcW w:type="dxa" w:w="392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OvernightIndexSwap</w:t>
            </w:r>
            <w:r>
              <w:rPr>
                <w:sz w:val="18"/>
                <w:szCs w:val="18"/>
              </w:rPr>
              <w:t xml:space="preserve"> (fields plus partial valuation), </w:t>
            </w:r>
            <w:r>
              <w:rPr>
                <w:rFonts w:ascii="Consolas" w:cs="Consolas" w:eastAsia="Consolas" w:hAnsi="Consolas"/>
                <w:sz w:val="16"/>
                <w:szCs w:val="16"/>
                <w:shd w:fill="EEF1F5" w:color="auto" w:val="clear"/>
              </w:rPr>
              <w:t xml:space="preserve">OvernightIndexSwapFactory</w:t>
            </w:r>
            <w:r>
              <w:rPr>
                <w:sz w:val="18"/>
                <w:szCs w:val="18"/>
              </w:rPr>
              <w:t xml:space="preserve">, </w:t>
            </w:r>
            <w:r>
              <w:rPr>
                <w:rFonts w:ascii="Consolas" w:cs="Consolas" w:eastAsia="Consolas" w:hAnsi="Consolas"/>
                <w:sz w:val="16"/>
                <w:szCs w:val="16"/>
                <w:shd w:fill="EEF1F5" w:color="auto" w:val="clear"/>
              </w:rPr>
              <w:t xml:space="preserve">InstrumentType</w:t>
            </w:r>
          </w:p>
        </w:tc>
        <w:tc>
          <w:tcPr>
            <w:tcW w:type="dxa" w:w="337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 Syntax errors; valuation references an undefined context</w:t>
            </w:r>
          </w:p>
        </w:tc>
      </w:tr>
      <w:tr>
        <w:trPr>
          <w:cantSplit/>
        </w:trPr>
        <w:tc>
          <w:tcPr>
            <w:tcW w:type="dxa" w:w="23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Prototype valuation</w:t>
            </w:r>
            <w:r>
              <w:rPr>
                <w:sz w:val="18"/>
                <w:szCs w:val="18"/>
              </w:rPr>
              <w:t xml:space="preserve"> (</w:t>
            </w:r>
            <w:r>
              <w:rPr>
                <w:rFonts w:ascii="Consolas" w:cs="Consolas" w:eastAsia="Consolas" w:hAnsi="Consolas"/>
                <w:sz w:val="16"/>
                <w:szCs w:val="16"/>
                <w:shd w:fill="EEF1F5" w:color="auto" w:val="clear"/>
              </w:rPr>
              <w:t xml:space="preserve">ats.*</w:t>
            </w:r>
            <w:r>
              <w:rPr>
                <w:sz w:val="18"/>
                <w:szCs w:val="18"/>
              </w:rPr>
              <w:t xml:space="preserve">)</w:t>
            </w:r>
          </w:p>
        </w:tc>
        <w:tc>
          <w:tcPr>
            <w:tcW w:type="dxa" w:w="392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Fixed leg, floating leg and historical SOFR floating leg; flat and interpolated discount curves; CSV/JSON loaders; </w:t>
            </w:r>
            <w:r>
              <w:rPr>
                <w:rFonts w:ascii="Consolas" w:cs="Consolas" w:eastAsia="Consolas" w:hAnsi="Consolas"/>
                <w:sz w:val="16"/>
                <w:szCs w:val="16"/>
                <w:shd w:fill="EEF1F5" w:color="auto" w:val="clear"/>
              </w:rPr>
              <w:t xml:space="preserve">OISValuationRunner</w:t>
            </w:r>
          </w:p>
        </w:tc>
        <w:tc>
          <w:tcPr>
            <w:tcW w:type="dxa" w:w="337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 Proves the OIS PV concept; API mismatch (</w:t>
            </w:r>
            <w:r>
              <w:rPr>
                <w:rFonts w:ascii="Consolas" w:cs="Consolas" w:eastAsia="Consolas" w:hAnsi="Consolas"/>
                <w:sz w:val="16"/>
                <w:szCs w:val="16"/>
                <w:shd w:fill="EEF1F5" w:color="auto" w:val="clear"/>
              </w:rPr>
              <w:t xml:space="preserve">yearFraction</w:t>
            </w:r>
            <w:r>
              <w:rPr>
                <w:sz w:val="18"/>
                <w:szCs w:val="18"/>
              </w:rPr>
              <w:t xml:space="preserve"> vs </w:t>
            </w:r>
            <w:r>
              <w:rPr>
                <w:rFonts w:ascii="Consolas" w:cs="Consolas" w:eastAsia="Consolas" w:hAnsi="Consolas"/>
                <w:sz w:val="16"/>
                <w:szCs w:val="16"/>
                <w:shd w:fill="EEF1F5" w:color="auto" w:val="clear"/>
              </w:rPr>
              <w:t xml:space="preserve">calculateDayCountFraction</w:t>
            </w:r>
            <w:r>
              <w:rPr>
                <w:sz w:val="18"/>
                <w:szCs w:val="18"/>
              </w:rPr>
              <w:t xml:space="preserve">); sample data files are malformed or missing</w:t>
            </w:r>
          </w:p>
        </w:tc>
      </w:tr>
      <w:tr>
        <w:trPr>
          <w:cantSplit/>
        </w:trPr>
        <w:tc>
          <w:tcPr>
            <w:tcW w:type="dxa" w:w="233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Trade capture UI</w:t>
            </w:r>
            <w:r>
              <w:rPr>
                <w:sz w:val="18"/>
                <w:szCs w:val="18"/>
              </w:rPr>
              <w:t xml:space="preserve"> (JavaFX)</w:t>
            </w:r>
          </w:p>
        </w:tc>
        <w:tc>
          <w:tcPr>
            <w:tcW w:type="dxa" w:w="392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Main window, module tabs (Trade Capture / Market Data / Reports), dynamic form per trade type (OIS, Bond, Loan) with preview</w:t>
            </w:r>
          </w:p>
        </w:tc>
        <w:tc>
          <w:tcPr>
            <w:tcW w:type="dxa" w:w="337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 Mock-up only: Save and Valuation buttons are no-ops, there is no validation, and the trade object is built before the user edits it</w:t>
            </w:r>
          </w:p>
        </w:tc>
      </w:tr>
      <w:tr>
        <w:trPr>
          <w:cantSplit/>
        </w:trPr>
        <w:tc>
          <w:tcPr>
            <w:tcW w:type="dxa" w:w="23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Reference data</w:t>
            </w:r>
          </w:p>
        </w:tc>
        <w:tc>
          <w:tcPr>
            <w:tcW w:type="dxa" w:w="392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Sample counterparties, trading books, holidays and SOFR fixings (JSON/CSV); </w:t>
            </w:r>
            <w:r>
              <w:rPr>
                <w:rFonts w:ascii="Consolas" w:cs="Consolas" w:eastAsia="Consolas" w:hAnsi="Consolas"/>
                <w:sz w:val="16"/>
                <w:szCs w:val="16"/>
                <w:shd w:fill="EEF1F5" w:color="auto" w:val="clear"/>
              </w:rPr>
              <w:t xml:space="preserve">Counterparty</w:t>
            </w:r>
            <w:r>
              <w:rPr>
                <w:sz w:val="18"/>
                <w:szCs w:val="18"/>
              </w:rPr>
              <w:t xml:space="preserve">, </w:t>
            </w:r>
            <w:r>
              <w:rPr>
                <w:rFonts w:ascii="Consolas" w:cs="Consolas" w:eastAsia="Consolas" w:hAnsi="Consolas"/>
                <w:sz w:val="16"/>
                <w:szCs w:val="16"/>
                <w:shd w:fill="EEF1F5" w:color="auto" w:val="clear"/>
              </w:rPr>
              <w:t xml:space="preserve">TradingBook</w:t>
            </w:r>
            <w:r>
              <w:rPr>
                <w:sz w:val="18"/>
                <w:szCs w:val="18"/>
              </w:rPr>
              <w:t xml:space="preserve">, </w:t>
            </w:r>
            <w:r>
              <w:rPr>
                <w:rFonts w:ascii="Consolas" w:cs="Consolas" w:eastAsia="Consolas" w:hAnsi="Consolas"/>
                <w:sz w:val="16"/>
                <w:szCs w:val="16"/>
                <w:shd w:fill="EEF1F5" w:color="auto" w:val="clear"/>
              </w:rPr>
              <w:t xml:space="preserve">CounterpartyRole</w:t>
            </w:r>
          </w:p>
        </w:tc>
        <w:tc>
          <w:tcPr>
            <w:tcW w:type="dxa" w:w="337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 Good seed for a reference-data module</w:t>
            </w:r>
          </w:p>
        </w:tc>
      </w:tr>
      <w:tr>
        <w:trPr>
          <w:cantSplit/>
        </w:trPr>
        <w:tc>
          <w:tcPr>
            <w:tcW w:type="dxa" w:w="233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Scenario / risk</w:t>
            </w:r>
          </w:p>
        </w:tc>
        <w:tc>
          <w:tcPr>
            <w:tcW w:type="dxa" w:w="392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ScenarioOperator</w:t>
            </w:r>
            <w:r>
              <w:rPr>
                <w:sz w:val="18"/>
                <w:szCs w:val="18"/>
              </w:rPr>
              <w:t xml:space="preserve"> / </w:t>
            </w:r>
            <w:r>
              <w:rPr>
                <w:rFonts w:ascii="Consolas" w:cs="Consolas" w:eastAsia="Consolas" w:hAnsi="Consolas"/>
                <w:sz w:val="16"/>
                <w:szCs w:val="16"/>
                <w:shd w:fill="EEF1F5" w:color="auto" w:val="clear"/>
              </w:rPr>
              <w:t xml:space="preserve">ScenarioOperation</w:t>
            </w:r>
            <w:r>
              <w:rPr>
                <w:sz w:val="18"/>
                <w:szCs w:val="18"/>
              </w:rPr>
              <w:t xml:space="preserve"> interfaces (shift logic commented out)</w:t>
            </w:r>
          </w:p>
        </w:tc>
        <w:tc>
          <w:tcPr>
            <w:tcW w:type="dxa" w:w="337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 Placeholder</w:t>
            </w:r>
          </w:p>
        </w:tc>
      </w:tr>
      <w:tr>
        <w:trPr>
          <w:cantSplit/>
        </w:trPr>
        <w:tc>
          <w:tcPr>
            <w:tcW w:type="dxa" w:w="23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Persistence, APIs, auth, audit, tests, CI, deployment</w:t>
            </w:r>
          </w:p>
        </w:tc>
        <w:tc>
          <w:tcPr>
            <w:tcW w:type="dxa" w:w="392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None</w:t>
            </w:r>
          </w:p>
        </w:tc>
        <w:tc>
          <w:tcPr>
            <w:tcW w:type="dxa" w:w="337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 Not started</w:t>
            </w:r>
          </w:p>
        </w:tc>
      </w:tr>
    </w:tbl>
    <w:p>
      <w:pPr>
        <w:spacing w:after="120"/>
      </w:pPr>
    </w:p>
    <w:p>
      <w:pPr>
        <w:pStyle w:val="Heading2"/>
      </w:pPr>
      <w:r>
        <w:t xml:space="preserve">2.3 Specific technical debt found</w:t>
      </w:r>
    </w:p>
    <w:p>
      <w:pPr>
        <w:spacing w:after="120"/>
      </w:pPr>
      <w:r>
        <w:t xml:space="preserve">These are the concrete items Stage 0 must clear:</w:t>
      </w:r>
    </w:p>
    <w:p>
      <w:pPr>
        <w:pStyle w:val="ListParagraph"/>
        <w:numPr>
          <w:ilvl w:val="0"/>
          <w:numId w:val="3"/>
        </w:numPr>
        <w:spacing w:after="60"/>
      </w:pPr>
      <w:r>
        <w:rPr>
          <w:b/>
          <w:bCs/>
        </w:rPr>
        <w:t xml:space="preserve">Compilation blockers.</w:t>
      </w:r>
    </w:p>
    <w:p>
      <w:pPr>
        <w:pStyle w:val="ListParagraph"/>
        <w:numPr>
          <w:ilvl w:val="1"/>
          <w:numId w:val="4"/>
        </w:numPr>
        <w:spacing w:after="60"/>
      </w:pPr>
      <w:r>
        <w:rPr>
          <w:rFonts w:ascii="Consolas" w:cs="Consolas" w:eastAsia="Consolas" w:hAnsi="Consolas"/>
          <w:sz w:val="18"/>
          <w:szCs w:val="18"/>
          <w:shd w:fill="EEF1F5" w:color="auto" w:val="clear"/>
        </w:rPr>
        <w:t xml:space="preserve">OvernightIndexSwap.java</w:t>
      </w:r>
      <w:r>
        <w:t xml:space="preserve"> has unbalanced braces and references undeclared </w:t>
      </w:r>
      <w:r>
        <w:rPr>
          <w:rFonts w:ascii="Consolas" w:cs="Consolas" w:eastAsia="Consolas" w:hAnsi="Consolas"/>
          <w:sz w:val="18"/>
          <w:szCs w:val="18"/>
          <w:shd w:fill="EEF1F5" w:color="auto" w:val="clear"/>
        </w:rPr>
        <w:t xml:space="preserve">context</w:t>
      </w:r>
      <w:r>
        <w:t xml:space="preserve">, </w:t>
      </w:r>
      <w:r>
        <w:rPr>
          <w:rFonts w:ascii="Consolas" w:cs="Consolas" w:eastAsia="Consolas" w:hAnsi="Consolas"/>
          <w:sz w:val="18"/>
          <w:szCs w:val="18"/>
          <w:shd w:fill="EEF1F5" w:color="auto" w:val="clear"/>
        </w:rPr>
        <w:t xml:space="preserve">CashFlows</w:t>
      </w:r>
      <w:r>
        <w:t xml:space="preserve">, </w:t>
      </w:r>
      <w:r>
        <w:rPr>
          <w:rFonts w:ascii="Consolas" w:cs="Consolas" w:eastAsia="Consolas" w:hAnsi="Consolas"/>
          <w:sz w:val="18"/>
          <w:szCs w:val="18"/>
          <w:shd w:fill="EEF1F5" w:color="auto" w:val="clear"/>
        </w:rPr>
        <w:t xml:space="preserve">discountingSource</w:t>
      </w:r>
      <w:r>
        <w:t xml:space="preserve"> and </w:t>
      </w:r>
      <w:r>
        <w:rPr>
          <w:rFonts w:ascii="Consolas" w:cs="Consolas" w:eastAsia="Consolas" w:hAnsi="Consolas"/>
          <w:sz w:val="18"/>
          <w:szCs w:val="18"/>
          <w:shd w:fill="EEF1F5" w:color="auto" w:val="clear"/>
        </w:rPr>
        <w:t xml:space="preserve">includeCapitalPayment</w:t>
      </w:r>
      <w:r>
        <w:t xml:space="preserve">.</w:t>
      </w:r>
    </w:p>
    <w:p>
      <w:pPr>
        <w:pStyle w:val="ListParagraph"/>
        <w:numPr>
          <w:ilvl w:val="1"/>
          <w:numId w:val="4"/>
        </w:numPr>
        <w:spacing w:after="60"/>
      </w:pPr>
      <w:r>
        <w:rPr>
          <w:rFonts w:ascii="Consolas" w:cs="Consolas" w:eastAsia="Consolas" w:hAnsi="Consolas"/>
          <w:sz w:val="18"/>
          <w:szCs w:val="18"/>
          <w:shd w:fill="EEF1F5" w:color="auto" w:val="clear"/>
        </w:rPr>
        <w:t xml:space="preserve">InterestRateCurve</w:t>
      </w:r>
      <w:r>
        <w:t xml:space="preserve"> references the missing types </w:t>
      </w:r>
      <w:r>
        <w:rPr>
          <w:rFonts w:ascii="Consolas" w:cs="Consolas" w:eastAsia="Consolas" w:hAnsi="Consolas"/>
          <w:sz w:val="18"/>
          <w:szCs w:val="18"/>
          <w:shd w:fill="EEF1F5" w:color="auto" w:val="clear"/>
        </w:rPr>
        <w:t xml:space="preserve">Compounding</w:t>
      </w:r>
      <w:r>
        <w:t xml:space="preserve"> and </w:t>
      </w:r>
      <w:r>
        <w:rPr>
          <w:rFonts w:ascii="Consolas" w:cs="Consolas" w:eastAsia="Consolas" w:hAnsi="Consolas"/>
          <w:sz w:val="18"/>
          <w:szCs w:val="18"/>
          <w:shd w:fill="EEF1F5" w:color="auto" w:val="clear"/>
        </w:rPr>
        <w:t xml:space="preserve">Entity</w:t>
      </w:r>
      <w:r>
        <w:t xml:space="preserve">.</w:t>
      </w:r>
    </w:p>
    <w:p>
      <w:pPr>
        <w:pStyle w:val="ListParagraph"/>
        <w:numPr>
          <w:ilvl w:val="1"/>
          <w:numId w:val="4"/>
        </w:numPr>
        <w:spacing w:after="60"/>
      </w:pPr>
      <w:r>
        <w:rPr>
          <w:rFonts w:ascii="Consolas" w:cs="Consolas" w:eastAsia="Consolas" w:hAnsi="Consolas"/>
          <w:sz w:val="18"/>
          <w:szCs w:val="18"/>
          <w:shd w:fill="EEF1F5" w:color="auto" w:val="clear"/>
        </w:rPr>
        <w:t xml:space="preserve">CashFlow.discount(..)</w:t>
      </w:r>
      <w:r>
        <w:t xml:space="preserve"> references the missing types </w:t>
      </w:r>
      <w:r>
        <w:rPr>
          <w:rFonts w:ascii="Consolas" w:cs="Consolas" w:eastAsia="Consolas" w:hAnsi="Consolas"/>
          <w:sz w:val="18"/>
          <w:szCs w:val="18"/>
          <w:shd w:fill="EEF1F5" w:color="auto" w:val="clear"/>
        </w:rPr>
        <w:t xml:space="preserve">InterestRateSource</w:t>
      </w:r>
      <w:r>
        <w:t xml:space="preserve"> and </w:t>
      </w:r>
      <w:r>
        <w:rPr>
          <w:rFonts w:ascii="Consolas" w:cs="Consolas" w:eastAsia="Consolas" w:hAnsi="Consolas"/>
          <w:sz w:val="18"/>
          <w:szCs w:val="18"/>
          <w:shd w:fill="EEF1F5" w:color="auto" w:val="clear"/>
        </w:rPr>
        <w:t xml:space="preserve">InterestRate</w:t>
      </w:r>
      <w:r>
        <w:t xml:space="preserve">.</w:t>
      </w:r>
    </w:p>
    <w:p>
      <w:pPr>
        <w:pStyle w:val="ListParagraph"/>
        <w:numPr>
          <w:ilvl w:val="1"/>
          <w:numId w:val="4"/>
        </w:numPr>
        <w:spacing w:after="60"/>
      </w:pPr>
      <w:r>
        <w:rPr>
          <w:rFonts w:ascii="Consolas" w:cs="Consolas" w:eastAsia="Consolas" w:hAnsi="Consolas"/>
          <w:sz w:val="18"/>
          <w:szCs w:val="18"/>
          <w:shd w:fill="EEF1F5" w:color="auto" w:val="clear"/>
        </w:rPr>
        <w:t xml:space="preserve">ReferenceTimePeriod</w:t>
      </w:r>
      <w:r>
        <w:t xml:space="preserve"> has a recursive constructor and extends a missing Hibernate-style </w:t>
      </w:r>
      <w:r>
        <w:rPr>
          <w:rFonts w:ascii="Consolas" w:cs="Consolas" w:eastAsia="Consolas" w:hAnsi="Consolas"/>
          <w:sz w:val="18"/>
          <w:szCs w:val="18"/>
          <w:shd w:fill="EEF1F5" w:color="auto" w:val="clear"/>
        </w:rPr>
        <w:t xml:space="preserve">ImmutableVarCharUserType</w:t>
      </w:r>
      <w:r>
        <w:t xml:space="preserve">.</w:t>
      </w:r>
    </w:p>
    <w:p>
      <w:pPr>
        <w:pStyle w:val="ListParagraph"/>
        <w:numPr>
          <w:ilvl w:val="1"/>
          <w:numId w:val="4"/>
        </w:numPr>
        <w:spacing w:after="60"/>
      </w:pPr>
      <w:r>
        <w:rPr>
          <w:rFonts w:ascii="Consolas" w:cs="Consolas" w:eastAsia="Consolas" w:hAnsi="Consolas"/>
          <w:sz w:val="18"/>
          <w:szCs w:val="18"/>
          <w:shd w:fill="EEF1F5" w:color="auto" w:val="clear"/>
        </w:rPr>
        <w:t xml:space="preserve">FixedLeg</w:t>
      </w:r>
      <w:r>
        <w:t xml:space="preserve"> and </w:t>
      </w:r>
      <w:r>
        <w:rPr>
          <w:rFonts w:ascii="Consolas" w:cs="Consolas" w:eastAsia="Consolas" w:hAnsi="Consolas"/>
          <w:sz w:val="18"/>
          <w:szCs w:val="18"/>
          <w:shd w:fill="EEF1F5" w:color="auto" w:val="clear"/>
        </w:rPr>
        <w:t xml:space="preserve">HistoricalFloatingLeg</w:t>
      </w:r>
      <w:r>
        <w:t xml:space="preserve"> call </w:t>
      </w:r>
      <w:r>
        <w:rPr>
          <w:rFonts w:ascii="Consolas" w:cs="Consolas" w:eastAsia="Consolas" w:hAnsi="Consolas"/>
          <w:sz w:val="18"/>
          <w:szCs w:val="18"/>
          <w:shd w:fill="EEF1F5" w:color="auto" w:val="clear"/>
        </w:rPr>
        <w:t xml:space="preserve">yearFraction(..)</w:t>
      </w:r>
      <w:r>
        <w:t xml:space="preserve">, but </w:t>
      </w:r>
      <w:r>
        <w:rPr>
          <w:rFonts w:ascii="Consolas" w:cs="Consolas" w:eastAsia="Consolas" w:hAnsi="Consolas"/>
          <w:sz w:val="18"/>
          <w:szCs w:val="18"/>
          <w:shd w:fill="EEF1F5" w:color="auto" w:val="clear"/>
        </w:rPr>
        <w:t xml:space="preserve">DayCountConvention</w:t>
      </w:r>
      <w:r>
        <w:t xml:space="preserve"> defines </w:t>
      </w:r>
      <w:r>
        <w:rPr>
          <w:rFonts w:ascii="Consolas" w:cs="Consolas" w:eastAsia="Consolas" w:hAnsi="Consolas"/>
          <w:sz w:val="18"/>
          <w:szCs w:val="18"/>
          <w:shd w:fill="EEF1F5" w:color="auto" w:val="clear"/>
        </w:rPr>
        <w:t xml:space="preserve">calculateDayCountFraction(..)</w:t>
      </w:r>
      <w:r>
        <w:t xml:space="preserve">.</w:t>
      </w:r>
    </w:p>
    <w:p>
      <w:pPr>
        <w:pStyle w:val="ListParagraph"/>
        <w:numPr>
          <w:ilvl w:val="0"/>
          <w:numId w:val="3"/>
        </w:numPr>
        <w:spacing w:after="60"/>
      </w:pPr>
      <w:r>
        <w:rPr>
          <w:b/>
          <w:bCs/>
        </w:rPr>
        <w:t xml:space="preserve">Layering inversion.</w:t>
      </w:r>
      <w:r>
        <w:t xml:space="preserve"> The pricing layer depends on the UI: </w:t>
      </w:r>
      <w:r>
        <w:rPr>
          <w:rFonts w:ascii="Consolas" w:cs="Consolas" w:eastAsia="Consolas" w:hAnsi="Consolas"/>
          <w:sz w:val="18"/>
          <w:szCs w:val="18"/>
          <w:shd w:fill="EEF1F5" w:color="auto" w:val="clear"/>
        </w:rPr>
        <w:t xml:space="preserve">com.ats.pricing.tools.ContingentDateInterval</w:t>
      </w:r>
      <w:r>
        <w:t xml:space="preserve"> imports </w:t>
      </w:r>
      <w:r>
        <w:rPr>
          <w:rFonts w:ascii="Consolas" w:cs="Consolas" w:eastAsia="Consolas" w:hAnsi="Consolas"/>
          <w:sz w:val="18"/>
          <w:szCs w:val="18"/>
          <w:shd w:fill="EEF1F5" w:color="auto" w:val="clear"/>
        </w:rPr>
        <w:t xml:space="preserve">ats.display.TradeFormFactory</w:t>
      </w:r>
      <w:r>
        <w:t xml:space="preserve">. The quant library must never depend on the presentation layer.</w:t>
      </w:r>
    </w:p>
    <w:p>
      <w:pPr>
        <w:pStyle w:val="ListParagraph"/>
        <w:numPr>
          <w:ilvl w:val="0"/>
          <w:numId w:val="3"/>
        </w:numPr>
        <w:spacing w:after="60"/>
      </w:pPr>
      <w:r>
        <w:rPr>
          <w:b/>
          <w:bCs/>
        </w:rPr>
        <w:t xml:space="preserve">Duplicated code.</w:t>
      </w:r>
    </w:p>
    <w:p>
      <w:pPr>
        <w:pStyle w:val="ListParagraph"/>
        <w:numPr>
          <w:ilvl w:val="1"/>
          <w:numId w:val="4"/>
        </w:numPr>
        <w:spacing w:after="60"/>
      </w:pPr>
      <w:r>
        <w:t xml:space="preserve">Two </w:t>
      </w:r>
      <w:r>
        <w:rPr>
          <w:rFonts w:ascii="Consolas" w:cs="Consolas" w:eastAsia="Consolas" w:hAnsi="Consolas"/>
          <w:sz w:val="18"/>
          <w:szCs w:val="18"/>
          <w:shd w:fill="EEF1F5" w:color="auto" w:val="clear"/>
        </w:rPr>
        <w:t xml:space="preserve">TradeFormFactory</w:t>
      </w:r>
      <w:r>
        <w:t xml:space="preserve"> classes (one empty)</w:t>
      </w:r>
    </w:p>
    <w:p>
      <w:pPr>
        <w:pStyle w:val="ListParagraph"/>
        <w:numPr>
          <w:ilvl w:val="1"/>
          <w:numId w:val="4"/>
        </w:numPr>
        <w:spacing w:after="60"/>
      </w:pPr>
      <w:r>
        <w:t xml:space="preserve">Two </w:t>
      </w:r>
      <w:r>
        <w:rPr>
          <w:rFonts w:ascii="Consolas" w:cs="Consolas" w:eastAsia="Consolas" w:hAnsi="Consolas"/>
          <w:sz w:val="18"/>
          <w:szCs w:val="18"/>
          <w:shd w:fill="EEF1F5" w:color="auto" w:val="clear"/>
        </w:rPr>
        <w:t xml:space="preserve">BusinessDayCalendar</w:t>
      </w:r>
      <w:r>
        <w:t xml:space="preserve"> classes</w:t>
      </w:r>
    </w:p>
    <w:p>
      <w:pPr>
        <w:pStyle w:val="ListParagraph"/>
        <w:numPr>
          <w:ilvl w:val="1"/>
          <w:numId w:val="4"/>
        </w:numPr>
        <w:spacing w:after="60"/>
      </w:pPr>
      <w:r>
        <w:t xml:space="preserve">Two </w:t>
      </w:r>
      <w:r>
        <w:rPr>
          <w:rFonts w:ascii="Consolas" w:cs="Consolas" w:eastAsia="Consolas" w:hAnsi="Consolas"/>
          <w:sz w:val="18"/>
          <w:szCs w:val="18"/>
          <w:shd w:fill="EEF1F5" w:color="auto" w:val="clear"/>
        </w:rPr>
        <w:t xml:space="preserve">DayCountConventionType</w:t>
      </w:r>
      <w:r>
        <w:t xml:space="preserve"> enums</w:t>
      </w:r>
    </w:p>
    <w:p>
      <w:pPr>
        <w:pStyle w:val="ListParagraph"/>
        <w:numPr>
          <w:ilvl w:val="1"/>
          <w:numId w:val="4"/>
        </w:numPr>
        <w:spacing w:after="60"/>
      </w:pPr>
      <w:r>
        <w:rPr>
          <w:rFonts w:ascii="Consolas" w:cs="Consolas" w:eastAsia="Consolas" w:hAnsi="Consolas"/>
          <w:sz w:val="18"/>
          <w:szCs w:val="18"/>
          <w:shd w:fill="EEF1F5" w:color="auto" w:val="clear"/>
        </w:rPr>
        <w:t xml:space="preserve">TitleBar</w:t>
      </w:r>
      <w:r>
        <w:t xml:space="preserve">/</w:t>
      </w:r>
      <w:r>
        <w:rPr>
          <w:rFonts w:ascii="Consolas" w:cs="Consolas" w:eastAsia="Consolas" w:hAnsi="Consolas"/>
          <w:sz w:val="18"/>
          <w:szCs w:val="18"/>
          <w:shd w:fill="EEF1F5" w:color="auto" w:val="clear"/>
        </w:rPr>
        <w:t xml:space="preserve">UIHeader</w:t>
      </w:r>
      <w:r>
        <w:t xml:space="preserve"> and </w:t>
      </w:r>
      <w:r>
        <w:rPr>
          <w:rFonts w:ascii="Consolas" w:cs="Consolas" w:eastAsia="Consolas" w:hAnsi="Consolas"/>
          <w:sz w:val="18"/>
          <w:szCs w:val="18"/>
          <w:shd w:fill="EEF1F5" w:color="auto" w:val="clear"/>
        </w:rPr>
        <w:t xml:space="preserve">BottomTabManager</w:t>
      </w:r>
      <w:r>
        <w:t xml:space="preserve">/</w:t>
      </w:r>
      <w:r>
        <w:rPr>
          <w:rFonts w:ascii="Consolas" w:cs="Consolas" w:eastAsia="Consolas" w:hAnsi="Consolas"/>
          <w:sz w:val="18"/>
          <w:szCs w:val="18"/>
          <w:shd w:fill="EEF1F5" w:color="auto" w:val="clear"/>
        </w:rPr>
        <w:t xml:space="preserve">UITabManager</w:t>
      </w:r>
    </w:p>
    <w:p>
      <w:pPr>
        <w:pStyle w:val="ListParagraph"/>
        <w:numPr>
          <w:ilvl w:val="1"/>
          <w:numId w:val="4"/>
        </w:numPr>
        <w:spacing w:after="60"/>
      </w:pPr>
      <w:r>
        <w:t xml:space="preserve">Two copies of the logo</w:t>
      </w:r>
    </w:p>
    <w:p>
      <w:pPr>
        <w:pStyle w:val="ListParagraph"/>
        <w:numPr>
          <w:ilvl w:val="0"/>
          <w:numId w:val="3"/>
        </w:numPr>
        <w:spacing w:after="60"/>
      </w:pPr>
      <w:r>
        <w:rPr>
          <w:b/>
          <w:bCs/>
        </w:rPr>
        <w:t xml:space="preserve">Data file defects.</w:t>
      </w:r>
    </w:p>
    <w:p>
      <w:pPr>
        <w:pStyle w:val="ListParagraph"/>
        <w:numPr>
          <w:ilvl w:val="1"/>
          <w:numId w:val="4"/>
        </w:numPr>
        <w:spacing w:after="60"/>
      </w:pPr>
      <w:r>
        <w:rPr>
          <w:rFonts w:ascii="Consolas" w:cs="Consolas" w:eastAsia="Consolas" w:hAnsi="Consolas"/>
          <w:sz w:val="18"/>
          <w:szCs w:val="18"/>
          <w:shd w:fill="EEF1F5" w:color="auto" w:val="clear"/>
        </w:rPr>
        <w:t xml:space="preserve">holidays.csv</w:t>
      </w:r>
      <w:r>
        <w:t xml:space="preserve"> uses </w:t>
      </w:r>
      <w:r>
        <w:rPr>
          <w:rFonts w:ascii="Consolas" w:cs="Consolas" w:eastAsia="Consolas" w:hAnsi="Consolas"/>
          <w:sz w:val="18"/>
          <w:szCs w:val="18"/>
          <w:shd w:fill="EEF1F5" w:color="auto" w:val="clear"/>
        </w:rPr>
        <w:t xml:space="preserve">dd/MM/yyyy</w:t>
      </w:r>
      <w:r>
        <w:t xml:space="preserve">, but the loader parses ISO dates.</w:t>
      </w:r>
    </w:p>
    <w:p>
      <w:pPr>
        <w:pStyle w:val="ListParagraph"/>
        <w:numPr>
          <w:ilvl w:val="1"/>
          <w:numId w:val="4"/>
        </w:numPr>
        <w:spacing w:after="60"/>
      </w:pPr>
      <w:r>
        <w:rPr>
          <w:rFonts w:ascii="Consolas" w:cs="Consolas" w:eastAsia="Consolas" w:hAnsi="Consolas"/>
          <w:sz w:val="18"/>
          <w:szCs w:val="18"/>
          <w:shd w:fill="EEF1F5" w:color="auto" w:val="clear"/>
        </w:rPr>
        <w:t xml:space="preserve">sofr_fixings.csv</w:t>
      </w:r>
      <w:r>
        <w:t xml:space="preserve"> has each whole line quoted, so parsing fails.</w:t>
      </w:r>
    </w:p>
    <w:p>
      <w:pPr>
        <w:pStyle w:val="ListParagraph"/>
        <w:numPr>
          <w:ilvl w:val="1"/>
          <w:numId w:val="4"/>
        </w:numPr>
        <w:spacing w:after="60"/>
      </w:pPr>
      <w:r>
        <w:rPr>
          <w:rFonts w:ascii="Consolas" w:cs="Consolas" w:eastAsia="Consolas" w:hAnsi="Consolas"/>
          <w:sz w:val="18"/>
          <w:szCs w:val="18"/>
          <w:shd w:fill="EEF1F5" w:color="auto" w:val="clear"/>
        </w:rPr>
        <w:t xml:space="preserve">OISValuationRunner</w:t>
      </w:r>
      <w:r>
        <w:t xml:space="preserve"> expects a </w:t>
      </w:r>
      <w:r>
        <w:rPr>
          <w:rFonts w:ascii="Consolas" w:cs="Consolas" w:eastAsia="Consolas" w:hAnsi="Consolas"/>
          <w:sz w:val="18"/>
          <w:szCs w:val="18"/>
          <w:shd w:fill="EEF1F5" w:color="auto" w:val="clear"/>
        </w:rPr>
        <w:t xml:space="preserve">discount_curve.csv</w:t>
      </w:r>
      <w:r>
        <w:t xml:space="preserve"> that doesn't exist.</w:t>
      </w:r>
    </w:p>
    <w:p>
      <w:pPr>
        <w:pStyle w:val="ListParagraph"/>
        <w:numPr>
          <w:ilvl w:val="1"/>
          <w:numId w:val="4"/>
        </w:numPr>
        <w:spacing w:after="60"/>
      </w:pPr>
      <w:r>
        <w:t xml:space="preserve">Resources are loaded by relative file path, so they only work from one working directory.</w:t>
      </w:r>
    </w:p>
    <w:p>
      <w:pPr>
        <w:pStyle w:val="ListParagraph"/>
        <w:numPr>
          <w:ilvl w:val="0"/>
          <w:numId w:val="3"/>
        </w:numPr>
        <w:spacing w:after="60"/>
      </w:pPr>
      <w:r>
        <w:rPr>
          <w:b/>
          <w:bCs/>
        </w:rPr>
        <w:t xml:space="preserve">Hard-coded identity.</w:t>
      </w:r>
      <w:r>
        <w:t xml:space="preserve"> "Logged in as: trader_user", and the trader defaults to "Champion".</w:t>
      </w:r>
    </w:p>
    <w:p>
      <w:pPr>
        <w:pStyle w:val="ListParagraph"/>
        <w:numPr>
          <w:ilvl w:val="0"/>
          <w:numId w:val="3"/>
        </w:numPr>
        <w:spacing w:after="60"/>
      </w:pPr>
      <w:r>
        <w:rPr>
          <w:b/>
          <w:bCs/>
        </w:rPr>
        <w:t xml:space="preserve">Free-text trade fields.</w:t>
      </w:r>
      <w:r>
        <w:t xml:space="preserve"> Tenors, day counts, indices and dates are typed as free text in </w:t>
      </w:r>
      <w:r>
        <w:rPr>
          <w:rFonts w:ascii="Consolas" w:cs="Consolas" w:eastAsia="Consolas" w:hAnsi="Consolas"/>
          <w:sz w:val="18"/>
          <w:szCs w:val="18"/>
          <w:shd w:fill="EEF1F5" w:color="auto" w:val="clear"/>
        </w:rPr>
        <w:t xml:space="preserve">TextField</w:t>
      </w:r>
      <w:r>
        <w:t xml:space="preserve">s, with no typed domain model behind them.</w:t>
      </w:r>
    </w:p>
    <w:p>
      <w:pPr>
        <w:pStyle w:val="ListParagraph"/>
        <w:numPr>
          <w:ilvl w:val="0"/>
          <w:numId w:val="3"/>
        </w:numPr>
        <w:spacing w:after="60"/>
      </w:pPr>
      <w:r>
        <w:rPr>
          <w:b/>
          <w:bCs/>
        </w:rPr>
        <w:t xml:space="preserve">No tests.</w:t>
      </w:r>
      <w:r>
        <w:t xml:space="preserve"> The day-count, calendar and interpolation code has no tests, even though it is ideal for golden tests.</w:t>
      </w:r>
    </w:p>
    <w:p>
      <w:pPr>
        <w:pStyle w:val="Heading2"/>
      </w:pPr>
      <w:r>
        <w:t xml:space="preserve">2.4 Strengths to preserve</w:t>
      </w:r>
    </w:p>
    <w:p>
      <w:pPr>
        <w:pStyle w:val="ListParagraph"/>
        <w:numPr>
          <w:ilvl w:val="0"/>
          <w:numId w:val="4"/>
        </w:numPr>
        <w:spacing w:after="60"/>
      </w:pPr>
      <w:r>
        <w:rPr>
          <w:b/>
          <w:bCs/>
        </w:rPr>
        <w:t xml:space="preserve">Domain instinct is right.</w:t>
      </w:r>
      <w:r>
        <w:t xml:space="preserve"> Cashflow/payment/leg modelling, business centres, tenor parsing, curve abstractions with scenario hooks, and trade header fields (book, counterparty, CSA, funding status, risk definition) match how professional systems are structured.</w:t>
      </w:r>
    </w:p>
    <w:p>
      <w:pPr>
        <w:pStyle w:val="ListParagraph"/>
        <w:numPr>
          <w:ilvl w:val="0"/>
          <w:numId w:val="4"/>
        </w:numPr>
        <w:spacing w:after="60"/>
      </w:pPr>
      <w:r>
        <w:rPr>
          <w:b/>
          <w:bCs/>
        </w:rPr>
        <w:t xml:space="preserve">Local-market orientation.</w:t>
      </w:r>
      <w:r>
        <w:t xml:space="preserve"> ZAR, the Johannesburg business centre and local counterparties are already there. This is the plan's stated differentiator against Western-centric vendors.</w:t>
      </w:r>
    </w:p>
    <w:p>
      <w:pPr>
        <w:pStyle w:val="ListParagraph"/>
        <w:numPr>
          <w:ilvl w:val="0"/>
          <w:numId w:val="4"/>
        </w:numPr>
        <w:spacing w:after="60"/>
      </w:pPr>
      <w:r>
        <w:rPr>
          <w:b/>
          <w:bCs/>
        </w:rPr>
        <w:t xml:space="preserve">Java 21 core.</w:t>
      </w:r>
      <w:r>
        <w:t xml:space="preserve"> This matches the plan's "Java/.NET core" choice and has a deep hiring pool.</w:t>
      </w:r>
    </w:p>
    <w:p>
      <w:r>
        <w:br w:type="page"/>
      </w:r>
    </w:p>
    <w:p>
      <w:pPr>
        <w:pStyle w:val="Heading1"/>
      </w:pPr>
      <w:r>
        <w:t xml:space="preserve">3. Target architecture</w:t>
      </w:r>
    </w:p>
    <w:p>
      <w:pPr>
        <w:pStyle w:val="Heading2"/>
      </w:pPr>
      <w:r>
        <w:t xml:space="preserve">3.1 Architecture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059"/>
        <w:gridCol w:w="5579"/>
      </w:tblGrid>
      <w:tr>
        <w:trPr>
          <w:cantSplit/>
          <w:tblHeader/>
        </w:trPr>
        <w:tc>
          <w:tcPr>
            <w:tcW w:type="dxa" w:w="1000"/>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w:t>
            </w:r>
          </w:p>
        </w:tc>
        <w:tc>
          <w:tcPr>
            <w:tcW w:type="dxa" w:w="305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Principle</w:t>
            </w:r>
          </w:p>
        </w:tc>
        <w:tc>
          <w:tcPr>
            <w:tcW w:type="dxa" w:w="557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Why it matters for Nex</w:t>
            </w:r>
          </w:p>
        </w:tc>
      </w:tr>
      <w:tr>
        <w:trPr>
          <w:cantSplit/>
        </w:trPr>
        <w:tc>
          <w:tcPr>
            <w:tcW w:type="dxa" w:w="10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P1</w:t>
            </w:r>
          </w:p>
        </w:tc>
        <w:tc>
          <w:tcPr>
            <w:tcW w:type="dxa" w:w="30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Modular monolith first, microservices when proven necessary</w:t>
            </w:r>
          </w:p>
        </w:tc>
        <w:tc>
          <w:tcPr>
            <w:tcW w:type="dxa" w:w="55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 5–8 person team cannot run 10+ microservices well. Strict module boundaries give most of the benefit. Extract services (pricing/risk grid first) only when scaling or team size requires it. This still fulfils the plan's "microservices-ready" claim</w:t>
            </w:r>
          </w:p>
        </w:tc>
      </w:tr>
      <w:tr>
        <w:trPr>
          <w:cantSplit/>
        </w:trPr>
        <w:tc>
          <w:tcPr>
            <w:tcW w:type="dxa" w:w="10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P2</w:t>
            </w:r>
          </w:p>
        </w:tc>
        <w:tc>
          <w:tcPr>
            <w:tcW w:type="dxa" w:w="30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The quant library is pure Java and framework-free</w:t>
            </w:r>
          </w:p>
        </w:tc>
        <w:tc>
          <w:tcPr>
            <w:tcW w:type="dxa" w:w="55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w:t>
            </w:r>
            <w:r>
              <w:rPr>
                <w:sz w:val="18"/>
                <w:szCs w:val="18"/>
              </w:rPr>
              <w:t xml:space="preserve"> is the core IP. It must be testable in isolation, reusable in batch, API and grid contexts, and never import UI or persistence code</w:t>
            </w:r>
          </w:p>
        </w:tc>
      </w:tr>
      <w:tr>
        <w:trPr>
          <w:cantSplit/>
        </w:trPr>
        <w:tc>
          <w:tcPr>
            <w:tcW w:type="dxa" w:w="10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P3</w:t>
            </w:r>
          </w:p>
        </w:tc>
        <w:tc>
          <w:tcPr>
            <w:tcW w:type="dxa" w:w="30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Trades are immutable, versioned events</w:t>
            </w:r>
          </w:p>
        </w:tc>
        <w:tc>
          <w:tcPr>
            <w:tcW w:type="dxa" w:w="55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Amendments create new versions and every change is an event. This makes the audit trail, maker-checker and "as-of" reporting natural rather than bolted on (compliance by design)</w:t>
            </w:r>
          </w:p>
        </w:tc>
      </w:tr>
      <w:tr>
        <w:trPr>
          <w:cantSplit/>
        </w:trPr>
        <w:tc>
          <w:tcPr>
            <w:tcW w:type="dxa" w:w="10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P4</w:t>
            </w:r>
          </w:p>
        </w:tc>
        <w:tc>
          <w:tcPr>
            <w:tcW w:type="dxa" w:w="30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Products are configuration</w:t>
            </w:r>
          </w:p>
        </w:tc>
        <w:tc>
          <w:tcPr>
            <w:tcW w:type="dxa" w:w="55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Product definitions (fields, validation, defaults, pricer binding) are metadata (JSON Schema), so new instruments need little UI code. This is what the plan promises clients</w:t>
            </w:r>
          </w:p>
        </w:tc>
      </w:tr>
      <w:tr>
        <w:trPr>
          <w:cantSplit/>
        </w:trPr>
        <w:tc>
          <w:tcPr>
            <w:tcW w:type="dxa" w:w="10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P5</w:t>
            </w:r>
          </w:p>
        </w:tc>
        <w:tc>
          <w:tcPr>
            <w:tcW w:type="dxa" w:w="30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Tenant-aware from day one</w:t>
            </w:r>
          </w:p>
        </w:tc>
        <w:tc>
          <w:tcPr>
            <w:tcW w:type="dxa" w:w="55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Every table, event and cache key carries </w:t>
            </w:r>
            <w:r>
              <w:rPr>
                <w:rFonts w:ascii="Consolas" w:cs="Consolas" w:eastAsia="Consolas" w:hAnsi="Consolas"/>
                <w:sz w:val="16"/>
                <w:szCs w:val="16"/>
                <w:shd w:fill="EEF1F5" w:color="auto" w:val="clear"/>
              </w:rPr>
              <w:t xml:space="preserve">tenant_id</w:t>
            </w:r>
            <w:r>
              <w:rPr>
                <w:sz w:val="18"/>
                <w:szCs w:val="18"/>
              </w:rPr>
              <w:t xml:space="preserve">, even when a pilot runs single-tenant</w:t>
            </w:r>
          </w:p>
        </w:tc>
      </w:tr>
      <w:tr>
        <w:trPr>
          <w:cantSplit/>
        </w:trPr>
        <w:tc>
          <w:tcPr>
            <w:tcW w:type="dxa" w:w="10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P6</w:t>
            </w:r>
          </w:p>
        </w:tc>
        <w:tc>
          <w:tcPr>
            <w:tcW w:type="dxa" w:w="30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API-first</w:t>
            </w:r>
          </w:p>
        </w:tc>
        <w:tc>
          <w:tcPr>
            <w:tcW w:type="dxa" w:w="55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The web UI uses the same public, versioned REST/stream APIs that clients and RPA bots will use (plan: open APIs, RPA-ready)</w:t>
            </w:r>
          </w:p>
        </w:tc>
      </w:tr>
      <w:tr>
        <w:trPr>
          <w:cantSplit/>
        </w:trPr>
        <w:tc>
          <w:tcPr>
            <w:tcW w:type="dxa" w:w="10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P7</w:t>
            </w:r>
          </w:p>
        </w:tc>
        <w:tc>
          <w:tcPr>
            <w:tcW w:type="dxa" w:w="30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Secure and observable by default</w:t>
            </w:r>
          </w:p>
        </w:tc>
        <w:tc>
          <w:tcPr>
            <w:tcW w:type="dxa" w:w="55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OIDC/MFA, encryption, structured logs, metrics and traces are part of the skeleton, not a later phase</w:t>
            </w:r>
          </w:p>
        </w:tc>
      </w:tr>
      <w:tr>
        <w:trPr>
          <w:cantSplit/>
        </w:trPr>
        <w:tc>
          <w:tcPr>
            <w:tcW w:type="dxa" w:w="10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P8</w:t>
            </w:r>
          </w:p>
        </w:tc>
        <w:tc>
          <w:tcPr>
            <w:tcW w:type="dxa" w:w="30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Local compliance as a feature</w:t>
            </w:r>
          </w:p>
        </w:tc>
        <w:tc>
          <w:tcPr>
            <w:tcW w:type="dxa" w:w="55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South African calendars and indices (ZARONIA, JIBAR fallback), JSE bond conventions, POPIA and Prudential Authority/FSCA IT and cyber standards are first-class, not bolt-ons</w:t>
            </w:r>
          </w:p>
        </w:tc>
      </w:tr>
    </w:tbl>
    <w:p>
      <w:pPr>
        <w:spacing w:after="120"/>
      </w:pPr>
    </w:p>
    <w:p>
      <w:pPr>
        <w:pStyle w:val="Heading2"/>
      </w:pPr>
      <w:r>
        <w:t xml:space="preserve">3.2 Logical architecture</w:t>
      </w:r>
    </w:p>
    <w:p>
      <w:pPr>
        <w:spacing w:after="60" w:before="120"/>
        <w:jc w:val="center"/>
      </w:pPr>
      <w:r>
        <w:drawing>
          <wp:inline distT="0" distB="0" distL="0" distR="0">
            <wp:extent cx="59055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19525"/>
                    </a:xfrm>
                    <a:prstGeom prst="rect">
                      <a:avLst/>
                    </a:prstGeom>
                  </pic:spPr>
                </pic:pic>
              </a:graphicData>
            </a:graphic>
          </wp:inline>
        </w:drawing>
      </w:r>
    </w:p>
    <w:p>
      <w:pPr>
        <w:spacing w:after="200"/>
        <w:jc w:val="center"/>
      </w:pPr>
      <w:r>
        <w:rPr>
          <w:i/>
          <w:iCs/>
          <w:color w:val="5A6B80"/>
          <w:sz w:val="18"/>
          <w:szCs w:val="18"/>
        </w:rPr>
        <w:t xml:space="preserve">Figure 1 — Nex logical architecture</w:t>
      </w:r>
    </w:p>
    <w:p>
      <w:pPr>
        <w:pStyle w:val="Heading2"/>
      </w:pPr>
      <w:r>
        <w:t xml:space="preserve">3.3 Module responsibilities (bounded contexts)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6"/>
        <w:gridCol w:w="4436"/>
        <w:gridCol w:w="3069"/>
        <w:gridCol w:w="1087"/>
      </w:tblGrid>
      <w:tr>
        <w:trPr>
          <w:cantSplit/>
          <w:tblHeader/>
        </w:trPr>
        <w:tc>
          <w:tcPr>
            <w:tcW w:type="dxa" w:w="104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Module</w:t>
            </w:r>
          </w:p>
        </w:tc>
        <w:tc>
          <w:tcPr>
            <w:tcW w:type="dxa" w:w="443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Owns</w:t>
            </w:r>
          </w:p>
        </w:tc>
        <w:tc>
          <w:tcPr>
            <w:tcW w:type="dxa" w:w="306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Key APIs / events</w:t>
            </w:r>
          </w:p>
        </w:tc>
        <w:tc>
          <w:tcPr>
            <w:tcW w:type="dxa" w:w="1087"/>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Stage</w:t>
            </w:r>
          </w:p>
        </w:tc>
      </w:tr>
      <w:tr>
        <w:trPr>
          <w:cantSplit/>
        </w:trPr>
        <w:tc>
          <w:tcPr>
            <w:tcW w:type="dxa" w:w="104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identity</w:t>
            </w:r>
          </w:p>
        </w:tc>
        <w:tc>
          <w:tcPr>
            <w:tcW w:type="dxa" w:w="443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Users, roles, permissions, tenant membership (delegates authentication to Keycloak)</w:t>
            </w:r>
          </w:p>
        </w:tc>
        <w:tc>
          <w:tcPr>
            <w:tcW w:type="dxa" w:w="306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GET /me</w:t>
            </w:r>
            <w:r>
              <w:rPr>
                <w:sz w:val="18"/>
                <w:szCs w:val="18"/>
              </w:rPr>
              <w:t xml:space="preserve">, role checks</w:t>
            </w:r>
          </w:p>
        </w:tc>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refdata</w:t>
            </w:r>
          </w:p>
        </w:tc>
        <w:tc>
          <w:tcPr>
            <w:tcW w:type="dxa" w:w="443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Counterparties, legal entities, books/portfolios, currencies, business centres and holiday calendars, rate indices (ZARONIA, SOFR, JIBAR), product definitions</w:t>
            </w:r>
          </w:p>
        </w:tc>
        <w:tc>
          <w:tcPr>
            <w:tcW w:type="dxa" w:w="306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CRUD + </w:t>
            </w:r>
            <w:r>
              <w:rPr>
                <w:rFonts w:ascii="Consolas" w:cs="Consolas" w:eastAsia="Consolas" w:hAnsi="Consolas"/>
                <w:sz w:val="16"/>
                <w:szCs w:val="16"/>
                <w:shd w:fill="EEF1F5" w:color="auto" w:val="clear"/>
              </w:rPr>
              <w:t xml:space="preserve">RefDataChanged</w:t>
            </w:r>
          </w:p>
        </w:tc>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trade</w:t>
            </w:r>
          </w:p>
        </w:tc>
        <w:tc>
          <w:tcPr>
            <w:tcW w:type="dxa" w:w="443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Trade header and product economics, versions, lifecycle state machine, maker-checker workflow</w:t>
            </w:r>
          </w:p>
        </w:tc>
        <w:tc>
          <w:tcPr>
            <w:tcW w:type="dxa" w:w="306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POST /trades</w:t>
            </w:r>
            <w:r>
              <w:rPr>
                <w:sz w:val="18"/>
                <w:szCs w:val="18"/>
              </w:rPr>
              <w:t xml:space="preserve">, </w:t>
            </w:r>
            <w:r>
              <w:rPr>
                <w:rFonts w:ascii="Consolas" w:cs="Consolas" w:eastAsia="Consolas" w:hAnsi="Consolas"/>
                <w:sz w:val="16"/>
                <w:szCs w:val="16"/>
                <w:shd w:fill="EEF1F5" w:color="auto" w:val="clear"/>
              </w:rPr>
              <w:t xml:space="preserve">/amend</w:t>
            </w:r>
            <w:r>
              <w:rPr>
                <w:sz w:val="18"/>
                <w:szCs w:val="18"/>
              </w:rPr>
              <w:t xml:space="preserve">, </w:t>
            </w:r>
            <w:r>
              <w:rPr>
                <w:rFonts w:ascii="Consolas" w:cs="Consolas" w:eastAsia="Consolas" w:hAnsi="Consolas"/>
                <w:sz w:val="16"/>
                <w:szCs w:val="16"/>
                <w:shd w:fill="EEF1F5" w:color="auto" w:val="clear"/>
              </w:rPr>
              <w:t xml:space="preserve">/cancel</w:t>
            </w:r>
            <w:r>
              <w:rPr>
                <w:sz w:val="18"/>
                <w:szCs w:val="18"/>
              </w:rPr>
              <w:t xml:space="preserve">, </w:t>
            </w:r>
            <w:r>
              <w:rPr>
                <w:rFonts w:ascii="Consolas" w:cs="Consolas" w:eastAsia="Consolas" w:hAnsi="Consolas"/>
                <w:sz w:val="16"/>
                <w:szCs w:val="16"/>
                <w:shd w:fill="EEF1F5" w:color="auto" w:val="clear"/>
              </w:rPr>
              <w:t xml:space="preserve">/approve</w:t>
            </w:r>
            <w:r>
              <w:rPr>
                <w:sz w:val="18"/>
                <w:szCs w:val="18"/>
              </w:rPr>
              <w:t xml:space="preserve">; </w:t>
            </w:r>
            <w:r>
              <w:rPr>
                <w:rFonts w:ascii="Consolas" w:cs="Consolas" w:eastAsia="Consolas" w:hAnsi="Consolas"/>
                <w:sz w:val="16"/>
                <w:szCs w:val="16"/>
                <w:shd w:fill="EEF1F5" w:color="auto" w:val="clear"/>
              </w:rPr>
              <w:t xml:space="preserve">TradeBooked</w:t>
            </w:r>
            <w:r>
              <w:rPr>
                <w:sz w:val="18"/>
                <w:szCs w:val="18"/>
              </w:rPr>
              <w:t xml:space="preserve">, </w:t>
            </w:r>
            <w:r>
              <w:rPr>
                <w:rFonts w:ascii="Consolas" w:cs="Consolas" w:eastAsia="Consolas" w:hAnsi="Consolas"/>
                <w:sz w:val="16"/>
                <w:szCs w:val="16"/>
                <w:shd w:fill="EEF1F5" w:color="auto" w:val="clear"/>
              </w:rPr>
              <w:t xml:space="preserve">TradeAmended</w:t>
            </w:r>
            <w:r>
              <w:rPr>
                <w:sz w:val="18"/>
                <w:szCs w:val="18"/>
              </w:rPr>
              <w:t xml:space="preserve">, </w:t>
            </w:r>
            <w:r>
              <w:rPr>
                <w:rFonts w:ascii="Consolas" w:cs="Consolas" w:eastAsia="Consolas" w:hAnsi="Consolas"/>
                <w:sz w:val="16"/>
                <w:szCs w:val="16"/>
                <w:shd w:fill="EEF1F5" w:color="auto" w:val="clear"/>
              </w:rPr>
              <w:t xml:space="preserve">TradeCancelled</w:t>
            </w:r>
          </w:p>
        </w:tc>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marketdata</w:t>
            </w:r>
          </w:p>
        </w:tc>
        <w:tc>
          <w:tcPr>
            <w:tcW w:type="dxa" w:w="443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Curve quotes, fixings, FX rates and bond prices by business date; upload, validation, snapshot/freeze</w:t>
            </w:r>
          </w:p>
        </w:tc>
        <w:tc>
          <w:tcPr>
            <w:tcW w:type="dxa" w:w="306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POST /marketdata/upload</w:t>
            </w:r>
            <w:r>
              <w:rPr>
                <w:sz w:val="18"/>
                <w:szCs w:val="18"/>
              </w:rPr>
              <w:t xml:space="preserve">, </w:t>
            </w:r>
            <w:r>
              <w:rPr>
                <w:rFonts w:ascii="Consolas" w:cs="Consolas" w:eastAsia="Consolas" w:hAnsi="Consolas"/>
                <w:sz w:val="16"/>
                <w:szCs w:val="16"/>
                <w:shd w:fill="EEF1F5" w:color="auto" w:val="clear"/>
              </w:rPr>
              <w:t xml:space="preserve">MarketDataSnapshotSealed</w:t>
            </w:r>
          </w:p>
        </w:tc>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valuation</w:t>
            </w:r>
          </w:p>
        </w:tc>
        <w:tc>
          <w:tcPr>
            <w:tcW w:type="dxa" w:w="443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Builds pricing context (curves, fixings) from snapshots, invokes </w:t>
            </w:r>
            <w:r>
              <w:rPr>
                <w:rFonts w:ascii="Consolas" w:cs="Consolas" w:eastAsia="Consolas" w:hAnsi="Consolas"/>
                <w:sz w:val="16"/>
                <w:szCs w:val="16"/>
                <w:shd w:fill="EEF1F5" w:color="auto" w:val="clear"/>
              </w:rPr>
              <w:t xml:space="preserve">nex-quant</w:t>
            </w:r>
            <w:r>
              <w:rPr>
                <w:sz w:val="18"/>
                <w:szCs w:val="18"/>
              </w:rPr>
              <w:t xml:space="preserve">, stores PV, cashflows and sensitivities</w:t>
            </w:r>
          </w:p>
        </w:tc>
        <w:tc>
          <w:tcPr>
            <w:tcW w:type="dxa" w:w="306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POST /valuations/run</w:t>
            </w:r>
            <w:r>
              <w:rPr>
                <w:sz w:val="18"/>
                <w:szCs w:val="18"/>
              </w:rPr>
              <w:t xml:space="preserve">, </w:t>
            </w:r>
            <w:r>
              <w:rPr>
                <w:rFonts w:ascii="Consolas" w:cs="Consolas" w:eastAsia="Consolas" w:hAnsi="Consolas"/>
                <w:sz w:val="16"/>
                <w:szCs w:val="16"/>
                <w:shd w:fill="EEF1F5" w:color="auto" w:val="clear"/>
              </w:rPr>
              <w:t xml:space="preserve">ValuationCompleted</w:t>
            </w:r>
          </w:p>
        </w:tc>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position</w:t>
            </w:r>
          </w:p>
        </w:tc>
        <w:tc>
          <w:tcPr>
            <w:tcW w:type="dxa" w:w="443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Positions by book/instrument/currency, daily P&amp;L (MTM, realised/unrealised), P&amp;L explain (basic)</w:t>
            </w:r>
          </w:p>
        </w:tc>
        <w:tc>
          <w:tcPr>
            <w:tcW w:type="dxa" w:w="306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GET /positions</w:t>
            </w:r>
            <w:r>
              <w:rPr>
                <w:sz w:val="18"/>
                <w:szCs w:val="18"/>
              </w:rPr>
              <w:t xml:space="preserve">, </w:t>
            </w:r>
            <w:r>
              <w:rPr>
                <w:rFonts w:ascii="Consolas" w:cs="Consolas" w:eastAsia="Consolas" w:hAnsi="Consolas"/>
                <w:sz w:val="16"/>
                <w:szCs w:val="16"/>
                <w:shd w:fill="EEF1F5" w:color="auto" w:val="clear"/>
              </w:rPr>
              <w:t xml:space="preserve">/pnl</w:t>
            </w:r>
          </w:p>
        </w:tc>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confirmation</w:t>
            </w:r>
          </w:p>
        </w:tc>
        <w:tc>
          <w:tcPr>
            <w:tcW w:type="dxa" w:w="443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Confirmation templates, generation (PDF/e-mail), status tracking</w:t>
            </w:r>
          </w:p>
        </w:tc>
        <w:tc>
          <w:tcPr>
            <w:tcW w:type="dxa" w:w="306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ConfirmationSent</w:t>
            </w:r>
          </w:p>
        </w:tc>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 (e-mail/PDF); SWIFT in Beta</w:t>
            </w:r>
          </w:p>
        </w:tc>
      </w:tr>
      <w:tr>
        <w:trPr>
          <w:cantSplit/>
        </w:trPr>
        <w:tc>
          <w:tcPr>
            <w:tcW w:type="dxa" w:w="104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reporting</w:t>
            </w:r>
          </w:p>
        </w:tc>
        <w:tc>
          <w:tcPr>
            <w:tcW w:type="dxa" w:w="443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Blotter, positions, P&amp;L, cashflow and audit reports; CSV/XLSX/PDF export; scheduled reports</w:t>
            </w:r>
          </w:p>
        </w:tc>
        <w:tc>
          <w:tcPr>
            <w:tcW w:type="dxa" w:w="306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GET /reports/{id}</w:t>
            </w:r>
          </w:p>
        </w:tc>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audit</w:t>
            </w:r>
          </w:p>
        </w:tc>
        <w:tc>
          <w:tcPr>
            <w:tcW w:type="dxa" w:w="443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Append-only, hash-chained log of every command and data change, with who/when/what/before/after</w:t>
            </w:r>
          </w:p>
        </w:tc>
        <w:tc>
          <w:tcPr>
            <w:tcW w:type="dxa" w:w="306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Consumes all events</w:t>
            </w:r>
          </w:p>
        </w:tc>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eod</w:t>
            </w:r>
          </w:p>
        </w:tc>
        <w:tc>
          <w:tcPr>
            <w:tcW w:type="dxa" w:w="443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Business-date roll, market-data freeze, revaluation, P&amp;L snapshot, report generation</w:t>
            </w:r>
          </w:p>
        </w:tc>
        <w:tc>
          <w:tcPr>
            <w:tcW w:type="dxa" w:w="306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Scheduler</w:t>
            </w:r>
          </w:p>
        </w:tc>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104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limits</w:t>
            </w:r>
          </w:p>
        </w:tc>
        <w:tc>
          <w:tcPr>
            <w:tcW w:type="dxa" w:w="443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Counterparty credit and concentration limits, pre-trade check, breach workflow</w:t>
            </w:r>
          </w:p>
        </w:tc>
        <w:tc>
          <w:tcPr>
            <w:tcW w:type="dxa" w:w="306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LimitBreached</w:t>
            </w:r>
          </w:p>
        </w:tc>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Beta</w:t>
            </w:r>
          </w:p>
        </w:tc>
      </w:tr>
      <w:tr>
        <w:trPr>
          <w:cantSplit/>
        </w:trPr>
        <w:tc>
          <w:tcPr>
            <w:tcW w:type="dxa" w:w="104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risk</w:t>
            </w:r>
            <w:r>
              <w:rPr>
                <w:sz w:val="18"/>
                <w:szCs w:val="18"/>
              </w:rPr>
              <w:t xml:space="preserve"> (Python)</w:t>
            </w:r>
          </w:p>
        </w:tc>
        <w:tc>
          <w:tcPr>
            <w:tcW w:type="dxa" w:w="443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DV01/Greeks aggregation, historical VaR, stress and scenarios (uses the </w:t>
            </w:r>
            <w:r>
              <w:rPr>
                <w:rFonts w:ascii="Consolas" w:cs="Consolas" w:eastAsia="Consolas" w:hAnsi="Consolas"/>
                <w:sz w:val="16"/>
                <w:szCs w:val="16"/>
                <w:shd w:fill="EEF1F5" w:color="auto" w:val="clear"/>
              </w:rPr>
              <w:t xml:space="preserve">ScenarioOperator</w:t>
            </w:r>
            <w:r>
              <w:rPr>
                <w:sz w:val="18"/>
                <w:szCs w:val="18"/>
              </w:rPr>
              <w:t xml:space="preserve"> concept)</w:t>
            </w:r>
          </w:p>
        </w:tc>
        <w:tc>
          <w:tcPr>
            <w:tcW w:type="dxa" w:w="306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Batch + on demand</w:t>
            </w:r>
          </w:p>
        </w:tc>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Beta</w:t>
            </w:r>
          </w:p>
        </w:tc>
      </w:tr>
      <w:tr>
        <w:trPr>
          <w:cantSplit/>
        </w:trPr>
        <w:tc>
          <w:tcPr>
            <w:tcW w:type="dxa" w:w="104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integration</w:t>
            </w:r>
          </w:p>
        </w:tc>
        <w:tc>
          <w:tcPr>
            <w:tcW w:type="dxa" w:w="443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FIX (QuickFIX/J), SWIFT MT/MX via a partner, vendor feeds, core-banking exports</w:t>
            </w:r>
          </w:p>
        </w:tc>
        <w:tc>
          <w:tcPr>
            <w:tcW w:type="dxa" w:w="306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Adapters</w:t>
            </w:r>
          </w:p>
        </w:tc>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Beta/GA</w:t>
            </w:r>
          </w:p>
        </w:tc>
      </w:tr>
      <w:tr>
        <w:trPr>
          <w:cantSplit/>
        </w:trPr>
        <w:tc>
          <w:tcPr>
            <w:tcW w:type="dxa" w:w="104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ai / rpa</w:t>
            </w:r>
          </w:p>
        </w:tc>
        <w:tc>
          <w:tcPr>
            <w:tcW w:type="dxa" w:w="443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Anomaly detection, ML insights, RPA hooks</w:t>
            </w:r>
          </w:p>
        </w:tc>
        <w:tc>
          <w:tcPr>
            <w:tcW w:type="dxa" w:w="306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Add-on</w:t>
            </w:r>
          </w:p>
        </w:tc>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GA</w:t>
            </w:r>
          </w:p>
        </w:tc>
      </w:tr>
    </w:tbl>
    <w:p>
      <w:pPr>
        <w:spacing w:after="120"/>
      </w:pPr>
    </w:p>
    <w:p>
      <w:pPr>
        <w:spacing w:after="120"/>
      </w:pPr>
      <w:r>
        <w:t xml:space="preserve">Boundaries are enforced in code with </w:t>
      </w:r>
      <w:r>
        <w:rPr>
          <w:b/>
          <w:bCs/>
        </w:rPr>
        <w:t xml:space="preserve">Spring Modulith</w:t>
      </w:r>
      <w:r>
        <w:t xml:space="preserve"> or </w:t>
      </w:r>
      <w:r>
        <w:rPr>
          <w:b/>
          <w:bCs/>
        </w:rPr>
        <w:t xml:space="preserve">ArchUnit</w:t>
      </w:r>
      <w:r>
        <w:t xml:space="preserve"> tests: modules talk only through published interfaces and events, never through each other's tables.</w:t>
      </w:r>
    </w:p>
    <w:p>
      <w:pPr>
        <w:pStyle w:val="Heading2"/>
      </w:pPr>
      <w:r>
        <w:t xml:space="preserve">3.4 Technology decisions (recommended)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7"/>
        <w:gridCol w:w="4302"/>
        <w:gridCol w:w="4249"/>
      </w:tblGrid>
      <w:tr>
        <w:trPr>
          <w:cantSplit/>
          <w:tblHeader/>
        </w:trPr>
        <w:tc>
          <w:tcPr>
            <w:tcW w:type="dxa" w:w="1087"/>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Concern</w:t>
            </w:r>
          </w:p>
        </w:tc>
        <w:tc>
          <w:tcPr>
            <w:tcW w:type="dxa" w:w="4302"/>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Recommendation</w:t>
            </w:r>
          </w:p>
        </w:tc>
        <w:tc>
          <w:tcPr>
            <w:tcW w:type="dxa" w:w="424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Rationale / alternatives</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Core language</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Java 21 (LTS)</w:t>
            </w:r>
            <w:r>
              <w:rPr>
                <w:sz w:val="18"/>
                <w:szCs w:val="18"/>
              </w:rPr>
              <w:t xml:space="preserve">, moving to Java 25 LTS at GA</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Existing code; plan says Java/.NET; large talent pool</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Build</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Gradle (Kotlin DSL) multi-module</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Reproducible builds and dependency locking. Maven is equally fine; pick one in Stage 0</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Application framework</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Spring Boot 3.x + Spring Modulith</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Mature, easy to hire for; Modulith enforces module boundaries and supports the event outbox. Quarkus is a valid alternative</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Quant library</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b/>
                <w:bCs/>
                <w:sz w:val="16"/>
                <w:szCs w:val="16"/>
                <w:shd w:fill="EEF1F5" w:color="auto" w:val="clear"/>
              </w:rPr>
              <w:t xml:space="preserve">nex-quant</w:t>
            </w:r>
            <w:r>
              <w:rPr>
                <w:sz w:val="18"/>
                <w:szCs w:val="18"/>
              </w:rPr>
              <w:t xml:space="preserve"> (own code, cleaned up) behind a </w:t>
            </w:r>
            <w:r>
              <w:rPr>
                <w:rFonts w:ascii="Consolas" w:cs="Consolas" w:eastAsia="Consolas" w:hAnsi="Consolas"/>
                <w:sz w:val="16"/>
                <w:szCs w:val="16"/>
                <w:shd w:fill="EEF1F5" w:color="auto" w:val="clear"/>
              </w:rPr>
              <w:t xml:space="preserve">PricingEngine</w:t>
            </w:r>
            <w:r>
              <w:rPr>
                <w:sz w:val="18"/>
                <w:szCs w:val="18"/>
              </w:rPr>
              <w:t xml:space="preserve"> interface. </w:t>
            </w:r>
            <w:r>
              <w:rPr>
                <w:b/>
                <w:bCs/>
                <w:sz w:val="18"/>
                <w:szCs w:val="18"/>
              </w:rPr>
              <w:t xml:space="preserve">Evaluate OpenGamma Strata (Apache-2.0)</w:t>
            </w:r>
            <w:r>
              <w:rPr>
                <w:sz w:val="18"/>
                <w:szCs w:val="18"/>
              </w:rPr>
              <w:t xml:space="preserve"> as the calibration/pricing backend for rates and FX</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Strata already implements OIS/IRS/FX/bond pricing and curve calibration. Using it behind our interface could cut MVP pricing effort by months while we keep the domain model, SA conventions and product configuration as our IP. Validate everything against QuantLib</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Database</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PostgreSQL 16+</w:t>
            </w:r>
            <w:r>
              <w:rPr>
                <w:sz w:val="18"/>
                <w:szCs w:val="18"/>
              </w:rPr>
              <w:t xml:space="preserve"> (managed). JSONB for product economics, validated by JSON Schema</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ACID for trades (plan requirement), strong JSON support, cheap</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Market-data history</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PostgreSQL (MVP) → TimescaleDB or a column store (Beta)</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Avoid a second datastore until volume needs it</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Messaging</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Transactional outbox in PostgreSQL</w:t>
            </w:r>
            <w:r>
              <w:rPr>
                <w:sz w:val="18"/>
                <w:szCs w:val="18"/>
              </w:rPr>
              <w:t xml:space="preserve"> (MVP) → </w:t>
            </w:r>
            <w:r>
              <w:rPr>
                <w:b/>
                <w:bCs/>
                <w:sz w:val="18"/>
                <w:szCs w:val="18"/>
              </w:rPr>
              <w:t xml:space="preserve">Kafka/Redpanda</w:t>
            </w:r>
            <w:r>
              <w:rPr>
                <w:sz w:val="18"/>
                <w:szCs w:val="18"/>
              </w:rPr>
              <w:t xml:space="preserve"> (Beta, when analytics and multi-tenant scale arrive)</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Guarantees no lost or duplicated trade events without operating Kafka on day one</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Front-end</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React + TypeScript</w:t>
            </w:r>
            <w:r>
              <w:rPr>
                <w:sz w:val="18"/>
                <w:szCs w:val="18"/>
              </w:rPr>
              <w:t xml:space="preserve">, </w:t>
            </w:r>
            <w:r>
              <w:rPr>
                <w:b/>
                <w:bCs/>
                <w:sz w:val="18"/>
                <w:szCs w:val="18"/>
              </w:rPr>
              <w:t xml:space="preserve">AG Grid</w:t>
            </w:r>
            <w:r>
              <w:rPr>
                <w:sz w:val="18"/>
                <w:szCs w:val="18"/>
              </w:rPr>
              <w:t xml:space="preserve"> for blotters, a component library (e.g. MUI/Mantine), </w:t>
            </w:r>
            <w:r>
              <w:rPr>
                <w:b/>
                <w:bCs/>
                <w:sz w:val="18"/>
                <w:szCs w:val="18"/>
              </w:rPr>
              <w:t xml:space="preserve">Server-Sent Events/WebSocket</w:t>
            </w:r>
            <w:r>
              <w:rPr>
                <w:sz w:val="18"/>
                <w:szCs w:val="18"/>
              </w:rPr>
              <w:t xml:space="preserve"> push</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Plan specifies a web SPA with real-time push. Retire JavaFX (Decision D3)</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Forms</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JSON Schema-driven dynamic forms</w:t>
            </w:r>
            <w:r>
              <w:rPr>
                <w:sz w:val="18"/>
                <w:szCs w:val="18"/>
              </w:rPr>
              <w:t xml:space="preserve"> generated from product definitions</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Replaces hand-coded per-product JavaFX forms and delivers "new instrument without code"</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Identity</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Keycloak</w:t>
            </w:r>
            <w:r>
              <w:rPr>
                <w:sz w:val="18"/>
                <w:szCs w:val="18"/>
              </w:rPr>
              <w:t xml:space="preserve"> (OIDC/SAML, MFA, SSO to client AD/Entra ID)</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Open source, bank-friendly SSO; managed Entra ID/Cognito are alternatives</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Documents</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Apache POI (XLSX — already a dependency), OpenPDF/JasperReports (PDF)</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Reuse existing POI knowledge</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Analytics</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Python 3.12 + FastAPI</w:t>
            </w:r>
            <w:r>
              <w:rPr>
                <w:sz w:val="18"/>
                <w:szCs w:val="18"/>
              </w:rPr>
              <w:t xml:space="preserve">, NumPy/Pandas, scikit-learn</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Plan: Python for risk/ML; introduced in Beta</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Packaging and runtime</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Docker images; </w:t>
            </w:r>
            <w:r>
              <w:rPr>
                <w:b/>
                <w:bCs/>
                <w:sz w:val="18"/>
                <w:szCs w:val="18"/>
              </w:rPr>
              <w:t xml:space="preserve">Azure Container Apps / AWS ECS</w:t>
            </w:r>
            <w:r>
              <w:rPr>
                <w:sz w:val="18"/>
                <w:szCs w:val="18"/>
              </w:rPr>
              <w:t xml:space="preserve"> for pilot → </w:t>
            </w:r>
            <w:r>
              <w:rPr>
                <w:b/>
                <w:bCs/>
                <w:sz w:val="18"/>
                <w:szCs w:val="18"/>
              </w:rPr>
              <w:t xml:space="preserve">Kubernetes (AKS/EKS) + Helm</w:t>
            </w:r>
            <w:r>
              <w:rPr>
                <w:sz w:val="18"/>
                <w:szCs w:val="18"/>
              </w:rPr>
              <w:t xml:space="preserve"> from Beta</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Kubernetes has high operating cost for a small team; adopt it when multi-tenant SaaS needs it</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Cloud region</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In-country South African region</w:t>
            </w:r>
            <w:r>
              <w:rPr>
                <w:sz w:val="18"/>
                <w:szCs w:val="18"/>
              </w:rPr>
              <w:t xml:space="preserve"> (Azure South Africa North, Johannesburg / AWS af-south-1, Cape Town)</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Data residency and SA regulator expectations for material outsourcing and cloud; choose with the pilot bank (Decision D5)</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Infrastructure as code</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Terraform</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Cloud-agnostic, as the plan claims</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CI/CD</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GitHub Actions</w:t>
            </w:r>
            <w:r>
              <w:rPr>
                <w:sz w:val="18"/>
                <w:szCs w:val="18"/>
              </w:rPr>
              <w:t xml:space="preserve">: build, test, SAST (CodeQL/Semgrep), dependency and container scanning, SBOM, deploy to dev/UAT</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The repo is already on GitHub</w:t>
            </w:r>
          </w:p>
        </w:tc>
      </w:tr>
      <w:tr>
        <w:trPr>
          <w:cantSplit/>
        </w:trPr>
        <w:tc>
          <w:tcPr>
            <w:tcW w:type="dxa" w:w="108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Observability</w:t>
            </w:r>
          </w:p>
        </w:tc>
        <w:tc>
          <w:tcPr>
            <w:tcW w:type="dxa" w:w="43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OpenTelemetry</w:t>
            </w:r>
            <w:r>
              <w:rPr>
                <w:sz w:val="18"/>
                <w:szCs w:val="18"/>
              </w:rPr>
              <w:t xml:space="preserve"> → Grafana/Prometheus/Loki (or cloud-native equivalents)</w:t>
            </w:r>
          </w:p>
        </w:tc>
        <w:tc>
          <w:tcPr>
            <w:tcW w:type="dxa" w:w="42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Needed to back SLA and SOC 2 claims</w:t>
            </w:r>
          </w:p>
        </w:tc>
      </w:tr>
      <w:tr>
        <w:trPr>
          <w:cantSplit/>
        </w:trPr>
        <w:tc>
          <w:tcPr>
            <w:tcW w:type="dxa" w:w="108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Secrets &amp; keys</w:t>
            </w:r>
          </w:p>
        </w:tc>
        <w:tc>
          <w:tcPr>
            <w:tcW w:type="dxa" w:w="43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Cloud KMS / Key Vault, envelope encryption, no secrets in the repo</w:t>
            </w:r>
          </w:p>
        </w:tc>
        <w:tc>
          <w:tcPr>
            <w:tcW w:type="dxa" w:w="42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SOC 2 and POPIA</w:t>
            </w:r>
          </w:p>
        </w:tc>
      </w:tr>
    </w:tbl>
    <w:p>
      <w:pPr>
        <w:spacing w:after="120"/>
      </w:pPr>
    </w:p>
    <w:p>
      <w:pPr>
        <w:pStyle w:val="Heading2"/>
      </w:pPr>
      <w:r>
        <w:t xml:space="preserve">3.5 Data architecture essentials</w:t>
      </w:r>
    </w:p>
    <w:p>
      <w:pPr>
        <w:spacing w:after="120"/>
      </w:pPr>
      <w:r>
        <w:rPr>
          <w:b/>
          <w:bCs/>
        </w:rPr>
        <w:t xml:space="preserve">Trade model (bitemporal and versioned):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7C3D3" w:sz="4"/>
              <w:left w:val="single" w:color="1F3A5F" w:sz="18"/>
              <w:bottom w:val="single" w:color="B7C3D3" w:sz="4"/>
              <w:right w:val="single" w:color="B7C3D3" w:sz="4"/>
            </w:tcBorders>
            <w:shd w:fill="F4F6F9" w:color="auto" w:val="clear"/>
            <w:tcMar>
              <w:top w:type="dxa" w:w="100"/>
              <w:left w:type="dxa" w:w="160"/>
              <w:bottom w:type="dxa" w:w="100"/>
              <w:right w:type="dxa" w:w="120"/>
            </w:tcMar>
          </w:tcPr>
          <w:p>
            <w:pPr>
              <w:spacing w:after="0" w:before="0"/>
            </w:pPr>
            <w:r>
              <w:rPr>
                <w:rFonts w:ascii="Consolas" w:cs="Consolas" w:eastAsia="Consolas" w:hAnsi="Consolas"/>
                <w:sz w:val="16"/>
                <w:szCs w:val="16"/>
              </w:rPr>
              <w:t xml:space="preserve">trade            (tenant_id, trade_id, version, status, product_type, book_id, counterparty_id,</w:t>
            </w:r>
          </w:p>
          <w:p>
            <w:pPr>
              <w:spacing w:after="0" w:before="0"/>
            </w:pPr>
            <w:r>
              <w:rPr>
                <w:rFonts w:ascii="Consolas" w:cs="Consolas" w:eastAsia="Consolas" w:hAnsi="Consolas"/>
                <w:sz w:val="16"/>
                <w:szCs w:val="16"/>
              </w:rPr>
              <w:t xml:space="preserve">                  trade_date, trader_id, economics JSONB, valid_from, valid_to,</w:t>
            </w:r>
          </w:p>
          <w:p>
            <w:pPr>
              <w:spacing w:after="0" w:before="0"/>
            </w:pPr>
            <w:r>
              <w:rPr>
                <w:rFonts w:ascii="Consolas" w:cs="Consolas" w:eastAsia="Consolas" w:hAnsi="Consolas"/>
                <w:sz w:val="16"/>
                <w:szCs w:val="16"/>
              </w:rPr>
              <w:t xml:space="preserve">                  recorded_at, recorded_by, approved_by, supersedes_version)</w:t>
            </w:r>
          </w:p>
          <w:p>
            <w:pPr>
              <w:spacing w:after="0" w:before="0"/>
            </w:pPr>
            <w:r>
              <w:rPr>
                <w:rFonts w:ascii="Consolas" w:cs="Consolas" w:eastAsia="Consolas" w:hAnsi="Consolas"/>
                <w:sz w:val="16"/>
                <w:szCs w:val="16"/>
              </w:rPr>
              <w:t xml:space="preserve">trade_event      (append-only: event_id, tenant_id, trade_id, version, type, payload, actor, ts, prev_hash, hash)</w:t>
            </w:r>
          </w:p>
        </w:tc>
      </w:tr>
    </w:tbl>
    <w:p>
      <w:pPr>
        <w:spacing w:after="120"/>
      </w:pPr>
    </w:p>
    <w:p>
      <w:pPr>
        <w:pStyle w:val="ListParagraph"/>
        <w:numPr>
          <w:ilvl w:val="0"/>
          <w:numId w:val="4"/>
        </w:numPr>
        <w:spacing w:after="60"/>
      </w:pPr>
      <w:r>
        <w:rPr>
          <w:b/>
          <w:bCs/>
        </w:rPr>
        <w:t xml:space="preserve">Lifecycle:</w:t>
      </w:r>
      <w:r>
        <w:t xml:space="preserve"> </w:t>
      </w:r>
      <w:r>
        <w:rPr>
          <w:rFonts w:ascii="Consolas" w:cs="Consolas" w:eastAsia="Consolas" w:hAnsi="Consolas"/>
          <w:sz w:val="18"/>
          <w:szCs w:val="18"/>
          <w:shd w:fill="EEF1F5" w:color="auto" w:val="clear"/>
        </w:rPr>
        <w:t xml:space="preserve">DRAFT → PENDING_APPROVAL → VERIFIED → CONFIRMED → (MATURED | TERMINATED)</w:t>
      </w:r>
      <w:r>
        <w:t xml:space="preserve">. </w:t>
      </w:r>
      <w:r>
        <w:rPr>
          <w:rFonts w:ascii="Consolas" w:cs="Consolas" w:eastAsia="Consolas" w:hAnsi="Consolas"/>
          <w:sz w:val="18"/>
          <w:szCs w:val="18"/>
          <w:shd w:fill="EEF1F5" w:color="auto" w:val="clear"/>
        </w:rPr>
        <w:t xml:space="preserve">CANCELLED</w:t>
      </w:r>
      <w:r>
        <w:t xml:space="preserve"> is reachable before confirmation; an amendment creates </w:t>
      </w:r>
      <w:r>
        <w:rPr>
          <w:rFonts w:ascii="Consolas" w:cs="Consolas" w:eastAsia="Consolas" w:hAnsi="Consolas"/>
          <w:sz w:val="18"/>
          <w:szCs w:val="18"/>
          <w:shd w:fill="EEF1F5" w:color="auto" w:val="clear"/>
        </w:rPr>
        <w:t xml:space="preserve">version + 1</w:t>
      </w:r>
      <w:r>
        <w:t xml:space="preserve">. The maker-checker threshold is configured per book and product.</w:t>
      </w:r>
    </w:p>
    <w:p>
      <w:pPr>
        <w:pStyle w:val="ListParagraph"/>
        <w:numPr>
          <w:ilvl w:val="0"/>
          <w:numId w:val="4"/>
        </w:numPr>
        <w:spacing w:after="60"/>
      </w:pPr>
      <w:r>
        <w:rPr>
          <w:b/>
          <w:bCs/>
        </w:rPr>
        <w:t xml:space="preserve">Today's </w:t>
      </w:r>
      <w:r>
        <w:rPr>
          <w:rFonts w:ascii="Consolas" w:cs="Consolas" w:eastAsia="Consolas" w:hAnsi="Consolas"/>
          <w:b/>
          <w:bCs/>
          <w:sz w:val="18"/>
          <w:szCs w:val="18"/>
          <w:shd w:fill="EEF1F5" w:color="auto" w:val="clear"/>
        </w:rPr>
        <w:t xml:space="preserve">TransactionInfo</w:t>
      </w:r>
      <w:r>
        <w:t xml:space="preserve"> becomes the typed </w:t>
      </w:r>
      <w:r>
        <w:rPr>
          <w:rFonts w:ascii="Consolas" w:cs="Consolas" w:eastAsia="Consolas" w:hAnsi="Consolas"/>
          <w:sz w:val="18"/>
          <w:szCs w:val="18"/>
          <w:shd w:fill="EEF1F5" w:color="auto" w:val="clear"/>
        </w:rPr>
        <w:t xml:space="preserve">TradeHeader</w:t>
      </w:r>
      <w:r>
        <w:t xml:space="preserve">, with references (</w:t>
      </w:r>
      <w:r>
        <w:rPr>
          <w:rFonts w:ascii="Consolas" w:cs="Consolas" w:eastAsia="Consolas" w:hAnsi="Consolas"/>
          <w:sz w:val="18"/>
          <w:szCs w:val="18"/>
          <w:shd w:fill="EEF1F5" w:color="auto" w:val="clear"/>
        </w:rPr>
        <w:t xml:space="preserve">BookId</w:t>
      </w:r>
      <w:r>
        <w:t xml:space="preserve">, </w:t>
      </w:r>
      <w:r>
        <w:rPr>
          <w:rFonts w:ascii="Consolas" w:cs="Consolas" w:eastAsia="Consolas" w:hAnsi="Consolas"/>
          <w:sz w:val="18"/>
          <w:szCs w:val="18"/>
          <w:shd w:fill="EEF1F5" w:color="auto" w:val="clear"/>
        </w:rPr>
        <w:t xml:space="preserve">CounterpartyId</w:t>
      </w:r>
      <w:r>
        <w:t xml:space="preserve">, </w:t>
      </w:r>
      <w:r>
        <w:rPr>
          <w:rFonts w:ascii="Consolas" w:cs="Consolas" w:eastAsia="Consolas" w:hAnsi="Consolas"/>
          <w:sz w:val="18"/>
          <w:szCs w:val="18"/>
          <w:shd w:fill="EEF1F5" w:color="auto" w:val="clear"/>
        </w:rPr>
        <w:t xml:space="preserve">UserId</w:t>
      </w:r>
      <w:r>
        <w:t xml:space="preserve">) instead of free-text combo values.</w:t>
      </w:r>
    </w:p>
    <w:p>
      <w:pPr>
        <w:pStyle w:val="ListParagraph"/>
        <w:numPr>
          <w:ilvl w:val="0"/>
          <w:numId w:val="4"/>
        </w:numPr>
        <w:spacing w:after="60"/>
      </w:pPr>
      <w:r>
        <w:rPr>
          <w:b/>
          <w:bCs/>
        </w:rPr>
        <w:t xml:space="preserve">Market data:</w:t>
      </w:r>
      <w:r>
        <w:t xml:space="preserve"> </w:t>
      </w:r>
      <w:r>
        <w:rPr>
          <w:rFonts w:ascii="Consolas" w:cs="Consolas" w:eastAsia="Consolas" w:hAnsi="Consolas"/>
          <w:sz w:val="18"/>
          <w:szCs w:val="18"/>
          <w:shd w:fill="EEF1F5" w:color="auto" w:val="clear"/>
        </w:rPr>
        <w:t xml:space="preserve">(tenant_id, business_date, snapshot_id, data_type, key, value, source, status)</w:t>
      </w:r>
      <w:r>
        <w:t xml:space="preserve">. A snapshot is </w:t>
      </w:r>
      <w:r>
        <w:rPr>
          <w:b/>
          <w:bCs/>
        </w:rPr>
        <w:t xml:space="preserve">sealed</w:t>
      </w:r>
      <w:r>
        <w:t xml:space="preserve"> at EOD, and valuations always reference a sealed snapshot, so results are reproducible (an audit requirement).</w:t>
      </w:r>
    </w:p>
    <w:p>
      <w:pPr>
        <w:pStyle w:val="ListParagraph"/>
        <w:numPr>
          <w:ilvl w:val="0"/>
          <w:numId w:val="4"/>
        </w:numPr>
        <w:spacing w:after="60"/>
      </w:pPr>
      <w:r>
        <w:rPr>
          <w:b/>
          <w:bCs/>
        </w:rPr>
        <w:t xml:space="preserve">Results:</w:t>
      </w:r>
      <w:r>
        <w:t xml:space="preserve"> </w:t>
      </w:r>
      <w:r>
        <w:rPr>
          <w:rFonts w:ascii="Consolas" w:cs="Consolas" w:eastAsia="Consolas" w:hAnsi="Consolas"/>
          <w:sz w:val="18"/>
          <w:szCs w:val="18"/>
          <w:shd w:fill="EEF1F5" w:color="auto" w:val="clear"/>
        </w:rPr>
        <w:t xml:space="preserve">valuation_result (trade_id, trade_version, snapshot_id, measure, currency, value, run_id)</w:t>
      </w:r>
      <w:r>
        <w:t xml:space="preserve">. P&amp;L is derived from results and never overwritten.</w:t>
      </w:r>
    </w:p>
    <w:p>
      <w:pPr>
        <w:pStyle w:val="ListParagraph"/>
        <w:numPr>
          <w:ilvl w:val="0"/>
          <w:numId w:val="4"/>
        </w:numPr>
        <w:spacing w:after="60"/>
      </w:pPr>
      <w:r>
        <w:rPr>
          <w:b/>
          <w:bCs/>
        </w:rPr>
        <w:t xml:space="preserve">Audit:</w:t>
      </w:r>
      <w:r>
        <w:t xml:space="preserve"> every command (who, what, before/after, IP, reason), hash-chained for tamper evidence and retained per regulation. Exportable for auditors.</w:t>
      </w:r>
    </w:p>
    <w:p>
      <w:pPr>
        <w:pStyle w:val="Heading2"/>
      </w:pPr>
      <w:r>
        <w:t xml:space="preserve">3.6 Security, compliance and multi-tenancy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3523"/>
        <w:gridCol w:w="1881"/>
        <w:gridCol w:w="3154"/>
      </w:tblGrid>
      <w:tr>
        <w:trPr>
          <w:cantSplit/>
          <w:tblHeader/>
        </w:trPr>
        <w:tc>
          <w:tcPr>
            <w:tcW w:type="dxa" w:w="1080"/>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Topic</w:t>
            </w:r>
          </w:p>
        </w:tc>
        <w:tc>
          <w:tcPr>
            <w:tcW w:type="dxa" w:w="3523"/>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MVP</w:t>
            </w:r>
          </w:p>
        </w:tc>
        <w:tc>
          <w:tcPr>
            <w:tcW w:type="dxa" w:w="1881"/>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Beta</w:t>
            </w:r>
          </w:p>
        </w:tc>
        <w:tc>
          <w:tcPr>
            <w:tcW w:type="dxa" w:w="3154"/>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GA</w:t>
            </w:r>
          </w:p>
        </w:tc>
      </w:tr>
      <w:tr>
        <w:trPr>
          <w:cantSplit/>
        </w:trPr>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Authentication</w:t>
            </w:r>
          </w:p>
        </w:tc>
        <w:tc>
          <w:tcPr>
            <w:tcW w:type="dxa" w:w="352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Keycloak OIDC, MFA mandatory</w:t>
            </w:r>
          </w:p>
        </w:tc>
        <w:tc>
          <w:tcPr>
            <w:tcW w:type="dxa" w:w="188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SSO federation to client IdP</w:t>
            </w:r>
          </w:p>
        </w:tc>
        <w:tc>
          <w:tcPr>
            <w:tcW w:type="dxa" w:w="31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SAML/SCIM provisioning</w:t>
            </w:r>
          </w:p>
        </w:tc>
      </w:tr>
      <w:tr>
        <w:trPr>
          <w:cantSplit/>
        </w:trPr>
        <w:tc>
          <w:tcPr>
            <w:tcW w:type="dxa" w:w="108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Authorisation</w:t>
            </w:r>
          </w:p>
        </w:tc>
        <w:tc>
          <w:tcPr>
            <w:tcW w:type="dxa" w:w="352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RBAC (Trader, Middle Office, Risk, Ops, Admin, Auditor read-only); maker-checker</w:t>
            </w:r>
          </w:p>
        </w:tc>
        <w:tc>
          <w:tcPr>
            <w:tcW w:type="dxa" w:w="188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Book-level entitlements, four-eyes on static data</w:t>
            </w:r>
          </w:p>
        </w:tc>
        <w:tc>
          <w:tcPr>
            <w:tcW w:type="dxa" w:w="31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Attribute-based policies</w:t>
            </w:r>
          </w:p>
        </w:tc>
      </w:tr>
      <w:tr>
        <w:trPr>
          <w:cantSplit/>
        </w:trPr>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Tenancy</w:t>
            </w:r>
          </w:p>
        </w:tc>
        <w:tc>
          <w:tcPr>
            <w:tcW w:type="dxa" w:w="352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Dedicated deployment per pilot</w:t>
            </w:r>
            <w:r>
              <w:rPr>
                <w:sz w:val="18"/>
                <w:szCs w:val="18"/>
              </w:rPr>
              <w:t xml:space="preserve"> (simplest to approve with a bank), </w:t>
            </w:r>
            <w:r>
              <w:rPr>
                <w:rFonts w:ascii="Consolas" w:cs="Consolas" w:eastAsia="Consolas" w:hAnsi="Consolas"/>
                <w:sz w:val="16"/>
                <w:szCs w:val="16"/>
                <w:shd w:fill="EEF1F5" w:color="auto" w:val="clear"/>
              </w:rPr>
              <w:t xml:space="preserve">tenant_id</w:t>
            </w:r>
            <w:r>
              <w:rPr>
                <w:sz w:val="18"/>
                <w:szCs w:val="18"/>
              </w:rPr>
              <w:t xml:space="preserve"> everywhere</w:t>
            </w:r>
          </w:p>
        </w:tc>
        <w:tc>
          <w:tcPr>
            <w:tcW w:type="dxa" w:w="188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Pooled multi-tenant, schema-per-tenant</w:t>
            </w:r>
          </w:p>
        </w:tc>
        <w:tc>
          <w:tcPr>
            <w:tcW w:type="dxa" w:w="31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Tiered: pooled (Starter/Standard), dedicated/private cloud (Enterprise)</w:t>
            </w:r>
          </w:p>
        </w:tc>
      </w:tr>
      <w:tr>
        <w:trPr>
          <w:cantSplit/>
        </w:trPr>
        <w:tc>
          <w:tcPr>
            <w:tcW w:type="dxa" w:w="108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Data protection</w:t>
            </w:r>
          </w:p>
        </w:tc>
        <w:tc>
          <w:tcPr>
            <w:tcW w:type="dxa" w:w="352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TLS 1.2+, AES-256 at rest, KMS keys, POPIA data map</w:t>
            </w:r>
          </w:p>
        </w:tc>
        <w:tc>
          <w:tcPr>
            <w:tcW w:type="dxa" w:w="188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Per-tenant keys, data retention policies</w:t>
            </w:r>
          </w:p>
        </w:tc>
        <w:tc>
          <w:tcPr>
            <w:tcW w:type="dxa" w:w="31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Customer-managed keys (Enterprise), crypto-agility plan (the plan's "quantum resilience")</w:t>
            </w:r>
          </w:p>
        </w:tc>
      </w:tr>
      <w:tr>
        <w:trPr>
          <w:cantSplit/>
        </w:trPr>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Assurance</w:t>
            </w:r>
          </w:p>
        </w:tc>
        <w:tc>
          <w:tcPr>
            <w:tcW w:type="dxa" w:w="352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Threat model, SAST/dependency scans, external pen test before pilot go-live</w:t>
            </w:r>
          </w:p>
        </w:tc>
        <w:tc>
          <w:tcPr>
            <w:tcW w:type="dxa" w:w="188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SOC 2 Type I, DR test</w:t>
            </w:r>
          </w:p>
        </w:tc>
        <w:tc>
          <w:tcPr>
            <w:tcW w:type="dxa" w:w="31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SOC 2 Type II, ISO 27001 (optional)</w:t>
            </w:r>
          </w:p>
        </w:tc>
      </w:tr>
      <w:tr>
        <w:trPr>
          <w:cantSplit/>
        </w:trPr>
        <w:tc>
          <w:tcPr>
            <w:tcW w:type="dxa" w:w="108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Resilience</w:t>
            </w:r>
          </w:p>
        </w:tc>
        <w:tc>
          <w:tcPr>
            <w:tcW w:type="dxa" w:w="352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Daily backups, PITR, RPO ≤ 15 min, RTO ≤ 4 h</w:t>
            </w:r>
          </w:p>
        </w:tc>
        <w:tc>
          <w:tcPr>
            <w:tcW w:type="dxa" w:w="188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Multi-AZ, RTO ≤ 1 h</w:t>
            </w:r>
          </w:p>
        </w:tc>
        <w:tc>
          <w:tcPr>
            <w:tcW w:type="dxa" w:w="31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Cross-region DR</w:t>
            </w:r>
          </w:p>
        </w:tc>
      </w:tr>
      <w:tr>
        <w:trPr>
          <w:cantSplit/>
        </w:trPr>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Regulatory alignment (SA)</w:t>
            </w:r>
          </w:p>
        </w:tc>
        <w:tc>
          <w:tcPr>
            <w:tcW w:type="dxa" w:w="352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POPIA; map controls to the Prudential Authority/FSCA joint standards on IT governance and on cybersecurity and cyber resilience, and to SARB cloud/outsourcing guidance (confirm exact instruments with a compliance advisor)</w:t>
            </w:r>
          </w:p>
        </w:tc>
        <w:tc>
          <w:tcPr>
            <w:tcW w:type="dxa" w:w="188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Regulatory extracts per pilot need</w:t>
            </w:r>
          </w:p>
        </w:tc>
        <w:tc>
          <w:tcPr>
            <w:tcW w:type="dxa" w:w="31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Multi-jurisdiction packs (EU GDPR/MiFID II, etc.)</w:t>
            </w:r>
          </w:p>
        </w:tc>
      </w:tr>
    </w:tbl>
    <w:p>
      <w:pPr>
        <w:spacing w:after="120"/>
      </w:pPr>
    </w:p>
    <w:p>
      <w:pPr>
        <w:pStyle w:val="Heading2"/>
      </w:pPr>
      <w:r>
        <w:t xml:space="preserve">3.7 Key runtime flows</w:t>
      </w:r>
    </w:p>
    <w:p>
      <w:pPr>
        <w:spacing w:after="120"/>
      </w:pPr>
      <w:r>
        <w:rPr>
          <w:b/>
          <w:bCs/>
        </w:rPr>
        <w:t xml:space="preserve">Trade booking (MVP):</w:t>
      </w:r>
    </w:p>
    <w:p>
      <w:pPr>
        <w:spacing w:after="60" w:before="120"/>
        <w:jc w:val="center"/>
      </w:pPr>
      <w:r>
        <w:drawing>
          <wp:inline distT="0" distB="0" distL="0" distR="0">
            <wp:extent cx="5905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14675"/>
                    </a:xfrm>
                    <a:prstGeom prst="rect">
                      <a:avLst/>
                    </a:prstGeom>
                  </pic:spPr>
                </pic:pic>
              </a:graphicData>
            </a:graphic>
          </wp:inline>
        </w:drawing>
      </w:r>
    </w:p>
    <w:p>
      <w:pPr>
        <w:spacing w:after="200"/>
        <w:jc w:val="center"/>
      </w:pPr>
      <w:r>
        <w:rPr>
          <w:i/>
          <w:iCs/>
          <w:color w:val="5A6B80"/>
          <w:sz w:val="18"/>
          <w:szCs w:val="18"/>
        </w:rPr>
        <w:t xml:space="preserve">Figure 2 — Trade booking flow (MVP)</w:t>
      </w:r>
    </w:p>
    <w:p>
      <w:pPr>
        <w:spacing w:after="120"/>
      </w:pPr>
      <w:r>
        <w:rPr>
          <w:b/>
          <w:bCs/>
        </w:rPr>
        <w:t xml:space="preserve">End of day (MVP):</w:t>
      </w:r>
      <w:r>
        <w:t xml:space="preserve"> close business date → seal market-data snapshot → revalue all live trades → compute daily P&amp;L and positions → generate standard reports → roll the business date. Each step is idempotent and restartable, and results are stamped with </w:t>
      </w:r>
      <w:r>
        <w:rPr>
          <w:rFonts w:ascii="Consolas" w:cs="Consolas" w:eastAsia="Consolas" w:hAnsi="Consolas"/>
          <w:sz w:val="18"/>
          <w:szCs w:val="18"/>
          <w:shd w:fill="EEF1F5" w:color="auto" w:val="clear"/>
        </w:rPr>
        <w:t xml:space="preserve">run_id</w:t>
      </w:r>
      <w:r>
        <w:t xml:space="preserve">.</w:t>
      </w:r>
    </w:p>
    <w:p>
      <w:r>
        <w:br w:type="page"/>
      </w:r>
    </w:p>
    <w:p>
      <w:pPr>
        <w:pStyle w:val="Heading1"/>
      </w:pPr>
      <w:r>
        <w:t xml:space="preserve">4. Moving today's code into the target structure</w:t>
      </w:r>
    </w:p>
    <w:p>
      <w:pPr>
        <w:pStyle w:val="Heading2"/>
      </w:pPr>
      <w:r>
        <w:t xml:space="preserve">4.1 Target repository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7C3D3" w:sz="4"/>
              <w:left w:val="single" w:color="1F3A5F" w:sz="18"/>
              <w:bottom w:val="single" w:color="B7C3D3" w:sz="4"/>
              <w:right w:val="single" w:color="B7C3D3" w:sz="4"/>
            </w:tcBorders>
            <w:shd w:fill="F4F6F9" w:color="auto" w:val="clear"/>
            <w:tcMar>
              <w:top w:type="dxa" w:w="100"/>
              <w:left w:type="dxa" w:w="160"/>
              <w:bottom w:type="dxa" w:w="100"/>
              <w:right w:type="dxa" w:w="120"/>
            </w:tcMar>
          </w:tcPr>
          <w:p>
            <w:pPr>
              <w:spacing w:after="0" w:before="0"/>
            </w:pPr>
            <w:r>
              <w:rPr>
                <w:rFonts w:ascii="Consolas" w:cs="Consolas" w:eastAsia="Consolas" w:hAnsi="Consolas"/>
                <w:sz w:val="16"/>
                <w:szCs w:val="16"/>
              </w:rPr>
              <w:t xml:space="preserve">ats/                               (repo; product name "Nex")</w:t>
            </w:r>
          </w:p>
          <w:p>
            <w:pPr>
              <w:spacing w:after="0" w:before="0"/>
            </w:pPr>
            <w:r>
              <w:rPr>
                <w:rFonts w:ascii="Consolas" w:cs="Consolas" w:eastAsia="Consolas" w:hAnsi="Consolas"/>
                <w:sz w:val="16"/>
                <w:szCs w:val="16"/>
              </w:rPr>
              <w:t xml:space="preserve">├── settings.gradle.kts</w:t>
            </w:r>
          </w:p>
          <w:p>
            <w:pPr>
              <w:spacing w:after="0" w:before="0"/>
            </w:pPr>
            <w:r>
              <w:rPr>
                <w:rFonts w:ascii="Consolas" w:cs="Consolas" w:eastAsia="Consolas" w:hAnsi="Consolas"/>
                <w:sz w:val="16"/>
                <w:szCs w:val="16"/>
              </w:rPr>
              <w:t xml:space="preserve">├── nex-quant/                     pure Java library (no Spring, no UI)</w:t>
            </w:r>
          </w:p>
          <w:p>
            <w:pPr>
              <w:spacing w:after="0" w:before="0"/>
            </w:pPr>
            <w:r>
              <w:rPr>
                <w:rFonts w:ascii="Consolas" w:cs="Consolas" w:eastAsia="Consolas" w:hAnsi="Consolas"/>
                <w:sz w:val="16"/>
                <w:szCs w:val="16"/>
              </w:rPr>
              <w:t xml:space="preserve">│   ├── core/          Currency, Payment, CashFlow, TimePeriod, Tenor</w:t>
            </w:r>
          </w:p>
          <w:p>
            <w:pPr>
              <w:spacing w:after="0" w:before="0"/>
            </w:pPr>
            <w:r>
              <w:rPr>
                <w:rFonts w:ascii="Consolas" w:cs="Consolas" w:eastAsia="Consolas" w:hAnsi="Consolas"/>
                <w:sz w:val="16"/>
                <w:szCs w:val="16"/>
              </w:rPr>
              <w:t xml:space="preserve">│   ├── calendar/      BusinessCenter, HolidayCalendar, BusinessDayConvention</w:t>
            </w:r>
          </w:p>
          <w:p>
            <w:pPr>
              <w:spacing w:after="0" w:before="0"/>
            </w:pPr>
            <w:r>
              <w:rPr>
                <w:rFonts w:ascii="Consolas" w:cs="Consolas" w:eastAsia="Consolas" w:hAnsi="Consolas"/>
                <w:sz w:val="16"/>
                <w:szCs w:val="16"/>
              </w:rPr>
              <w:t xml:space="preserve">│   ├── daycount/      Act360, Act365F, ActActISDA, 30/360</w:t>
            </w:r>
          </w:p>
          <w:p>
            <w:pPr>
              <w:spacing w:after="0" w:before="0"/>
            </w:pPr>
            <w:r>
              <w:rPr>
                <w:rFonts w:ascii="Consolas" w:cs="Consolas" w:eastAsia="Consolas" w:hAnsi="Consolas"/>
                <w:sz w:val="16"/>
                <w:szCs w:val="16"/>
              </w:rPr>
              <w:t xml:space="preserve">│   ├── math/          Interpolator1D, LinearInterpolator (+ log-linear, monotone cubic)</w:t>
            </w:r>
          </w:p>
          <w:p>
            <w:pPr>
              <w:spacing w:after="0" w:before="0"/>
            </w:pPr>
            <w:r>
              <w:rPr>
                <w:rFonts w:ascii="Consolas" w:cs="Consolas" w:eastAsia="Consolas" w:hAnsi="Consolas"/>
                <w:sz w:val="16"/>
                <w:szCs w:val="16"/>
              </w:rPr>
              <w:t xml:space="preserve">│   ├── marketdata/    DateBasedSurface1D, DiscountCurve, ForwardCurve, FixingSeries</w:t>
            </w:r>
          </w:p>
          <w:p>
            <w:pPr>
              <w:spacing w:after="0" w:before="0"/>
            </w:pPr>
            <w:r>
              <w:rPr>
                <w:rFonts w:ascii="Consolas" w:cs="Consolas" w:eastAsia="Consolas" w:hAnsi="Consolas"/>
                <w:sz w:val="16"/>
                <w:szCs w:val="16"/>
              </w:rPr>
              <w:t xml:space="preserve">│   ├── product/       OIS, IRS, FXForward, FixedRateBond, Deposit/Loan</w:t>
            </w:r>
          </w:p>
          <w:p>
            <w:pPr>
              <w:spacing w:after="0" w:before="0"/>
            </w:pPr>
            <w:r>
              <w:rPr>
                <w:rFonts w:ascii="Consolas" w:cs="Consolas" w:eastAsia="Consolas" w:hAnsi="Consolas"/>
                <w:sz w:val="16"/>
                <w:szCs w:val="16"/>
              </w:rPr>
              <w:t xml:space="preserve">│   ├── pricer/        OisPricer, FxForwardPricer, BondPricer, CurveCalibrator</w:t>
            </w:r>
          </w:p>
          <w:p>
            <w:pPr>
              <w:spacing w:after="0" w:before="0"/>
            </w:pPr>
            <w:r>
              <w:rPr>
                <w:rFonts w:ascii="Consolas" w:cs="Consolas" w:eastAsia="Consolas" w:hAnsi="Consolas"/>
                <w:sz w:val="16"/>
                <w:szCs w:val="16"/>
              </w:rPr>
              <w:t xml:space="preserve">│   └── scenario/      ScenarioOperator (parallel/bucket shifts)</w:t>
            </w:r>
          </w:p>
          <w:p>
            <w:pPr>
              <w:spacing w:after="0" w:before="0"/>
            </w:pPr>
            <w:r>
              <w:rPr>
                <w:rFonts w:ascii="Consolas" w:cs="Consolas" w:eastAsia="Consolas" w:hAnsi="Consolas"/>
                <w:sz w:val="16"/>
                <w:szCs w:val="16"/>
              </w:rPr>
              <w:t xml:space="preserve">├── nex-platform/                  Spring Boot modular monolith</w:t>
            </w:r>
          </w:p>
          <w:p>
            <w:pPr>
              <w:spacing w:after="0" w:before="0"/>
            </w:pPr>
            <w:r>
              <w:rPr>
                <w:rFonts w:ascii="Consolas" w:cs="Consolas" w:eastAsia="Consolas" w:hAnsi="Consolas"/>
                <w:sz w:val="16"/>
                <w:szCs w:val="16"/>
              </w:rPr>
              <w:t xml:space="preserve">│   └── src/main/java/com/ats/nex/{identity,refdata,trade,marketdata,valuation,</w:t>
            </w:r>
          </w:p>
          <w:p>
            <w:pPr>
              <w:spacing w:after="0" w:before="0"/>
            </w:pPr>
            <w:r>
              <w:rPr>
                <w:rFonts w:ascii="Consolas" w:cs="Consolas" w:eastAsia="Consolas" w:hAnsi="Consolas"/>
                <w:sz w:val="16"/>
                <w:szCs w:val="16"/>
              </w:rPr>
              <w:t xml:space="preserve">│                                   position,confirmation,reporting,audit,eod}</w:t>
            </w:r>
          </w:p>
          <w:p>
            <w:pPr>
              <w:spacing w:after="0" w:before="0"/>
            </w:pPr>
            <w:r>
              <w:rPr>
                <w:rFonts w:ascii="Consolas" w:cs="Consolas" w:eastAsia="Consolas" w:hAnsi="Consolas"/>
                <w:sz w:val="16"/>
                <w:szCs w:val="16"/>
              </w:rPr>
              <w:t xml:space="preserve">├── nex-web/                       React + TypeScript SPA</w:t>
            </w:r>
          </w:p>
          <w:p>
            <w:pPr>
              <w:spacing w:after="0" w:before="0"/>
            </w:pPr>
            <w:r>
              <w:rPr>
                <w:rFonts w:ascii="Consolas" w:cs="Consolas" w:eastAsia="Consolas" w:hAnsi="Consolas"/>
                <w:sz w:val="16"/>
                <w:szCs w:val="16"/>
              </w:rPr>
              <w:t xml:space="preserve">├── nex-analytics/                 Python (from Beta)</w:t>
            </w:r>
          </w:p>
          <w:p>
            <w:pPr>
              <w:spacing w:after="0" w:before="0"/>
            </w:pPr>
            <w:r>
              <w:rPr>
                <w:rFonts w:ascii="Consolas" w:cs="Consolas" w:eastAsia="Consolas" w:hAnsi="Consolas"/>
                <w:sz w:val="16"/>
                <w:szCs w:val="16"/>
              </w:rPr>
              <w:t xml:space="preserve">├── infra/                         Terraform, Helm/compose, environment config</w:t>
            </w:r>
          </w:p>
          <w:p>
            <w:pPr>
              <w:spacing w:after="0" w:before="0"/>
            </w:pPr>
            <w:r>
              <w:rPr>
                <w:rFonts w:ascii="Consolas" w:cs="Consolas" w:eastAsia="Consolas" w:hAnsi="Consolas"/>
                <w:sz w:val="16"/>
                <w:szCs w:val="16"/>
              </w:rPr>
              <w:t xml:space="preserve">├── docs/                          this document, ADRs, runbooks, API docs</w:t>
            </w:r>
          </w:p>
          <w:p>
            <w:pPr>
              <w:spacing w:after="0" w:before="0"/>
            </w:pPr>
            <w:r>
              <w:rPr>
                <w:rFonts w:ascii="Consolas" w:cs="Consolas" w:eastAsia="Consolas" w:hAnsi="Consolas"/>
                <w:sz w:val="16"/>
                <w:szCs w:val="16"/>
              </w:rPr>
              <w:t xml:space="preserve">└── legacy/                        current JavaFX prototype, frozen; deleted after MVP</w:t>
            </w:r>
          </w:p>
        </w:tc>
      </w:tr>
    </w:tbl>
    <w:p>
      <w:pPr>
        <w:spacing w:after="120"/>
      </w:pPr>
    </w:p>
    <w:p>
      <w:pPr>
        <w:pStyle w:val="Heading2"/>
      </w:pPr>
      <w:r>
        <w:t xml:space="preserve">4.2 Package-by-package migration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4"/>
        <w:gridCol w:w="1994"/>
        <w:gridCol w:w="4100"/>
      </w:tblGrid>
      <w:tr>
        <w:trPr>
          <w:cantSplit/>
          <w:tblHeader/>
        </w:trPr>
        <w:tc>
          <w:tcPr>
            <w:tcW w:type="dxa" w:w="3544"/>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Current package / file</w:t>
            </w:r>
          </w:p>
        </w:tc>
        <w:tc>
          <w:tcPr>
            <w:tcW w:type="dxa" w:w="1994"/>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Destination</w:t>
            </w:r>
          </w:p>
        </w:tc>
        <w:tc>
          <w:tcPr>
            <w:tcW w:type="dxa" w:w="4100"/>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Action</w:t>
            </w:r>
          </w:p>
        </w:tc>
      </w:tr>
      <w:tr>
        <w:trPr>
          <w:cantSplit/>
        </w:trPr>
        <w:tc>
          <w:tcPr>
            <w:tcW w:type="dxa" w:w="354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com.ats.pricing.tools.*</w:t>
            </w:r>
            <w:r>
              <w:rPr>
                <w:sz w:val="18"/>
                <w:szCs w:val="18"/>
              </w:rPr>
              <w:t xml:space="preserve"> (day counts, Modified Following, </w:t>
            </w:r>
            <w:r>
              <w:rPr>
                <w:rFonts w:ascii="Consolas" w:cs="Consolas" w:eastAsia="Consolas" w:hAnsi="Consolas"/>
                <w:sz w:val="16"/>
                <w:szCs w:val="16"/>
                <w:shd w:fill="EEF1F5" w:color="auto" w:val="clear"/>
              </w:rPr>
              <w:t xml:space="preserve">DateInterval</w:t>
            </w:r>
            <w:r>
              <w:rPr>
                <w:sz w:val="18"/>
                <w:szCs w:val="18"/>
              </w:rPr>
              <w:t xml:space="preserve">)</w:t>
            </w:r>
          </w:p>
        </w:tc>
        <w:tc>
          <w:tcPr>
            <w:tcW w:type="dxa" w:w="199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nex-quant/daycount</w:t>
            </w:r>
            <w:r>
              <w:rPr>
                <w:sz w:val="18"/>
                <w:szCs w:val="18"/>
              </w:rPr>
              <w:t xml:space="preserve">, </w:t>
            </w:r>
            <w:r>
              <w:rPr>
                <w:rFonts w:ascii="Consolas" w:cs="Consolas" w:eastAsia="Consolas" w:hAnsi="Consolas"/>
                <w:sz w:val="16"/>
                <w:szCs w:val="16"/>
                <w:shd w:fill="EEF1F5" w:color="auto" w:val="clear"/>
              </w:rPr>
              <w:t xml:space="preserve">calendar</w:t>
            </w:r>
          </w:p>
        </w:tc>
        <w:tc>
          <w:tcPr>
            <w:tcW w:type="dxa" w:w="41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Keep. Add golden tests (ISDA examples). Remove the UI dependency from </w:t>
            </w:r>
            <w:r>
              <w:rPr>
                <w:rFonts w:ascii="Consolas" w:cs="Consolas" w:eastAsia="Consolas" w:hAnsi="Consolas"/>
                <w:sz w:val="16"/>
                <w:szCs w:val="16"/>
                <w:shd w:fill="EEF1F5" w:color="auto" w:val="clear"/>
              </w:rPr>
              <w:t xml:space="preserve">ContingentDateInterval</w:t>
            </w:r>
          </w:p>
        </w:tc>
      </w:tr>
      <w:tr>
        <w:trPr>
          <w:cantSplit/>
        </w:trPr>
        <w:tc>
          <w:tcPr>
            <w:tcW w:type="dxa" w:w="354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com.ats.pricing.foundation.*</w:t>
            </w:r>
          </w:p>
        </w:tc>
        <w:tc>
          <w:tcPr>
            <w:tcW w:type="dxa" w:w="199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nex-quant/core</w:t>
            </w:r>
            <w:r>
              <w:rPr>
                <w:sz w:val="18"/>
                <w:szCs w:val="18"/>
              </w:rPr>
              <w:t xml:space="preserve">, </w:t>
            </w:r>
            <w:r>
              <w:rPr>
                <w:rFonts w:ascii="Consolas" w:cs="Consolas" w:eastAsia="Consolas" w:hAnsi="Consolas"/>
                <w:sz w:val="16"/>
                <w:szCs w:val="16"/>
                <w:shd w:fill="EEF1F5" w:color="auto" w:val="clear"/>
              </w:rPr>
              <w:t xml:space="preserve">calendar</w:t>
            </w:r>
          </w:p>
        </w:tc>
        <w:tc>
          <w:tcPr>
            <w:tcW w:type="dxa" w:w="41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Keep and fix. Merge the two </w:t>
            </w:r>
            <w:r>
              <w:rPr>
                <w:rFonts w:ascii="Consolas" w:cs="Consolas" w:eastAsia="Consolas" w:hAnsi="Consolas"/>
                <w:sz w:val="16"/>
                <w:szCs w:val="16"/>
                <w:shd w:fill="EEF1F5" w:color="auto" w:val="clear"/>
              </w:rPr>
              <w:t xml:space="preserve">BusinessDayCalendar</w:t>
            </w:r>
            <w:r>
              <w:rPr>
                <w:sz w:val="18"/>
                <w:szCs w:val="18"/>
              </w:rPr>
              <w:t xml:space="preserve">s. Drop the Hibernate </w:t>
            </w:r>
            <w:r>
              <w:rPr>
                <w:rFonts w:ascii="Consolas" w:cs="Consolas" w:eastAsia="Consolas" w:hAnsi="Consolas"/>
                <w:sz w:val="16"/>
                <w:szCs w:val="16"/>
                <w:shd w:fill="EEF1F5" w:color="auto" w:val="clear"/>
              </w:rPr>
              <w:t xml:space="preserve">UserType</w:t>
            </w:r>
            <w:r>
              <w:rPr>
                <w:sz w:val="18"/>
                <w:szCs w:val="18"/>
              </w:rPr>
              <w:t xml:space="preserve"> remnant. Define </w:t>
            </w:r>
            <w:r>
              <w:rPr>
                <w:rFonts w:ascii="Consolas" w:cs="Consolas" w:eastAsia="Consolas" w:hAnsi="Consolas"/>
                <w:sz w:val="16"/>
                <w:szCs w:val="16"/>
                <w:shd w:fill="EEF1F5" w:color="auto" w:val="clear"/>
              </w:rPr>
              <w:t xml:space="preserve">ParsingException</w:t>
            </w:r>
            <w:r>
              <w:rPr>
                <w:sz w:val="18"/>
                <w:szCs w:val="18"/>
              </w:rPr>
              <w:t xml:space="preserve"> in quant</w:t>
            </w:r>
          </w:p>
        </w:tc>
      </w:tr>
      <w:tr>
        <w:trPr>
          <w:cantSplit/>
        </w:trPr>
        <w:tc>
          <w:tcPr>
            <w:tcW w:type="dxa" w:w="354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com.ats.math.numeric.*</w:t>
            </w:r>
          </w:p>
        </w:tc>
        <w:tc>
          <w:tcPr>
            <w:tcW w:type="dxa" w:w="199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nex-quant/math</w:t>
            </w:r>
          </w:p>
        </w:tc>
        <w:tc>
          <w:tcPr>
            <w:tcW w:type="dxa" w:w="41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Keep. Pick one of </w:t>
            </w:r>
            <w:r>
              <w:rPr>
                <w:rFonts w:ascii="Consolas" w:cs="Consolas" w:eastAsia="Consolas" w:hAnsi="Consolas"/>
                <w:sz w:val="16"/>
                <w:szCs w:val="16"/>
                <w:shd w:fill="EEF1F5" w:color="auto" w:val="clear"/>
              </w:rPr>
              <w:t xml:space="preserve">LinearInterpolator</w:t>
            </w:r>
            <w:r>
              <w:rPr>
                <w:sz w:val="18"/>
                <w:szCs w:val="18"/>
              </w:rPr>
              <w:t xml:space="preserve"> or </w:t>
            </w:r>
            <w:r>
              <w:rPr>
                <w:rFonts w:ascii="Consolas" w:cs="Consolas" w:eastAsia="Consolas" w:hAnsi="Consolas"/>
                <w:sz w:val="16"/>
                <w:szCs w:val="16"/>
                <w:shd w:fill="EEF1F5" w:color="auto" w:val="clear"/>
              </w:rPr>
              <w:t xml:space="preserve">LinearInterpolatorAsRecord</w:t>
            </w:r>
          </w:p>
        </w:tc>
      </w:tr>
      <w:tr>
        <w:trPr>
          <w:cantSplit/>
        </w:trPr>
        <w:tc>
          <w:tcPr>
            <w:tcW w:type="dxa" w:w="354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com.ats.pricing.marketData.*</w:t>
            </w:r>
          </w:p>
        </w:tc>
        <w:tc>
          <w:tcPr>
            <w:tcW w:type="dxa" w:w="199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nex-quant/marketdata</w:t>
            </w:r>
          </w:p>
        </w:tc>
        <w:tc>
          <w:tcPr>
            <w:tcW w:type="dxa" w:w="41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Fix: add </w:t>
            </w:r>
            <w:r>
              <w:rPr>
                <w:rFonts w:ascii="Consolas" w:cs="Consolas" w:eastAsia="Consolas" w:hAnsi="Consolas"/>
                <w:sz w:val="16"/>
                <w:szCs w:val="16"/>
                <w:shd w:fill="EEF1F5" w:color="auto" w:val="clear"/>
              </w:rPr>
              <w:t xml:space="preserve">Compounding</w:t>
            </w:r>
            <w:r>
              <w:rPr>
                <w:sz w:val="18"/>
                <w:szCs w:val="18"/>
              </w:rPr>
              <w:t xml:space="preserve">, drop </w:t>
            </w:r>
            <w:r>
              <w:rPr>
                <w:rFonts w:ascii="Consolas" w:cs="Consolas" w:eastAsia="Consolas" w:hAnsi="Consolas"/>
                <w:sz w:val="16"/>
                <w:szCs w:val="16"/>
                <w:shd w:fill="EEF1F5" w:color="auto" w:val="clear"/>
              </w:rPr>
              <w:t xml:space="preserve">Entity</w:t>
            </w:r>
            <w:r>
              <w:rPr>
                <w:sz w:val="18"/>
                <w:szCs w:val="18"/>
              </w:rPr>
              <w:t xml:space="preserve"> (use tenant context outside quant), standardise on </w:t>
            </w:r>
            <w:r>
              <w:rPr>
                <w:rFonts w:ascii="Consolas" w:cs="Consolas" w:eastAsia="Consolas" w:hAnsi="Consolas"/>
                <w:sz w:val="16"/>
                <w:szCs w:val="16"/>
                <w:shd w:fill="EEF1F5" w:color="auto" w:val="clear"/>
              </w:rPr>
              <w:t xml:space="preserve">LocalDate</w:t>
            </w:r>
          </w:p>
        </w:tc>
      </w:tr>
      <w:tr>
        <w:trPr>
          <w:cantSplit/>
        </w:trPr>
        <w:tc>
          <w:tcPr>
            <w:tcW w:type="dxa" w:w="354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com.ats.pricing.instruments.OvernightIndexSwap</w:t>
            </w:r>
          </w:p>
        </w:tc>
        <w:tc>
          <w:tcPr>
            <w:tcW w:type="dxa" w:w="199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nex-quant/product</w:t>
            </w:r>
            <w:r>
              <w:rPr>
                <w:sz w:val="18"/>
                <w:szCs w:val="18"/>
              </w:rPr>
              <w:t xml:space="preserve"> + </w:t>
            </w:r>
            <w:r>
              <w:rPr>
                <w:rFonts w:ascii="Consolas" w:cs="Consolas" w:eastAsia="Consolas" w:hAnsi="Consolas"/>
                <w:sz w:val="16"/>
                <w:szCs w:val="16"/>
                <w:shd w:fill="EEF1F5" w:color="auto" w:val="clear"/>
              </w:rPr>
              <w:t xml:space="preserve">pricer</w:t>
            </w:r>
          </w:p>
        </w:tc>
        <w:tc>
          <w:tcPr>
            <w:tcW w:type="dxa" w:w="41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Rewrite</w:t>
            </w:r>
            <w:r>
              <w:rPr>
                <w:sz w:val="18"/>
                <w:szCs w:val="18"/>
              </w:rPr>
              <w:t xml:space="preserve"> as an immutable product definition plus a separate pricer (compounded-in-arrears, lookback/lag, payment lag). The current file is not salvageable as-is</w:t>
            </w:r>
          </w:p>
        </w:tc>
      </w:tr>
      <w:tr>
        <w:trPr>
          <w:cantSplit/>
        </w:trPr>
        <w:tc>
          <w:tcPr>
            <w:tcW w:type="dxa" w:w="354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ats.FixedLeg</w:t>
            </w:r>
            <w:r>
              <w:rPr>
                <w:sz w:val="18"/>
                <w:szCs w:val="18"/>
              </w:rPr>
              <w:t xml:space="preserve">, </w:t>
            </w:r>
            <w:r>
              <w:rPr>
                <w:rFonts w:ascii="Consolas" w:cs="Consolas" w:eastAsia="Consolas" w:hAnsi="Consolas"/>
                <w:sz w:val="16"/>
                <w:szCs w:val="16"/>
                <w:shd w:fill="EEF1F5" w:color="auto" w:val="clear"/>
              </w:rPr>
              <w:t xml:space="preserve">FloatingLeg</w:t>
            </w:r>
            <w:r>
              <w:rPr>
                <w:sz w:val="18"/>
                <w:szCs w:val="18"/>
              </w:rPr>
              <w:t xml:space="preserve">, </w:t>
            </w:r>
            <w:r>
              <w:rPr>
                <w:rFonts w:ascii="Consolas" w:cs="Consolas" w:eastAsia="Consolas" w:hAnsi="Consolas"/>
                <w:sz w:val="16"/>
                <w:szCs w:val="16"/>
                <w:shd w:fill="EEF1F5" w:color="auto" w:val="clear"/>
              </w:rPr>
              <w:t xml:space="preserve">HistoricalFloatingLeg</w:t>
            </w:r>
            <w:r>
              <w:rPr>
                <w:sz w:val="18"/>
                <w:szCs w:val="18"/>
              </w:rPr>
              <w:t xml:space="preserve">, </w:t>
            </w:r>
            <w:r>
              <w:rPr>
                <w:rFonts w:ascii="Consolas" w:cs="Consolas" w:eastAsia="Consolas" w:hAnsi="Consolas"/>
                <w:sz w:val="16"/>
                <w:szCs w:val="16"/>
                <w:shd w:fill="EEF1F5" w:color="auto" w:val="clear"/>
              </w:rPr>
              <w:t xml:space="preserve">MarketDiscountCurve</w:t>
            </w:r>
            <w:r>
              <w:rPr>
                <w:sz w:val="18"/>
                <w:szCs w:val="18"/>
              </w:rPr>
              <w:t xml:space="preserve">, </w:t>
            </w:r>
            <w:r>
              <w:rPr>
                <w:rFonts w:ascii="Consolas" w:cs="Consolas" w:eastAsia="Consolas" w:hAnsi="Consolas"/>
                <w:sz w:val="16"/>
                <w:szCs w:val="16"/>
                <w:shd w:fill="EEF1F5" w:color="auto" w:val="clear"/>
              </w:rPr>
              <w:t xml:space="preserve">OISValuationRunner</w:t>
            </w:r>
          </w:p>
        </w:tc>
        <w:tc>
          <w:tcPr>
            <w:tcW w:type="dxa" w:w="199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nex-quant/pricer</w:t>
            </w:r>
            <w:r>
              <w:rPr>
                <w:sz w:val="18"/>
                <w:szCs w:val="18"/>
              </w:rPr>
              <w:t xml:space="preserve"> (logic), tests (runner scenario)</w:t>
            </w:r>
          </w:p>
        </w:tc>
        <w:tc>
          <w:tcPr>
            <w:tcW w:type="dxa" w:w="41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Fold the logic into </w:t>
            </w:r>
            <w:r>
              <w:rPr>
                <w:rFonts w:ascii="Consolas" w:cs="Consolas" w:eastAsia="Consolas" w:hAnsi="Consolas"/>
                <w:sz w:val="16"/>
                <w:szCs w:val="16"/>
                <w:shd w:fill="EEF1F5" w:color="auto" w:val="clear"/>
              </w:rPr>
              <w:t xml:space="preserve">OisPricer</w:t>
            </w:r>
            <w:r>
              <w:rPr>
                <w:sz w:val="18"/>
                <w:szCs w:val="18"/>
              </w:rPr>
              <w:t xml:space="preserve">; turn the runner into an integration test with fixed fixtures</w:t>
            </w:r>
          </w:p>
        </w:tc>
      </w:tr>
      <w:tr>
        <w:trPr>
          <w:cantSplit/>
        </w:trPr>
        <w:tc>
          <w:tcPr>
            <w:tcW w:type="dxa" w:w="354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ats.*Loader</w:t>
            </w:r>
            <w:r>
              <w:rPr>
                <w:sz w:val="18"/>
                <w:szCs w:val="18"/>
              </w:rPr>
              <w:t xml:space="preserve"> (CSV/JSON)</w:t>
            </w:r>
          </w:p>
        </w:tc>
        <w:tc>
          <w:tcPr>
            <w:tcW w:type="dxa" w:w="199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nex-platform/marketdata</w:t>
            </w:r>
            <w:r>
              <w:rPr>
                <w:sz w:val="18"/>
                <w:szCs w:val="18"/>
              </w:rPr>
              <w:t xml:space="preserve"> upload adapters</w:t>
            </w:r>
          </w:p>
        </w:tc>
        <w:tc>
          <w:tcPr>
            <w:tcW w:type="dxa" w:w="41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Rewrite with validation. Fix sample files (ISO dates, unquoted CSV)</w:t>
            </w:r>
          </w:p>
        </w:tc>
      </w:tr>
      <w:tr>
        <w:trPr>
          <w:cantSplit/>
        </w:trPr>
        <w:tc>
          <w:tcPr>
            <w:tcW w:type="dxa" w:w="354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com.ats.pricing.enums.*</w:t>
            </w:r>
            <w:r>
              <w:rPr>
                <w:sz w:val="18"/>
                <w:szCs w:val="18"/>
              </w:rPr>
              <w:t xml:space="preserve">, </w:t>
            </w:r>
            <w:r>
              <w:rPr>
                <w:rFonts w:ascii="Consolas" w:cs="Consolas" w:eastAsia="Consolas" w:hAnsi="Consolas"/>
                <w:sz w:val="16"/>
                <w:szCs w:val="16"/>
                <w:shd w:fill="EEF1F5" w:color="auto" w:val="clear"/>
              </w:rPr>
              <w:t xml:space="preserve">com.ats.tradingsystem.enums.*</w:t>
            </w:r>
          </w:p>
        </w:tc>
        <w:tc>
          <w:tcPr>
            <w:tcW w:type="dxa" w:w="199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refdata</w:t>
            </w:r>
            <w:r>
              <w:rPr>
                <w:sz w:val="18"/>
                <w:szCs w:val="18"/>
              </w:rPr>
              <w:t xml:space="preserve"> (seed data) / </w:t>
            </w:r>
            <w:r>
              <w:rPr>
                <w:rFonts w:ascii="Consolas" w:cs="Consolas" w:eastAsia="Consolas" w:hAnsi="Consolas"/>
                <w:sz w:val="16"/>
                <w:szCs w:val="16"/>
                <w:shd w:fill="EEF1F5" w:color="auto" w:val="clear"/>
              </w:rPr>
              <w:t xml:space="preserve">nex-quant</w:t>
            </w:r>
            <w:r>
              <w:rPr>
                <w:sz w:val="18"/>
                <w:szCs w:val="18"/>
              </w:rPr>
              <w:t xml:space="preserve"> enums</w:t>
            </w:r>
          </w:p>
        </w:tc>
        <w:tc>
          <w:tcPr>
            <w:tcW w:type="dxa" w:w="41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Replace sample enums (</w:t>
            </w:r>
            <w:r>
              <w:rPr>
                <w:rFonts w:ascii="Consolas" w:cs="Consolas" w:eastAsia="Consolas" w:hAnsi="Consolas"/>
                <w:sz w:val="16"/>
                <w:szCs w:val="16"/>
                <w:shd w:fill="EEF1F5" w:color="auto" w:val="clear"/>
              </w:rPr>
              <w:t xml:space="preserve">SampleCounterparties</w:t>
            </w:r>
            <w:r>
              <w:rPr>
                <w:sz w:val="18"/>
                <w:szCs w:val="18"/>
              </w:rPr>
              <w:t xml:space="preserve">, </w:t>
            </w:r>
            <w:r>
              <w:rPr>
                <w:rFonts w:ascii="Consolas" w:cs="Consolas" w:eastAsia="Consolas" w:hAnsi="Consolas"/>
                <w:sz w:val="16"/>
                <w:szCs w:val="16"/>
                <w:shd w:fill="EEF1F5" w:color="auto" w:val="clear"/>
              </w:rPr>
              <w:t xml:space="preserve">SamplePortfolios</w:t>
            </w:r>
            <w:r>
              <w:rPr>
                <w:sz w:val="18"/>
                <w:szCs w:val="18"/>
              </w:rPr>
              <w:t xml:space="preserve">) with reference-data tables</w:t>
            </w:r>
          </w:p>
        </w:tc>
      </w:tr>
      <w:tr>
        <w:trPr>
          <w:cantSplit/>
        </w:trPr>
        <w:tc>
          <w:tcPr>
            <w:tcW w:type="dxa" w:w="354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TransactionInfo</w:t>
            </w:r>
          </w:p>
        </w:tc>
        <w:tc>
          <w:tcPr>
            <w:tcW w:type="dxa" w:w="199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trade</w:t>
            </w:r>
            <w:r>
              <w:rPr>
                <w:sz w:val="18"/>
                <w:szCs w:val="18"/>
              </w:rPr>
              <w:t xml:space="preserve"> → </w:t>
            </w:r>
            <w:r>
              <w:rPr>
                <w:rFonts w:ascii="Consolas" w:cs="Consolas" w:eastAsia="Consolas" w:hAnsi="Consolas"/>
                <w:sz w:val="16"/>
                <w:szCs w:val="16"/>
                <w:shd w:fill="EEF1F5" w:color="auto" w:val="clear"/>
              </w:rPr>
              <w:t xml:space="preserve">TradeHeader</w:t>
            </w:r>
          </w:p>
        </w:tc>
        <w:tc>
          <w:tcPr>
            <w:tcW w:type="dxa" w:w="41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Typed IDs, status enum, immutable, versioned</w:t>
            </w:r>
          </w:p>
        </w:tc>
      </w:tr>
      <w:tr>
        <w:trPr>
          <w:cantSplit/>
        </w:trPr>
        <w:tc>
          <w:tcPr>
            <w:tcW w:type="dxa" w:w="354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Counterparty</w:t>
            </w:r>
            <w:r>
              <w:rPr>
                <w:sz w:val="18"/>
                <w:szCs w:val="18"/>
              </w:rPr>
              <w:t xml:space="preserve">, </w:t>
            </w:r>
            <w:r>
              <w:rPr>
                <w:rFonts w:ascii="Consolas" w:cs="Consolas" w:eastAsia="Consolas" w:hAnsi="Consolas"/>
                <w:sz w:val="16"/>
                <w:szCs w:val="16"/>
                <w:shd w:fill="EEF1F5" w:color="auto" w:val="clear"/>
              </w:rPr>
              <w:t xml:space="preserve">TradingBook</w:t>
            </w:r>
            <w:r>
              <w:rPr>
                <w:sz w:val="18"/>
                <w:szCs w:val="18"/>
              </w:rPr>
              <w:t xml:space="preserve">, </w:t>
            </w:r>
            <w:r>
              <w:rPr>
                <w:rFonts w:ascii="Consolas" w:cs="Consolas" w:eastAsia="Consolas" w:hAnsi="Consolas"/>
                <w:sz w:val="16"/>
                <w:szCs w:val="16"/>
                <w:shd w:fill="EEF1F5" w:color="auto" w:val="clear"/>
              </w:rPr>
              <w:t xml:space="preserve">CounterpartyRole</w:t>
            </w:r>
            <w:r>
              <w:rPr>
                <w:sz w:val="18"/>
                <w:szCs w:val="18"/>
              </w:rPr>
              <w:t xml:space="preserve">, </w:t>
            </w:r>
            <w:r>
              <w:rPr>
                <w:rFonts w:ascii="Consolas" w:cs="Consolas" w:eastAsia="Consolas" w:hAnsi="Consolas"/>
                <w:sz w:val="16"/>
                <w:szCs w:val="16"/>
                <w:shd w:fill="EEF1F5" w:color="auto" w:val="clear"/>
              </w:rPr>
              <w:t xml:space="preserve">resources/*.json</w:t>
            </w:r>
          </w:p>
        </w:tc>
        <w:tc>
          <w:tcPr>
            <w:tcW w:type="dxa" w:w="199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refdata</w:t>
            </w:r>
          </w:p>
        </w:tc>
        <w:tc>
          <w:tcPr>
            <w:tcW w:type="dxa" w:w="41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Entities + Flyway seed scripts</w:t>
            </w:r>
          </w:p>
        </w:tc>
      </w:tr>
      <w:tr>
        <w:trPr>
          <w:cantSplit/>
        </w:trPr>
        <w:tc>
          <w:tcPr>
            <w:tcW w:type="dxa" w:w="354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ats.display.*</w:t>
            </w:r>
            <w:r>
              <w:rPr>
                <w:sz w:val="18"/>
                <w:szCs w:val="18"/>
              </w:rPr>
              <w:t xml:space="preserve">, </w:t>
            </w:r>
            <w:r>
              <w:rPr>
                <w:rFonts w:ascii="Consolas" w:cs="Consolas" w:eastAsia="Consolas" w:hAnsi="Consolas"/>
                <w:sz w:val="16"/>
                <w:szCs w:val="16"/>
                <w:shd w:fill="EEF1F5" w:color="auto" w:val="clear"/>
              </w:rPr>
              <w:t xml:space="preserve">com.ats.tradingsystem.ui.*</w:t>
            </w:r>
            <w:r>
              <w:rPr>
                <w:sz w:val="18"/>
                <w:szCs w:val="18"/>
              </w:rPr>
              <w:t xml:space="preserve">, </w:t>
            </w:r>
            <w:r>
              <w:rPr>
                <w:rFonts w:ascii="Consolas" w:cs="Consolas" w:eastAsia="Consolas" w:hAnsi="Consolas"/>
                <w:sz w:val="16"/>
                <w:szCs w:val="16"/>
                <w:shd w:fill="EEF1F5" w:color="auto" w:val="clear"/>
              </w:rPr>
              <w:t xml:space="preserve">MainApp</w:t>
            </w:r>
          </w:p>
        </w:tc>
        <w:tc>
          <w:tcPr>
            <w:tcW w:type="dxa" w:w="199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legacy/</w:t>
            </w:r>
            <w:r>
              <w:rPr>
                <w:sz w:val="18"/>
                <w:szCs w:val="18"/>
              </w:rPr>
              <w:t xml:space="preserve"> → UX reference for </w:t>
            </w:r>
            <w:r>
              <w:rPr>
                <w:rFonts w:ascii="Consolas" w:cs="Consolas" w:eastAsia="Consolas" w:hAnsi="Consolas"/>
                <w:sz w:val="16"/>
                <w:szCs w:val="16"/>
                <w:shd w:fill="EEF1F5" w:color="auto" w:val="clear"/>
              </w:rPr>
              <w:t xml:space="preserve">nex-web</w:t>
            </w:r>
          </w:p>
        </w:tc>
        <w:tc>
          <w:tcPr>
            <w:tcW w:type="dxa" w:w="410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Freeze. Reuse the field lists as the first product JSON Schemas (OIS, Bond, Loan)</w:t>
            </w:r>
          </w:p>
        </w:tc>
      </w:tr>
      <w:tr>
        <w:trPr>
          <w:cantSplit/>
        </w:trPr>
        <w:tc>
          <w:tcPr>
            <w:tcW w:type="dxa" w:w="354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ScenarioOperator</w:t>
            </w:r>
            <w:r>
              <w:rPr>
                <w:sz w:val="18"/>
                <w:szCs w:val="18"/>
              </w:rPr>
              <w:t xml:space="preserve">, </w:t>
            </w:r>
            <w:r>
              <w:rPr>
                <w:rFonts w:ascii="Consolas" w:cs="Consolas" w:eastAsia="Consolas" w:hAnsi="Consolas"/>
                <w:sz w:val="16"/>
                <w:szCs w:val="16"/>
                <w:shd w:fill="EEF1F5" w:color="auto" w:val="clear"/>
              </w:rPr>
              <w:t xml:space="preserve">ScenarioOperation</w:t>
            </w:r>
          </w:p>
        </w:tc>
        <w:tc>
          <w:tcPr>
            <w:tcW w:type="dxa" w:w="199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nex-quant/scenario</w:t>
            </w:r>
          </w:p>
        </w:tc>
        <w:tc>
          <w:tcPr>
            <w:tcW w:type="dxa" w:w="410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Implement ABSOLUTE/RELATIVE/VALUE shifts in Beta</w:t>
            </w:r>
          </w:p>
        </w:tc>
      </w:tr>
    </w:tbl>
    <w:p>
      <w:pPr>
        <w:spacing w:after="120"/>
      </w:pPr>
    </w:p>
    <w:p>
      <w:r>
        <w:br w:type="page"/>
      </w:r>
    </w:p>
    <w:p>
      <w:pPr>
        <w:pStyle w:val="Heading1"/>
      </w:pPr>
      <w:r>
        <w:t xml:space="preserve">5. Staged roadmap</w:t>
      </w:r>
    </w:p>
    <w:p>
      <w:pPr>
        <w:pStyle w:val="Heading2"/>
      </w:pPr>
      <w:r>
        <w:t xml:space="preserve">5.1 Re-baselined timeline</w:t>
      </w:r>
    </w:p>
    <w:p>
      <w:pPr>
        <w:spacing w:after="120"/>
      </w:pPr>
      <w:r>
        <w:t xml:space="preserve">The business plan's dates are no longer achievable from the current baseline, so the stages below are re-baselined from </w:t>
      </w:r>
      <w:r>
        <w:rPr>
          <w:b/>
          <w:bCs/>
        </w:rPr>
        <w:t xml:space="preserve">October 2026</w:t>
      </w:r>
      <w:r>
        <w:t xml:space="preserve">. They assume a core team of </w:t>
      </w:r>
      <w:r>
        <w:rPr>
          <w:b/>
          <w:bCs/>
        </w:rPr>
        <w:t xml:space="preserve">5–7 people from November 2026</w:t>
      </w:r>
      <w:r>
        <w:t xml:space="preserve">, growing toward 8–12 by Beta (see §7). If funding and hiring land earlier or later, shift the stages accordingly.</w:t>
      </w:r>
    </w:p>
    <w:p>
      <w:pPr>
        <w:spacing w:after="60" w:before="120"/>
        <w:jc w:val="center"/>
      </w:pPr>
      <w:r>
        <w:drawing>
          <wp:inline distT="0" distB="0" distL="0" distR="0">
            <wp:extent cx="5905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914400"/>
                    </a:xfrm>
                    <a:prstGeom prst="rect">
                      <a:avLst/>
                    </a:prstGeom>
                  </pic:spPr>
                </pic:pic>
              </a:graphicData>
            </a:graphic>
          </wp:inline>
        </w:drawing>
      </w:r>
    </w:p>
    <w:p>
      <w:pPr>
        <w:spacing w:after="200"/>
        <w:jc w:val="center"/>
      </w:pPr>
      <w:r>
        <w:rPr>
          <w:i/>
          <w:iCs/>
          <w:color w:val="5A6B80"/>
          <w:sz w:val="18"/>
          <w:szCs w:val="18"/>
        </w:rPr>
        <w:t xml:space="preserve">Figure 3 — Re-baselined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3"/>
        <w:gridCol w:w="1449"/>
        <w:gridCol w:w="5871"/>
        <w:gridCol w:w="1105"/>
      </w:tblGrid>
      <w:tr>
        <w:trPr>
          <w:cantSplit/>
          <w:tblHeader/>
        </w:trPr>
        <w:tc>
          <w:tcPr>
            <w:tcW w:type="dxa" w:w="1213"/>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Stage</w:t>
            </w:r>
          </w:p>
        </w:tc>
        <w:tc>
          <w:tcPr>
            <w:tcW w:type="dxa" w:w="144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Window</w:t>
            </w:r>
          </w:p>
        </w:tc>
        <w:tc>
          <w:tcPr>
            <w:tcW w:type="dxa" w:w="5871"/>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Headline outcome</w:t>
            </w:r>
          </w:p>
        </w:tc>
        <w:tc>
          <w:tcPr>
            <w:tcW w:type="dxa" w:w="1105"/>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Plan phase</w:t>
            </w:r>
          </w:p>
        </w:tc>
      </w:tr>
      <w:tr>
        <w:trPr>
          <w:cantSplit/>
        </w:trPr>
        <w:tc>
          <w:tcPr>
            <w:tcW w:type="dxa" w:w="121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0 — Foundation reset</w:t>
            </w:r>
          </w:p>
        </w:tc>
        <w:tc>
          <w:tcPr>
            <w:tcW w:type="dxa" w:w="14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Oct – mid-Nov 2026</w:t>
            </w:r>
          </w:p>
        </w:tc>
        <w:tc>
          <w:tcPr>
            <w:tcW w:type="dxa" w:w="58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Code compiles, builds in CI and is tested; architecture skeleton; pilot partner signed</w:t>
            </w:r>
          </w:p>
        </w:tc>
        <w:tc>
          <w:tcPr>
            <w:tcW w:type="dxa" w:w="110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(pre-MVP)</w:t>
            </w:r>
          </w:p>
        </w:tc>
      </w:tr>
      <w:tr>
        <w:trPr>
          <w:cantSplit/>
        </w:trPr>
        <w:tc>
          <w:tcPr>
            <w:tcW w:type="dxa" w:w="121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1 — MVP build</w:t>
            </w:r>
          </w:p>
        </w:tc>
        <w:tc>
          <w:tcPr>
            <w:tcW w:type="dxa" w:w="14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mid-Nov 2026 – Apr 2027</w:t>
            </w:r>
          </w:p>
        </w:tc>
        <w:tc>
          <w:tcPr>
            <w:tcW w:type="dxa" w:w="587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 deployable, secure web platform covering the MVP scope (§6)</w:t>
            </w:r>
          </w:p>
        </w:tc>
        <w:tc>
          <w:tcPr>
            <w:tcW w:type="dxa" w:w="110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Phase 1</w:t>
            </w:r>
          </w:p>
        </w:tc>
      </w:tr>
      <w:tr>
        <w:trPr>
          <w:cantSplit/>
        </w:trPr>
        <w:tc>
          <w:tcPr>
            <w:tcW w:type="dxa" w:w="121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2 — Pilot</w:t>
            </w:r>
          </w:p>
        </w:tc>
        <w:tc>
          <w:tcPr>
            <w:tcW w:type="dxa" w:w="14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May – Aug 2027</w:t>
            </w:r>
          </w:p>
        </w:tc>
        <w:tc>
          <w:tcPr>
            <w:tcW w:type="dxa" w:w="58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 live in UAT/production with 1–2 design partners; 20-day clean parallel run</w:t>
            </w:r>
          </w:p>
        </w:tc>
        <w:tc>
          <w:tcPr>
            <w:tcW w:type="dxa" w:w="110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Phase 1 validation</w:t>
            </w:r>
          </w:p>
        </w:tc>
      </w:tr>
      <w:tr>
        <w:trPr>
          <w:cantSplit/>
        </w:trPr>
        <w:tc>
          <w:tcPr>
            <w:tcW w:type="dxa" w:w="121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3 — Beta</w:t>
            </w:r>
          </w:p>
        </w:tc>
        <w:tc>
          <w:tcPr>
            <w:tcW w:type="dxa" w:w="14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Sep 2027 – Feb 2028</w:t>
            </w:r>
          </w:p>
        </w:tc>
        <w:tc>
          <w:tcPr>
            <w:tcW w:type="dxa" w:w="587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More asset classes, risk, limits, multi-tenant SaaS, SOC 2 Type I, 2–5 clients</w:t>
            </w:r>
          </w:p>
        </w:tc>
        <w:tc>
          <w:tcPr>
            <w:tcW w:type="dxa" w:w="110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Phase 2</w:t>
            </w:r>
          </w:p>
        </w:tc>
      </w:tr>
      <w:tr>
        <w:trPr>
          <w:cantSplit/>
        </w:trPr>
        <w:tc>
          <w:tcPr>
            <w:tcW w:type="dxa" w:w="121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4 — GA</w:t>
            </w:r>
          </w:p>
        </w:tc>
        <w:tc>
          <w:tcPr>
            <w:tcW w:type="dxa" w:w="144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Apr 2028</w:t>
            </w:r>
          </w:p>
        </w:tc>
        <w:tc>
          <w:tcPr>
            <w:tcW w:type="dxa" w:w="58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Commercial launch: tiers, onboarding at scale, SOC 2 Type II in progress</w:t>
            </w:r>
          </w:p>
        </w:tc>
        <w:tc>
          <w:tcPr>
            <w:tcW w:type="dxa" w:w="110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Phase 3</w:t>
            </w:r>
          </w:p>
        </w:tc>
      </w:tr>
      <w:tr>
        <w:trPr>
          <w:cantSplit/>
        </w:trPr>
        <w:tc>
          <w:tcPr>
            <w:tcW w:type="dxa" w:w="121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5 — Scale</w:t>
            </w:r>
          </w:p>
        </w:tc>
        <w:tc>
          <w:tcPr>
            <w:tcW w:type="dxa" w:w="144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2028+</w:t>
            </w:r>
          </w:p>
        </w:tc>
        <w:tc>
          <w:tcPr>
            <w:tcW w:type="dxa" w:w="587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AI/RPA modules, integrations, new regions, service extraction</w:t>
            </w:r>
          </w:p>
        </w:tc>
        <w:tc>
          <w:tcPr>
            <w:tcW w:type="dxa" w:w="110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Phase 3+</w:t>
            </w:r>
          </w:p>
        </w:tc>
      </w:tr>
    </w:tbl>
    <w:p>
      <w:pPr>
        <w:spacing w:after="120"/>
      </w:pPr>
    </w:p>
    <w:p>
      <w:pPr>
        <w:spacing w:after="120"/>
      </w:pPr>
      <w:r>
        <w:rPr>
          <w:b/>
          <w:bCs/>
        </w:rPr>
        <w:t xml:space="preserve">Accelerated scenario:</w:t>
      </w:r>
      <w:r>
        <w:t xml:space="preserve"> if the team reaches 8+ by January 2027 </w:t>
      </w:r>
      <w:r>
        <w:rPr>
          <w:i/>
          <w:iCs/>
        </w:rPr>
        <w:t xml:space="preserve">and</w:t>
      </w:r>
      <w:r>
        <w:t xml:space="preserve"> Strata is adopted for pricing (D6), MVP can land around </w:t>
      </w:r>
      <w:r>
        <w:rPr>
          <w:b/>
          <w:bCs/>
        </w:rPr>
        <w:t xml:space="preserve">March 2027</w:t>
      </w:r>
      <w:r>
        <w:t xml:space="preserve">, Beta around </w:t>
      </w:r>
      <w:r>
        <w:rPr>
          <w:b/>
          <w:bCs/>
        </w:rPr>
        <w:t xml:space="preserve">Q4 2027</w:t>
      </w:r>
      <w:r>
        <w:t xml:space="preserve"> and GA around </w:t>
      </w:r>
      <w:r>
        <w:rPr>
          <w:b/>
          <w:bCs/>
        </w:rPr>
        <w:t xml:space="preserve">Q1 2028</w:t>
      </w:r>
      <w:r>
        <w:t xml:space="preserve">.</w:t>
      </w:r>
    </w:p>
    <w:p>
      <w:pPr>
        <w:pStyle w:val="Heading2"/>
      </w:pPr>
      <w:r>
        <w:t xml:space="preserve">Stage 0 — Foundation reset (≈6 weeks, 3 sprints)</w:t>
      </w:r>
    </w:p>
    <w:p>
      <w:pPr>
        <w:spacing w:after="120"/>
      </w:pPr>
      <w:r>
        <w:rPr>
          <w:b/>
          <w:bCs/>
        </w:rPr>
        <w:t xml:space="preserve">Objective:</w:t>
      </w:r>
      <w:r>
        <w:t xml:space="preserve"> turn the prototype into a professional, buildable codebase and lock the key decisions so Stage 1 can run at full speed.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7"/>
        <w:gridCol w:w="7971"/>
      </w:tblGrid>
      <w:tr>
        <w:trPr>
          <w:cantSplit/>
          <w:tblHeader/>
        </w:trPr>
        <w:tc>
          <w:tcPr>
            <w:tcW w:type="dxa" w:w="1667"/>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Workstream</w:t>
            </w:r>
          </w:p>
        </w:tc>
        <w:tc>
          <w:tcPr>
            <w:tcW w:type="dxa" w:w="7971"/>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Deliverables</w:t>
            </w:r>
          </w:p>
        </w:tc>
      </w:tr>
      <w:tr>
        <w:trPr>
          <w:cantSplit/>
        </w:trPr>
        <w:tc>
          <w:tcPr>
            <w:tcW w:type="dxa" w:w="16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Build &amp; hygiene</w:t>
            </w:r>
          </w:p>
        </w:tc>
        <w:tc>
          <w:tcPr>
            <w:tcW w:type="dxa" w:w="79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Gradle multi-module build; dependencies pinned (Jackson, POI, JUnit 5, AssertJ); JavaFX moved to </w:t>
            </w:r>
            <w:r>
              <w:rPr>
                <w:rFonts w:ascii="Consolas" w:cs="Consolas" w:eastAsia="Consolas" w:hAnsi="Consolas"/>
                <w:sz w:val="16"/>
                <w:szCs w:val="16"/>
                <w:shd w:fill="EEF1F5" w:color="auto" w:val="clear"/>
              </w:rPr>
              <w:t xml:space="preserve">legacy/</w:t>
            </w:r>
            <w:r>
              <w:rPr>
                <w:sz w:val="18"/>
                <w:szCs w:val="18"/>
              </w:rPr>
              <w:t xml:space="preserve"> with the OpenJFX Gradle plugin (or excluded); </w:t>
            </w:r>
            <w:r>
              <w:rPr>
                <w:rFonts w:ascii="Consolas" w:cs="Consolas" w:eastAsia="Consolas" w:hAnsi="Consolas"/>
                <w:sz w:val="16"/>
                <w:szCs w:val="16"/>
                <w:shd w:fill="EEF1F5" w:color="auto" w:val="clear"/>
              </w:rPr>
              <w:t xml:space="preserve">.editorconfig</w:t>
            </w:r>
            <w:r>
              <w:rPr>
                <w:sz w:val="18"/>
                <w:szCs w:val="18"/>
              </w:rPr>
              <w:t xml:space="preserve">, formatter (Spotless), static analysis (Error Prone/SpotBugs)</w:t>
            </w:r>
          </w:p>
        </w:tc>
      </w:tr>
      <w:tr>
        <w:trPr>
          <w:cantSplit/>
        </w:trPr>
        <w:tc>
          <w:tcPr>
            <w:tcW w:type="dxa" w:w="16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Make it compile</w:t>
            </w:r>
          </w:p>
        </w:tc>
        <w:tc>
          <w:tcPr>
            <w:tcW w:type="dxa" w:w="797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Every item in §2.3 fixed or quarantined; </w:t>
            </w:r>
            <w:r>
              <w:rPr>
                <w:rFonts w:ascii="Consolas" w:cs="Consolas" w:eastAsia="Consolas" w:hAnsi="Consolas"/>
                <w:sz w:val="16"/>
                <w:szCs w:val="16"/>
                <w:shd w:fill="EEF1F5" w:color="auto" w:val="clear"/>
              </w:rPr>
              <w:t xml:space="preserve">ContingentDateInterval</w:t>
            </w:r>
            <w:r>
              <w:rPr>
                <w:sz w:val="18"/>
                <w:szCs w:val="18"/>
              </w:rPr>
              <w:t xml:space="preserve"> UI dependency removed; duplicates consolidated</w:t>
            </w:r>
          </w:p>
        </w:tc>
      </w:tr>
      <w:tr>
        <w:trPr>
          <w:cantSplit/>
        </w:trPr>
        <w:tc>
          <w:tcPr>
            <w:tcW w:type="dxa" w:w="16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Quant foundations</w:t>
            </w:r>
          </w:p>
        </w:tc>
        <w:tc>
          <w:tcPr>
            <w:tcW w:type="dxa" w:w="79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nex-quant</w:t>
            </w:r>
            <w:r>
              <w:rPr>
                <w:sz w:val="18"/>
                <w:szCs w:val="18"/>
              </w:rPr>
              <w:t xml:space="preserve"> created from §4.2. </w:t>
            </w:r>
            <w:r>
              <w:rPr>
                <w:b/>
                <w:bCs/>
                <w:sz w:val="18"/>
                <w:szCs w:val="18"/>
              </w:rPr>
              <w:t xml:space="preserve">Golden tests</w:t>
            </w:r>
            <w:r>
              <w:rPr>
                <w:sz w:val="18"/>
                <w:szCs w:val="18"/>
              </w:rPr>
              <w:t xml:space="preserve">: day counts (ISDA examples), calendars (ZAJO/USNY/GBLO 2025–2030), interpolation, tenor parsing. Target ≥ 90% line coverage on </w:t>
            </w:r>
            <w:r>
              <w:rPr>
                <w:rFonts w:ascii="Consolas" w:cs="Consolas" w:eastAsia="Consolas" w:hAnsi="Consolas"/>
                <w:sz w:val="16"/>
                <w:szCs w:val="16"/>
                <w:shd w:fill="EEF1F5" w:color="auto" w:val="clear"/>
              </w:rPr>
              <w:t xml:space="preserve">nex-quant</w:t>
            </w:r>
          </w:p>
        </w:tc>
      </w:tr>
      <w:tr>
        <w:trPr>
          <w:cantSplit/>
        </w:trPr>
        <w:tc>
          <w:tcPr>
            <w:tcW w:type="dxa" w:w="16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Pricing spike (1 week)</w:t>
            </w:r>
          </w:p>
        </w:tc>
        <w:tc>
          <w:tcPr>
            <w:tcW w:type="dxa" w:w="797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Build a 5Y ZAR OIS and a USD SOFR OIS with (a) own code and (b) OpenGamma Strata. Compare with QuantLib to within 0.1 bp and write </w:t>
            </w:r>
            <w:r>
              <w:rPr>
                <w:b/>
                <w:bCs/>
                <w:sz w:val="18"/>
                <w:szCs w:val="18"/>
              </w:rPr>
              <w:t xml:space="preserve">ADR-0003</w:t>
            </w:r>
            <w:r>
              <w:rPr>
                <w:sz w:val="18"/>
                <w:szCs w:val="18"/>
              </w:rPr>
              <w:t xml:space="preserve">, which makes the call</w:t>
            </w:r>
          </w:p>
        </w:tc>
      </w:tr>
      <w:tr>
        <w:trPr>
          <w:cantSplit/>
        </w:trPr>
        <w:tc>
          <w:tcPr>
            <w:tcW w:type="dxa" w:w="16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CI/CD</w:t>
            </w:r>
          </w:p>
        </w:tc>
        <w:tc>
          <w:tcPr>
            <w:tcW w:type="dxa" w:w="79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GitHub Actions: build + test on every PR, CodeQL, Dependabot, secret scanning, branch protection on </w:t>
            </w:r>
            <w:r>
              <w:rPr>
                <w:rFonts w:ascii="Consolas" w:cs="Consolas" w:eastAsia="Consolas" w:hAnsi="Consolas"/>
                <w:sz w:val="16"/>
                <w:szCs w:val="16"/>
                <w:shd w:fill="EEF1F5" w:color="auto" w:val="clear"/>
              </w:rPr>
              <w:t xml:space="preserve">main</w:t>
            </w:r>
          </w:p>
        </w:tc>
      </w:tr>
      <w:tr>
        <w:trPr>
          <w:cantSplit/>
        </w:trPr>
        <w:tc>
          <w:tcPr>
            <w:tcW w:type="dxa" w:w="16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Architecture</w:t>
            </w:r>
          </w:p>
        </w:tc>
        <w:tc>
          <w:tcPr>
            <w:tcW w:type="dxa" w:w="797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ADRs 0001–0008 (modular monolith, Spring Boot, PostgreSQL + outbox, web UI replaces JavaFX, Keycloak, cloud/region, tenancy for pilot, product-as-schema). Walking skeleton: </w:t>
            </w:r>
            <w:r>
              <w:rPr>
                <w:rFonts w:ascii="Consolas" w:cs="Consolas" w:eastAsia="Consolas" w:hAnsi="Consolas"/>
                <w:sz w:val="16"/>
                <w:szCs w:val="16"/>
                <w:shd w:fill="EEF1F5" w:color="auto" w:val="clear"/>
              </w:rPr>
              <w:t xml:space="preserve">nex-platform</w:t>
            </w:r>
            <w:r>
              <w:rPr>
                <w:sz w:val="18"/>
                <w:szCs w:val="18"/>
              </w:rPr>
              <w:t xml:space="preserve"> with one endpoint, Flyway, Keycloak login, </w:t>
            </w:r>
            <w:r>
              <w:rPr>
                <w:rFonts w:ascii="Consolas" w:cs="Consolas" w:eastAsia="Consolas" w:hAnsi="Consolas"/>
                <w:sz w:val="16"/>
                <w:szCs w:val="16"/>
                <w:shd w:fill="EEF1F5" w:color="auto" w:val="clear"/>
              </w:rPr>
              <w:t xml:space="preserve">nex-web</w:t>
            </w:r>
            <w:r>
              <w:rPr>
                <w:sz w:val="18"/>
                <w:szCs w:val="18"/>
              </w:rPr>
              <w:t xml:space="preserve"> shell, docker-compose for local dev</w:t>
            </w:r>
          </w:p>
        </w:tc>
      </w:tr>
      <w:tr>
        <w:trPr>
          <w:cantSplit/>
        </w:trPr>
        <w:tc>
          <w:tcPr>
            <w:tcW w:type="dxa" w:w="16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Product &amp; UX</w:t>
            </w:r>
          </w:p>
        </w:tc>
        <w:tc>
          <w:tcPr>
            <w:tcW w:type="dxa" w:w="79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 scope confirmed with the pilot (§6). Wireframes for blotter, trade ticket, positions/P&amp;L, market-data upload and approvals. Domain glossary</w:t>
            </w:r>
          </w:p>
        </w:tc>
      </w:tr>
      <w:tr>
        <w:trPr>
          <w:cantSplit/>
        </w:trPr>
        <w:tc>
          <w:tcPr>
            <w:tcW w:type="dxa" w:w="16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Business</w:t>
            </w:r>
          </w:p>
        </w:tc>
        <w:tc>
          <w:tcPr>
            <w:tcW w:type="dxa" w:w="797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Signed design-partner LOI</w:t>
            </w:r>
            <w:r>
              <w:rPr>
                <w:sz w:val="18"/>
                <w:szCs w:val="18"/>
              </w:rPr>
              <w:t xml:space="preserve"> with at least one pilot bank or broker. Collect their sample trades, EOD spreadsheet and confirmation templates; these become the MVP acceptance test fixtures</w:t>
            </w:r>
          </w:p>
        </w:tc>
      </w:tr>
      <w:tr>
        <w:trPr>
          <w:cantSplit/>
        </w:trPr>
        <w:tc>
          <w:tcPr>
            <w:tcW w:type="dxa" w:w="16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Cloud</w:t>
            </w:r>
          </w:p>
        </w:tc>
        <w:tc>
          <w:tcPr>
            <w:tcW w:type="dxa" w:w="797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Accounts/subscription in the SA region, Terraform skeleton, dev environment</w:t>
            </w:r>
          </w:p>
        </w:tc>
      </w:tr>
    </w:tbl>
    <w:p>
      <w:pPr>
        <w:spacing w:after="120"/>
      </w:pPr>
    </w:p>
    <w:p>
      <w:pPr>
        <w:spacing w:after="120"/>
      </w:pPr>
      <w:r>
        <w:rPr>
          <w:b/>
          <w:bCs/>
        </w:rPr>
        <w:t xml:space="preserve">Exit gate (Stage 0 → 1):</w:t>
      </w:r>
      <w:r>
        <w:t xml:space="preserve"> </w:t>
      </w:r>
      <w:r>
        <w:rPr>
          <w:rFonts w:ascii="Consolas" w:cs="Consolas" w:eastAsia="Consolas" w:hAnsi="Consolas"/>
          <w:sz w:val="18"/>
          <w:szCs w:val="18"/>
          <w:shd w:fill="EEF1F5" w:color="auto" w:val="clear"/>
        </w:rPr>
        <w:t xml:space="preserve">main</w:t>
      </w:r>
      <w:r>
        <w:t xml:space="preserve"> builds green in CI from a clean clone; </w:t>
      </w:r>
      <w:r>
        <w:rPr>
          <w:rFonts w:ascii="Consolas" w:cs="Consolas" w:eastAsia="Consolas" w:hAnsi="Consolas"/>
          <w:sz w:val="18"/>
          <w:szCs w:val="18"/>
          <w:shd w:fill="EEF1F5" w:color="auto" w:val="clear"/>
        </w:rPr>
        <w:t xml:space="preserve">nex-quant</w:t>
      </w:r>
      <w:r>
        <w:t xml:space="preserve"> tests pass; walking skeleton is deployed to the dev cloud environment with login; ADRs are approved; pilot LOI is signed and fixtures are received.</w:t>
      </w:r>
    </w:p>
    <w:p>
      <w:pPr>
        <w:pStyle w:val="Heading2"/>
      </w:pPr>
      <w:r>
        <w:t xml:space="preserve">Stage 1 — MVP build (≈10 two-week sprints)</w:t>
      </w:r>
    </w:p>
    <w:p>
      <w:pPr>
        <w:spacing w:after="120"/>
      </w:pPr>
      <w:r>
        <w:rPr>
          <w:b/>
          <w:bCs/>
        </w:rPr>
        <w:t xml:space="preserve">Objective:</w:t>
      </w:r>
      <w:r>
        <w:t xml:space="preserve"> deliver the MVP defined in §6 as a secure, deployable web platform. The sprint plan is in §6.5.</w:t>
      </w:r>
    </w:p>
    <w:p>
      <w:pPr>
        <w:spacing w:after="120"/>
      </w:pPr>
      <w:r>
        <w:rPr>
          <w:b/>
          <w:bCs/>
        </w:rPr>
        <w:t xml:space="preserve">Exit gate (Stage 1 → 2):</w:t>
      </w:r>
      <w:r>
        <w:t xml:space="preserve"> all MVP acceptance criteria (§6.3) pass in the UAT environment using the pilot's fixtures. External pen test shows no open critical or high findings. Runbooks exist for EOD, backup/restore and incident response. A restore from backup has been demonstrated.</w:t>
      </w:r>
    </w:p>
    <w:p>
      <w:pPr>
        <w:pStyle w:val="Heading2"/>
      </w:pPr>
      <w:r>
        <w:t xml:space="preserve">Stage 2 — Pilot (≈4 months)</w:t>
      </w:r>
    </w:p>
    <w:p>
      <w:pPr>
        <w:spacing w:after="120"/>
      </w:pPr>
      <w:r>
        <w:rPr>
          <w:b/>
          <w:bCs/>
        </w:rPr>
        <w:t xml:space="preserve">Objective:</w:t>
      </w:r>
      <w:r>
        <w:t xml:space="preserve"> prove value with real users and data, and turn the pilot into a reference case, as the plan's go-to-market requires.</w:t>
      </w:r>
    </w:p>
    <w:p>
      <w:pPr>
        <w:pStyle w:val="ListParagraph"/>
        <w:numPr>
          <w:ilvl w:val="0"/>
          <w:numId w:val="4"/>
        </w:numPr>
        <w:spacing w:after="60"/>
      </w:pPr>
      <w:r>
        <w:t xml:space="preserve">Onboard 1–2 design partners (e.g. through The League network): data migration of open trades and static data, user training, SSO set-up.</w:t>
      </w:r>
    </w:p>
    <w:p>
      <w:pPr>
        <w:pStyle w:val="ListParagraph"/>
        <w:numPr>
          <w:ilvl w:val="0"/>
          <w:numId w:val="4"/>
        </w:numPr>
        <w:spacing w:after="60"/>
      </w:pPr>
      <w:r>
        <w:rPr>
          <w:b/>
          <w:bCs/>
        </w:rPr>
        <w:t xml:space="preserve">Parallel run.</w:t>
      </w:r>
      <w:r>
        <w:t xml:space="preserve"> The pilot's existing process (spreadsheets or a legacy tool) runs alongside Nex. The daily reconciliation report is Nex vs the client's figures.</w:t>
      </w:r>
    </w:p>
    <w:p>
      <w:pPr>
        <w:pStyle w:val="ListParagraph"/>
        <w:numPr>
          <w:ilvl w:val="0"/>
          <w:numId w:val="4"/>
        </w:numPr>
        <w:spacing w:after="60"/>
      </w:pPr>
      <w:r>
        <w:t xml:space="preserve">Weekly feedback sessions; the backlog is re-prioritised every sprint. Small fixes release every two weeks.</w:t>
      </w:r>
    </w:p>
    <w:p>
      <w:pPr>
        <w:pStyle w:val="ListParagraph"/>
        <w:numPr>
          <w:ilvl w:val="0"/>
          <w:numId w:val="4"/>
        </w:numPr>
        <w:spacing w:after="60"/>
      </w:pPr>
      <w:r>
        <w:t xml:space="preserve">Instrument and product analytics: time to book a trade, EOD duration, errors caught by maker-checker.</w:t>
      </w:r>
    </w:p>
    <w:p>
      <w:pPr>
        <w:pStyle w:val="ListParagraph"/>
        <w:numPr>
          <w:ilvl w:val="0"/>
          <w:numId w:val="4"/>
        </w:numPr>
        <w:spacing w:after="60"/>
      </w:pPr>
      <w:r>
        <w:t xml:space="preserve">Start the SOC 2 readiness programme (policies, access reviews, change management evidence from CI).</w:t>
      </w:r>
    </w:p>
    <w:p>
      <w:pPr>
        <w:pStyle w:val="ListParagraph"/>
        <w:numPr>
          <w:ilvl w:val="0"/>
          <w:numId w:val="4"/>
        </w:numPr>
        <w:spacing w:after="60"/>
      </w:pPr>
      <w:r>
        <w:t xml:space="preserve">Produce a case study with quantified outcomes (e.g. "EOD P&amp;L from 3 hours to 10 minutes", "zero untracked amendments").</w:t>
      </w:r>
    </w:p>
    <w:p>
      <w:pPr>
        <w:spacing w:after="120"/>
      </w:pPr>
      <w:r>
        <w:rPr>
          <w:b/>
          <w:bCs/>
        </w:rPr>
        <w:t xml:space="preserve">Exit gate:</w:t>
      </w:r>
      <w:r>
        <w:t xml:space="preserve"> 20 consecutive business days of parallel run with P&amp;L within agreed tolerance; pilot sign-off; decision to convert to a paid Starter/Standard subscription; case study approved.</w:t>
      </w:r>
    </w:p>
    <w:p>
      <w:pPr>
        <w:pStyle w:val="Heading2"/>
      </w:pPr>
      <w:r>
        <w:t xml:space="preserve">Stage 3 — Beta (≈6 months)</w:t>
      </w:r>
    </w:p>
    <w:p>
      <w:pPr>
        <w:spacing w:after="120"/>
      </w:pPr>
      <w:r>
        <w:rPr>
          <w:b/>
          <w:bCs/>
        </w:rPr>
        <w:t xml:space="preserve">Objective:</w:t>
      </w:r>
      <w:r>
        <w:t xml:space="preserve"> broaden functionality and harden the SaaS platform for 2–5 clients. This matches the plan's Phase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2"/>
        <w:gridCol w:w="8196"/>
      </w:tblGrid>
      <w:tr>
        <w:trPr>
          <w:cantSplit/>
          <w:tblHeader/>
        </w:trPr>
        <w:tc>
          <w:tcPr>
            <w:tcW w:type="dxa" w:w="1442"/>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Area</w:t>
            </w:r>
          </w:p>
        </w:tc>
        <w:tc>
          <w:tcPr>
            <w:tcW w:type="dxa" w:w="819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Beta scope</w:t>
            </w:r>
          </w:p>
        </w:tc>
      </w:tr>
      <w:tr>
        <w:trPr>
          <w:cantSplit/>
        </w:trPr>
        <w:tc>
          <w:tcPr>
            <w:tcW w:type="dxa" w:w="144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Products</w:t>
            </w:r>
          </w:p>
        </w:tc>
        <w:tc>
          <w:tcPr>
            <w:tcW w:type="dxa" w:w="81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Vanilla IRS (ZARONIA/JIBAR-fallback, SOFR), FRAs, FX swaps, money-market deposits/loans, fixed-rate govt bonds with JSE conventions (books-closed/ex-coupon) if not in MVP, listed equities (positions and P&amp;L), simple FX options (Black-Scholes)</w:t>
            </w:r>
          </w:p>
        </w:tc>
      </w:tr>
      <w:tr>
        <w:trPr>
          <w:cantSplit/>
        </w:trPr>
        <w:tc>
          <w:tcPr>
            <w:tcW w:type="dxa" w:w="144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Risk</w:t>
            </w:r>
          </w:p>
        </w:tc>
        <w:tc>
          <w:tcPr>
            <w:tcW w:type="dxa" w:w="81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DV01/PV01 by bucket, FX delta, Greeks for options; historical VaR (Python analytics service); scenario shifts via </w:t>
            </w:r>
            <w:r>
              <w:rPr>
                <w:rFonts w:ascii="Consolas" w:cs="Consolas" w:eastAsia="Consolas" w:hAnsi="Consolas"/>
                <w:sz w:val="16"/>
                <w:szCs w:val="16"/>
                <w:shd w:fill="EEF1F5" w:color="auto" w:val="clear"/>
              </w:rPr>
              <w:t xml:space="preserve">ScenarioOperator</w:t>
            </w:r>
          </w:p>
        </w:tc>
      </w:tr>
      <w:tr>
        <w:trPr>
          <w:cantSplit/>
        </w:trPr>
        <w:tc>
          <w:tcPr>
            <w:tcW w:type="dxa" w:w="144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Compliance</w:t>
            </w:r>
          </w:p>
        </w:tc>
        <w:tc>
          <w:tcPr>
            <w:tcW w:type="dxa" w:w="81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Pre-trade credit and concentration limits with breach workflow; four-eyes on static data; audit reports for regulators and auditors</w:t>
            </w:r>
          </w:p>
        </w:tc>
      </w:tr>
      <w:tr>
        <w:trPr>
          <w:cantSplit/>
        </w:trPr>
        <w:tc>
          <w:tcPr>
            <w:tcW w:type="dxa" w:w="144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Market data</w:t>
            </w:r>
          </w:p>
        </w:tc>
        <w:tc>
          <w:tcPr>
            <w:tcW w:type="dxa" w:w="81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Vendor EOD feed integration (one vendor), intraday FX/rates polling, curve calibration from market quotes, time-series store</w:t>
            </w:r>
          </w:p>
        </w:tc>
      </w:tr>
      <w:tr>
        <w:trPr>
          <w:cantSplit/>
        </w:trPr>
        <w:tc>
          <w:tcPr>
            <w:tcW w:type="dxa" w:w="144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Workflow automation</w:t>
            </w:r>
          </w:p>
        </w:tc>
        <w:tc>
          <w:tcPr>
            <w:tcW w:type="dxa" w:w="81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Rule-based approvals, EOD scheduling, e-mail alerts; first RPA-friendly endpoints (bulk export/import APIs)</w:t>
            </w:r>
          </w:p>
        </w:tc>
      </w:tr>
      <w:tr>
        <w:trPr>
          <w:cantSplit/>
        </w:trPr>
        <w:tc>
          <w:tcPr>
            <w:tcW w:type="dxa" w:w="144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Integration</w:t>
            </w:r>
          </w:p>
        </w:tc>
        <w:tc>
          <w:tcPr>
            <w:tcW w:type="dxa" w:w="81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SWIFT confirmation (MT300/MT320) through a partner/bureau; generic CSV/API export to core banking/GL</w:t>
            </w:r>
          </w:p>
        </w:tc>
      </w:tr>
      <w:tr>
        <w:trPr>
          <w:cantSplit/>
        </w:trPr>
        <w:tc>
          <w:tcPr>
            <w:tcW w:type="dxa" w:w="144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Platform</w:t>
            </w:r>
          </w:p>
        </w:tc>
        <w:tc>
          <w:tcPr>
            <w:tcW w:type="dxa" w:w="81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Pooled multi-tenancy (schema-per-tenant), Kubernetes + Helm, Kafka/Redpanda event bus, per-tenant encryption keys, multi-AZ, DR test</w:t>
            </w:r>
          </w:p>
        </w:tc>
      </w:tr>
      <w:tr>
        <w:trPr>
          <w:cantSplit/>
        </w:trPr>
        <w:tc>
          <w:tcPr>
            <w:tcW w:type="dxa" w:w="144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Localisation</w:t>
            </w:r>
          </w:p>
        </w:tc>
        <w:tc>
          <w:tcPr>
            <w:tcW w:type="dxa" w:w="81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Multi-currency reporting with FX conversion, locale formats; i18n framework (translations when a client needs them)</w:t>
            </w:r>
          </w:p>
        </w:tc>
      </w:tr>
      <w:tr>
        <w:trPr>
          <w:cantSplit/>
        </w:trPr>
        <w:tc>
          <w:tcPr>
            <w:tcW w:type="dxa" w:w="144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Assurance</w:t>
            </w:r>
          </w:p>
        </w:tc>
        <w:tc>
          <w:tcPr>
            <w:tcW w:type="dxa" w:w="81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SOC 2 Type I report; load test (e.g. 50k live trades, 100 concurrent users, p95 &lt; 1 s)</w:t>
            </w:r>
          </w:p>
        </w:tc>
      </w:tr>
    </w:tbl>
    <w:p>
      <w:pPr>
        <w:spacing w:after="120"/>
      </w:pPr>
    </w:p>
    <w:p>
      <w:pPr>
        <w:spacing w:after="120"/>
      </w:pPr>
      <w:r>
        <w:rPr>
          <w:b/>
          <w:bCs/>
        </w:rPr>
        <w:t xml:space="preserve">Exit gate:</w:t>
      </w:r>
      <w:r>
        <w:t xml:space="preserve"> 2+ paying clients live; SOC 2 Type I achieved; performance and DR targets met; tier packaging agreed (§5.2).</w:t>
      </w:r>
    </w:p>
    <w:p>
      <w:pPr>
        <w:pStyle w:val="Heading2"/>
      </w:pPr>
      <w:r>
        <w:t xml:space="preserve">Stage 4 — General availability (target Apr 2028)</w:t>
      </w:r>
    </w:p>
    <w:p>
      <w:pPr>
        <w:pStyle w:val="ListParagraph"/>
        <w:numPr>
          <w:ilvl w:val="0"/>
          <w:numId w:val="4"/>
        </w:numPr>
        <w:spacing w:after="60"/>
      </w:pPr>
      <w:r>
        <w:t xml:space="preserve">Commercial packaging live: Starter / Standard / Enterprise tiers with feature flags per module and usage metering.</w:t>
      </w:r>
    </w:p>
    <w:p>
      <w:pPr>
        <w:pStyle w:val="ListParagraph"/>
        <w:numPr>
          <w:ilvl w:val="0"/>
          <w:numId w:val="4"/>
        </w:numPr>
        <w:spacing w:after="60"/>
      </w:pPr>
      <w:r>
        <w:t xml:space="preserve">Self-service tenant provisioning, onboarding playbook (≤ 6 weeks from contract to go-live), customer-facing documentation, API portal, support desk with SLAs.</w:t>
      </w:r>
    </w:p>
    <w:p>
      <w:pPr>
        <w:pStyle w:val="ListParagraph"/>
        <w:numPr>
          <w:ilvl w:val="0"/>
          <w:numId w:val="4"/>
        </w:numPr>
        <w:spacing w:after="60"/>
      </w:pPr>
      <w:r>
        <w:t xml:space="preserve">Full reporting suite with a template library and report designer.</w:t>
      </w:r>
    </w:p>
    <w:p>
      <w:pPr>
        <w:pStyle w:val="ListParagraph"/>
        <w:numPr>
          <w:ilvl w:val="0"/>
          <w:numId w:val="4"/>
        </w:numPr>
        <w:spacing w:after="60"/>
      </w:pPr>
      <w:r>
        <w:t xml:space="preserve">Stress testing and scenario library; regulatory report packs per pilot jurisdiction.</w:t>
      </w:r>
    </w:p>
    <w:p>
      <w:pPr>
        <w:pStyle w:val="ListParagraph"/>
        <w:numPr>
          <w:ilvl w:val="0"/>
          <w:numId w:val="4"/>
        </w:numPr>
        <w:spacing w:after="60"/>
      </w:pPr>
      <w:r>
        <w:t xml:space="preserve">SOC 2 Type II observation period under way; cyber insurance in place.</w:t>
      </w:r>
    </w:p>
    <w:p>
      <w:pPr>
        <w:pStyle w:val="ListParagraph"/>
        <w:numPr>
          <w:ilvl w:val="0"/>
          <w:numId w:val="4"/>
        </w:numPr>
        <w:spacing w:after="60"/>
      </w:pPr>
      <w:r>
        <w:t xml:space="preserve">Marketplace listings (AWS/Azure) and reseller and partner certification (from the plan's GTM section).</w:t>
      </w:r>
    </w:p>
    <w:p>
      <w:pPr>
        <w:pStyle w:val="Heading2"/>
      </w:pPr>
      <w:r>
        <w:t xml:space="preserve">Stage 5 — Scale &amp; advanced modules (2028+)</w:t>
      </w:r>
    </w:p>
    <w:p>
      <w:pPr>
        <w:pStyle w:val="ListParagraph"/>
        <w:numPr>
          <w:ilvl w:val="0"/>
          <w:numId w:val="4"/>
        </w:numPr>
        <w:spacing w:after="60"/>
      </w:pPr>
      <w:r>
        <w:rPr>
          <w:b/>
          <w:bCs/>
        </w:rPr>
        <w:t xml:space="preserve">AI anomaly detection</w:t>
      </w:r>
      <w:r>
        <w:t xml:space="preserve"> add-on: unusual trades, cancellation spikes, off-market prices, built on the audit and event history already collected since MVP.</w:t>
      </w:r>
    </w:p>
    <w:p>
      <w:pPr>
        <w:pStyle w:val="ListParagraph"/>
        <w:numPr>
          <w:ilvl w:val="0"/>
          <w:numId w:val="4"/>
        </w:numPr>
        <w:spacing w:after="60"/>
      </w:pPr>
      <w:r>
        <w:rPr>
          <w:b/>
          <w:bCs/>
        </w:rPr>
        <w:t xml:space="preserve">ML insights</w:t>
      </w:r>
      <w:r>
        <w:t xml:space="preserve">, </w:t>
      </w:r>
      <w:r>
        <w:rPr>
          <w:b/>
          <w:bCs/>
        </w:rPr>
        <w:t xml:space="preserve">NLG report commentary</w:t>
      </w:r>
      <w:r>
        <w:t xml:space="preserve">, pre-built </w:t>
      </w:r>
      <w:r>
        <w:rPr>
          <w:b/>
          <w:bCs/>
        </w:rPr>
        <w:t xml:space="preserve">RPA</w:t>
      </w:r>
      <w:r>
        <w:t xml:space="preserve"> bots (reconciliations, regulator portal uploads).</w:t>
      </w:r>
    </w:p>
    <w:p>
      <w:pPr>
        <w:pStyle w:val="ListParagraph"/>
        <w:numPr>
          <w:ilvl w:val="0"/>
          <w:numId w:val="4"/>
        </w:numPr>
        <w:spacing w:after="60"/>
      </w:pPr>
      <w:r>
        <w:t xml:space="preserve">Commodities and more complex derivatives; FIX order routing for execution.</w:t>
      </w:r>
    </w:p>
    <w:p>
      <w:pPr>
        <w:pStyle w:val="ListParagraph"/>
        <w:numPr>
          <w:ilvl w:val="0"/>
          <w:numId w:val="4"/>
        </w:numPr>
        <w:spacing w:after="60"/>
      </w:pPr>
      <w:r>
        <w:t xml:space="preserve">Extract the </w:t>
      </w:r>
      <w:r>
        <w:rPr>
          <w:b/>
          <w:bCs/>
        </w:rPr>
        <w:t xml:space="preserve">pricing/risk grid</w:t>
      </w:r>
      <w:r>
        <w:t xml:space="preserve"> as a separate horizontally-scalable service; extract other modules only where load or team structure justifies it.</w:t>
      </w:r>
    </w:p>
    <w:p>
      <w:pPr>
        <w:pStyle w:val="ListParagraph"/>
        <w:numPr>
          <w:ilvl w:val="0"/>
          <w:numId w:val="4"/>
        </w:numPr>
        <w:spacing w:after="60"/>
      </w:pPr>
      <w:r>
        <w:t xml:space="preserve">DLT/tokenised-asset adapters and a crypto-agility (post-quantum) roadmap, as the plan's forward-looking claims describe.</w:t>
      </w:r>
    </w:p>
    <w:p>
      <w:pPr>
        <w:pStyle w:val="ListParagraph"/>
        <w:numPr>
          <w:ilvl w:val="0"/>
          <w:numId w:val="4"/>
        </w:numPr>
        <w:spacing w:after="60"/>
      </w:pPr>
      <w:r>
        <w:t xml:space="preserve">New jurisdictions (reporting packs, calendars, indices) through partners.</w:t>
      </w:r>
    </w:p>
    <w:p>
      <w:pPr>
        <w:pStyle w:val="Heading2"/>
      </w:pPr>
      <w:r>
        <w:t xml:space="preserve">5.2 Modules mapped to commercial 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16"/>
        <w:gridCol w:w="891"/>
        <w:gridCol w:w="893"/>
        <w:gridCol w:w="1060"/>
        <w:gridCol w:w="1578"/>
      </w:tblGrid>
      <w:tr>
        <w:trPr>
          <w:cantSplit/>
          <w:tblHeader/>
        </w:trPr>
        <w:tc>
          <w:tcPr>
            <w:tcW w:type="dxa" w:w="521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Module</w:t>
            </w:r>
          </w:p>
        </w:tc>
        <w:tc>
          <w:tcPr>
            <w:tcW w:type="dxa" w:w="891"/>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center"/>
            </w:pPr>
            <w:r>
              <w:rPr>
                <w:b/>
                <w:bCs/>
                <w:color w:val="FFFFFF"/>
                <w:sz w:val="18"/>
                <w:szCs w:val="18"/>
              </w:rPr>
              <w:t xml:space="preserve">Starter</w:t>
            </w:r>
          </w:p>
        </w:tc>
        <w:tc>
          <w:tcPr>
            <w:tcW w:type="dxa" w:w="893"/>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center"/>
            </w:pPr>
            <w:r>
              <w:rPr>
                <w:b/>
                <w:bCs/>
                <w:color w:val="FFFFFF"/>
                <w:sz w:val="18"/>
                <w:szCs w:val="18"/>
              </w:rPr>
              <w:t xml:space="preserve">Standard</w:t>
            </w:r>
          </w:p>
        </w:tc>
        <w:tc>
          <w:tcPr>
            <w:tcW w:type="dxa" w:w="1060"/>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center"/>
            </w:pPr>
            <w:r>
              <w:rPr>
                <w:b/>
                <w:bCs/>
                <w:color w:val="FFFFFF"/>
                <w:sz w:val="18"/>
                <w:szCs w:val="18"/>
              </w:rPr>
              <w:t xml:space="preserve">Enterprise</w:t>
            </w:r>
          </w:p>
        </w:tc>
        <w:tc>
          <w:tcPr>
            <w:tcW w:type="dxa" w:w="1578"/>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Available from</w:t>
            </w:r>
          </w:p>
        </w:tc>
      </w:tr>
      <w:tr>
        <w:trPr>
          <w:cantSplit/>
        </w:trPr>
        <w:tc>
          <w:tcPr>
            <w:tcW w:type="dxa" w:w="52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Trade capture, blotter, refdata, audit</w:t>
            </w:r>
          </w:p>
        </w:tc>
        <w:tc>
          <w:tcPr>
            <w:tcW w:type="dxa" w:w="89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52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Positions, P&amp;L, EOD, standard reports</w:t>
            </w:r>
          </w:p>
        </w:tc>
        <w:tc>
          <w:tcPr>
            <w:tcW w:type="dxa" w:w="89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52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Confirmations (PDF/e-mail)</w:t>
            </w:r>
          </w:p>
        </w:tc>
        <w:tc>
          <w:tcPr>
            <w:tcW w:type="dxa" w:w="89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52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Maker-checker workflow</w:t>
            </w:r>
          </w:p>
        </w:tc>
        <w:tc>
          <w:tcPr>
            <w:tcW w:type="dxa" w:w="89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w:t>
            </w:r>
          </w:p>
        </w:tc>
      </w:tr>
      <w:tr>
        <w:trPr>
          <w:cantSplit/>
        </w:trPr>
        <w:tc>
          <w:tcPr>
            <w:tcW w:type="dxa" w:w="52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Additional asset classes</w:t>
            </w:r>
          </w:p>
        </w:tc>
        <w:tc>
          <w:tcPr>
            <w:tcW w:type="dxa" w:w="89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limited</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Beta</w:t>
            </w:r>
          </w:p>
        </w:tc>
      </w:tr>
      <w:tr>
        <w:trPr>
          <w:cantSplit/>
        </w:trPr>
        <w:tc>
          <w:tcPr>
            <w:tcW w:type="dxa" w:w="52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Limits &amp; pre-trade checks</w:t>
            </w:r>
          </w:p>
        </w:tc>
        <w:tc>
          <w:tcPr>
            <w:tcW w:type="dxa" w:w="89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Beta</w:t>
            </w:r>
          </w:p>
        </w:tc>
      </w:tr>
      <w:tr>
        <w:trPr>
          <w:cantSplit/>
        </w:trPr>
        <w:tc>
          <w:tcPr>
            <w:tcW w:type="dxa" w:w="52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Risk (sensitivities, VaR, stress)</w:t>
            </w:r>
          </w:p>
        </w:tc>
        <w:tc>
          <w:tcPr>
            <w:tcW w:type="dxa" w:w="89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Beta/GA</w:t>
            </w:r>
          </w:p>
        </w:tc>
      </w:tr>
      <w:tr>
        <w:trPr>
          <w:cantSplit/>
        </w:trPr>
        <w:tc>
          <w:tcPr>
            <w:tcW w:type="dxa" w:w="52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SWIFT/FIX/vendor integrations</w:t>
            </w:r>
          </w:p>
        </w:tc>
        <w:tc>
          <w:tcPr>
            <w:tcW w:type="dxa" w:w="89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add-on</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add-on</w:t>
            </w:r>
          </w:p>
        </w:tc>
        <w:tc>
          <w:tcPr>
            <w:tcW w:type="dxa" w:w="106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Beta+</w:t>
            </w:r>
          </w:p>
        </w:tc>
      </w:tr>
      <w:tr>
        <w:trPr>
          <w:cantSplit/>
        </w:trPr>
        <w:tc>
          <w:tcPr>
            <w:tcW w:type="dxa" w:w="52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AI anomaly detection / ML / RPA</w:t>
            </w:r>
          </w:p>
        </w:tc>
        <w:tc>
          <w:tcPr>
            <w:tcW w:type="dxa" w:w="89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add-on</w:t>
            </w:r>
          </w:p>
        </w:tc>
        <w:tc>
          <w:tcPr>
            <w:tcW w:type="dxa" w:w="106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center"/>
            </w:pPr>
            <w:r>
              <w:rPr>
                <w:sz w:val="18"/>
                <w:szCs w:val="18"/>
              </w:rPr>
              <w:t xml:space="preserve">add-on</w:t>
            </w:r>
          </w:p>
        </w:tc>
        <w:tc>
          <w:tcPr>
            <w:tcW w:type="dxa" w:w="157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GA+</w:t>
            </w:r>
          </w:p>
        </w:tc>
      </w:tr>
      <w:tr>
        <w:trPr>
          <w:cantSplit/>
        </w:trPr>
        <w:tc>
          <w:tcPr>
            <w:tcW w:type="dxa" w:w="52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Dedicated / private-cloud deployment</w:t>
            </w:r>
          </w:p>
        </w:tc>
        <w:tc>
          <w:tcPr>
            <w:tcW w:type="dxa" w:w="89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06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center"/>
            </w:pPr>
            <w:r>
              <w:rPr>
                <w:sz w:val="18"/>
                <w:szCs w:val="18"/>
              </w:rPr>
              <w:t xml:space="preserve">✓</w:t>
            </w:r>
          </w:p>
        </w:tc>
        <w:tc>
          <w:tcPr>
            <w:tcW w:type="dxa" w:w="157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GA</w:t>
            </w:r>
          </w:p>
        </w:tc>
      </w:tr>
    </w:tbl>
    <w:p>
      <w:pPr>
        <w:spacing w:after="120"/>
      </w:pPr>
    </w:p>
    <w:p>
      <w:r>
        <w:br w:type="page"/>
      </w:r>
    </w:p>
    <w:p>
      <w:pPr>
        <w:pStyle w:val="Heading1"/>
      </w:pPr>
      <w:r>
        <w:t xml:space="preserve">6. MVP playbook — how we get to MVP</w:t>
      </w:r>
    </w:p>
    <w:p>
      <w:pPr>
        <w:pStyle w:val="Heading2"/>
      </w:pPr>
      <w:r>
        <w:t xml:space="preserve">6.1 MVP definition</w:t>
      </w:r>
    </w:p>
    <w:p>
      <w:pPr>
        <w:pBdr>
          <w:left w:val="single" w:color="C78A1A" w:sz="18" w:space="8"/>
        </w:pBdr>
        <w:shd w:fill="FFF6E5" w:color="auto" w:val="clear"/>
        <w:spacing w:after="120"/>
        <w:ind w:left="360"/>
      </w:pPr>
      <w:r>
        <w:rPr>
          <w:b/>
          <w:bCs/>
          <w:i/>
          <w:iCs/>
          <w:color w:val="4A3B1A"/>
        </w:rPr>
        <w:t xml:space="preserve">Nex MVP</w:t>
      </w:r>
      <w:r>
        <w:rPr>
          <w:i/>
          <w:iCs/>
          <w:color w:val="4A3B1A"/>
        </w:rPr>
        <w:t xml:space="preserve"> is a secure, cloud-hosted, web-based platform that lets a treasury or trading desk </w:t>
      </w:r>
      <w:r>
        <w:rPr>
          <w:b/>
          <w:bCs/>
          <w:i/>
          <w:iCs/>
          <w:color w:val="4A3B1A"/>
        </w:rPr>
        <w:t xml:space="preserve">capture, approve, value and report</w:t>
      </w:r>
      <w:r>
        <w:rPr>
          <w:i/>
          <w:iCs/>
          <w:color w:val="4A3B1A"/>
        </w:rPr>
        <w:t xml:space="preserve"> its FX and interest-rate trades end to end, with a complete audit trail. It replaces the spreadsheet-based EOD P&amp;L process for at least one pilot desk.</w:t>
      </w:r>
    </w:p>
    <w:p>
      <w:pPr>
        <w:spacing w:after="120"/>
      </w:pPr>
      <w:r>
        <w:t xml:space="preserve">The goal is to prove the core loop — </w:t>
      </w:r>
      <w:r>
        <w:rPr>
          <w:b/>
          <w:bCs/>
        </w:rPr>
        <w:t xml:space="preserve">book → approve → value → position/P&amp;L → report → audit</w:t>
      </w:r>
      <w:r>
        <w:t xml:space="preserve"> — on real client data. It is not to cover every asset class.</w:t>
      </w:r>
    </w:p>
    <w:p>
      <w:pPr>
        <w:pStyle w:val="Heading2"/>
      </w:pPr>
      <w:r>
        <w:t xml:space="preserve">6.2 Scope</w:t>
      </w:r>
    </w:p>
    <w:p>
      <w:pPr>
        <w:spacing w:after="120"/>
      </w:pPr>
      <w:r>
        <w:rPr>
          <w:b/>
          <w:bCs/>
        </w:rPr>
        <w:t xml:space="preserve">Asset classes (Decision D2).</w:t>
      </w:r>
      <w:r>
        <w:t xml:space="preserve"> The plan's Phase 1 says "FX and equities". The existing code, the SA treasury market and the ZARONIA transition all point to rates. </w:t>
      </w:r>
      <w:r>
        <w:rPr>
          <w:b/>
          <w:bCs/>
        </w:rPr>
        <w:t xml:space="preserve">Recommendation: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7"/>
        <w:gridCol w:w="1055"/>
        <w:gridCol w:w="5126"/>
      </w:tblGrid>
      <w:tr>
        <w:trPr>
          <w:cantSplit/>
          <w:tblHeader/>
        </w:trPr>
        <w:tc>
          <w:tcPr>
            <w:tcW w:type="dxa" w:w="3457"/>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Product</w:t>
            </w:r>
          </w:p>
        </w:tc>
        <w:tc>
          <w:tcPr>
            <w:tcW w:type="dxa" w:w="1055"/>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MVP</w:t>
            </w:r>
          </w:p>
        </w:tc>
        <w:tc>
          <w:tcPr>
            <w:tcW w:type="dxa" w:w="512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Why</w:t>
            </w:r>
          </w:p>
        </w:tc>
      </w:tr>
      <w:tr>
        <w:trPr>
          <w:cantSplit/>
        </w:trPr>
        <w:tc>
          <w:tcPr>
            <w:tcW w:type="dxa" w:w="345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FX spot and forward</w:t>
            </w:r>
          </w:p>
        </w:tc>
        <w:tc>
          <w:tcPr>
            <w:tcW w:type="dxa" w:w="105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w:t>
            </w:r>
          </w:p>
        </w:tc>
        <w:tc>
          <w:tcPr>
            <w:tcW w:type="dxa" w:w="51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Every treasury desk has it; simple pricing; high demo value</w:t>
            </w:r>
          </w:p>
        </w:tc>
      </w:tr>
      <w:tr>
        <w:trPr>
          <w:cantSplit/>
        </w:trPr>
        <w:tc>
          <w:tcPr>
            <w:tcW w:type="dxa" w:w="345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OIS (ZARONIA, SOFR)</w:t>
            </w:r>
          </w:p>
        </w:tc>
        <w:tc>
          <w:tcPr>
            <w:tcW w:type="dxa" w:w="105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w:t>
            </w:r>
          </w:p>
        </w:tc>
        <w:tc>
          <w:tcPr>
            <w:tcW w:type="dxa" w:w="51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Existing prototype and domain work; topical because of the JIBAR→ZARONIA transition</w:t>
            </w:r>
          </w:p>
        </w:tc>
      </w:tr>
      <w:tr>
        <w:trPr>
          <w:cantSplit/>
        </w:trPr>
        <w:tc>
          <w:tcPr>
            <w:tcW w:type="dxa" w:w="345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Fixed-rate government bond (buy/sell, accrued, clean/dirty)</w:t>
            </w:r>
          </w:p>
        </w:tc>
        <w:tc>
          <w:tcPr>
            <w:tcW w:type="dxa" w:w="105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 </w:t>
            </w:r>
            <w:r>
              <w:rPr>
                <w:i/>
                <w:iCs/>
                <w:sz w:val="18"/>
                <w:szCs w:val="18"/>
              </w:rPr>
              <w:t xml:space="preserve">stretch</w:t>
            </w:r>
          </w:p>
        </w:tc>
        <w:tc>
          <w:tcPr>
            <w:tcW w:type="dxa" w:w="51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Common holding for regional banks; the JavaFX form already exists</w:t>
            </w:r>
          </w:p>
        </w:tc>
      </w:tr>
      <w:tr>
        <w:trPr>
          <w:cantSplit/>
        </w:trPr>
        <w:tc>
          <w:tcPr>
            <w:tcW w:type="dxa" w:w="345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Money-market deposit/loan</w:t>
            </w:r>
          </w:p>
        </w:tc>
        <w:tc>
          <w:tcPr>
            <w:tcW w:type="dxa" w:w="1055"/>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 </w:t>
            </w:r>
            <w:r>
              <w:rPr>
                <w:i/>
                <w:iCs/>
                <w:sz w:val="18"/>
                <w:szCs w:val="18"/>
              </w:rPr>
              <w:t xml:space="preserve">stretch</w:t>
            </w:r>
          </w:p>
        </w:tc>
        <w:tc>
          <w:tcPr>
            <w:tcW w:type="dxa" w:w="51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Simple, and covers the existing "Loan Trade" form</w:t>
            </w:r>
          </w:p>
        </w:tc>
      </w:tr>
      <w:tr>
        <w:trPr>
          <w:cantSplit/>
        </w:trPr>
        <w:tc>
          <w:tcPr>
            <w:tcW w:type="dxa" w:w="345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Equities, IRS vs JIBAR, options</w:t>
            </w:r>
          </w:p>
        </w:tc>
        <w:tc>
          <w:tcPr>
            <w:tcW w:type="dxa" w:w="1055"/>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 → Beta</w:t>
            </w:r>
          </w:p>
        </w:tc>
        <w:tc>
          <w:tcPr>
            <w:tcW w:type="dxa" w:w="51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Keep the MVP small</w:t>
            </w:r>
          </w:p>
        </w:tc>
      </w:tr>
    </w:tbl>
    <w:p>
      <w:pPr>
        <w:spacing w:after="120"/>
      </w:pPr>
    </w:p>
    <w:p>
      <w:pPr>
        <w:spacing w:after="120"/>
      </w:pPr>
      <w:r>
        <w:t xml:space="preserve">Confirm the final list with the pilot client in Stage 0. Their actual trading mix wins.</w:t>
      </w:r>
    </w:p>
    <w:p>
      <w:pPr>
        <w:spacing w:after="120"/>
      </w:pPr>
      <w:r>
        <w:rPr>
          <w:b/>
          <w:bCs/>
        </w:rPr>
        <w:t xml:space="preserve">In scope:</w:t>
      </w:r>
    </w:p>
    <w:p>
      <w:pPr>
        <w:pStyle w:val="ListParagraph"/>
        <w:numPr>
          <w:ilvl w:val="0"/>
          <w:numId w:val="5"/>
        </w:numPr>
        <w:spacing w:after="60"/>
      </w:pPr>
      <w:r>
        <w:rPr>
          <w:b/>
          <w:bCs/>
        </w:rPr>
        <w:t xml:space="preserve">Access &amp; security:</w:t>
      </w:r>
      <w:r>
        <w:t xml:space="preserve"> Keycloak login with MFA; roles Trader, Middle Office (checker), Risk/Finance (read + EOD), Admin, Auditor (read-only); tenant-scoped data.</w:t>
      </w:r>
    </w:p>
    <w:p>
      <w:pPr>
        <w:pStyle w:val="ListParagraph"/>
        <w:numPr>
          <w:ilvl w:val="0"/>
          <w:numId w:val="5"/>
        </w:numPr>
        <w:spacing w:after="60"/>
      </w:pPr>
      <w:r>
        <w:rPr>
          <w:b/>
          <w:bCs/>
        </w:rPr>
        <w:t xml:space="preserve">Reference data:</w:t>
      </w:r>
      <w:r>
        <w:t xml:space="preserve"> counterparties, books/portfolios, currencies, calendars (ZAJO, USNY, GBLO), indices (ZARONIA, SOFR), products. Admin UI plus CSV bulk import; changes audited.</w:t>
      </w:r>
    </w:p>
    <w:p>
      <w:pPr>
        <w:pStyle w:val="ListParagraph"/>
        <w:numPr>
          <w:ilvl w:val="0"/>
          <w:numId w:val="5"/>
        </w:numPr>
        <w:spacing w:after="60"/>
      </w:pPr>
      <w:r>
        <w:rPr>
          <w:b/>
          <w:bCs/>
        </w:rPr>
        <w:t xml:space="preserve">Trade capture:</w:t>
      </w:r>
      <w:r>
        <w:t xml:space="preserve"> schema-driven ticket per product with validation (dates vs calendar, tenor → maturity, required fields); save as draft; book; amend (new version); cancel with a reason; clone. Trade blotter with filters, live updates and export.</w:t>
      </w:r>
    </w:p>
    <w:p>
      <w:pPr>
        <w:pStyle w:val="ListParagraph"/>
        <w:numPr>
          <w:ilvl w:val="0"/>
          <w:numId w:val="5"/>
        </w:numPr>
        <w:spacing w:after="60"/>
      </w:pPr>
      <w:r>
        <w:rPr>
          <w:b/>
          <w:bCs/>
        </w:rPr>
        <w:t xml:space="preserve">Workflow:</w:t>
      </w:r>
      <w:r>
        <w:t xml:space="preserve"> maker-checker when notional exceeds a per-book threshold; approval inbox; rejection with a reason.</w:t>
      </w:r>
    </w:p>
    <w:p>
      <w:pPr>
        <w:pStyle w:val="ListParagraph"/>
        <w:numPr>
          <w:ilvl w:val="0"/>
          <w:numId w:val="5"/>
        </w:numPr>
        <w:spacing w:after="60"/>
      </w:pPr>
      <w:r>
        <w:rPr>
          <w:b/>
          <w:bCs/>
        </w:rPr>
        <w:t xml:space="preserve">Market data:</w:t>
      </w:r>
      <w:r>
        <w:t xml:space="preserve"> upload FX rates, OIS/deposit quotes or discount factors, fixings and bond prices through CSV/XLSX templates. Validation (gaps, stale values, outliers) with a report; snapshot per business date; manual seal at EOD.</w:t>
      </w:r>
    </w:p>
    <w:p>
      <w:pPr>
        <w:pStyle w:val="ListParagraph"/>
        <w:numPr>
          <w:ilvl w:val="0"/>
          <w:numId w:val="5"/>
        </w:numPr>
        <w:spacing w:after="60"/>
      </w:pPr>
      <w:r>
        <w:rPr>
          <w:b/>
          <w:bCs/>
        </w:rPr>
        <w:t xml:space="preserve">Valuation:</w:t>
      </w:r>
      <w:r>
        <w:t xml:space="preserve"> PV and cashflows (projected and realised) for each MVP product via </w:t>
      </w:r>
      <w:r>
        <w:rPr>
          <w:rFonts w:ascii="Consolas" w:cs="Consolas" w:eastAsia="Consolas" w:hAnsi="Consolas"/>
          <w:sz w:val="18"/>
          <w:szCs w:val="18"/>
          <w:shd w:fill="EEF1F5" w:color="auto" w:val="clear"/>
        </w:rPr>
        <w:t xml:space="preserve">nex-quant</w:t>
      </w:r>
      <w:r>
        <w:t xml:space="preserve">. OIS curve built from quotes (or from supplied discount factors if calibration moves to Beta). DV01 for OIS and bonds. Intraday revaluation on trade events and market-data uploads.</w:t>
      </w:r>
    </w:p>
    <w:p>
      <w:pPr>
        <w:pStyle w:val="ListParagraph"/>
        <w:numPr>
          <w:ilvl w:val="0"/>
          <w:numId w:val="5"/>
        </w:numPr>
        <w:spacing w:after="60"/>
      </w:pPr>
      <w:r>
        <w:rPr>
          <w:b/>
          <w:bCs/>
        </w:rPr>
        <w:t xml:space="preserve">Positions &amp; P&amp;L:</w:t>
      </w:r>
      <w:r>
        <w:t xml:space="preserve"> positions by book, instrument and currency. Daily P&amp;L = ΔMTM + realised cashflows, split into new-trade and existing-trade P&amp;L. P&amp;L in trade currency and reporting currency (ZAR).</w:t>
      </w:r>
    </w:p>
    <w:p>
      <w:pPr>
        <w:pStyle w:val="ListParagraph"/>
        <w:numPr>
          <w:ilvl w:val="0"/>
          <w:numId w:val="5"/>
        </w:numPr>
        <w:spacing w:after="60"/>
      </w:pPr>
      <w:r>
        <w:rPr>
          <w:b/>
          <w:bCs/>
        </w:rPr>
        <w:t xml:space="preserve">EOD process:</w:t>
      </w:r>
      <w:r>
        <w:t xml:space="preserve"> one-click or scheduled EOD with a progress screen: seal snapshot → revalue → P&amp;L → reports → roll the date. Idempotent re-run.</w:t>
      </w:r>
    </w:p>
    <w:p>
      <w:pPr>
        <w:pStyle w:val="ListParagraph"/>
        <w:numPr>
          <w:ilvl w:val="0"/>
          <w:numId w:val="5"/>
        </w:numPr>
        <w:spacing w:after="60"/>
      </w:pPr>
      <w:r>
        <w:rPr>
          <w:b/>
          <w:bCs/>
        </w:rPr>
        <w:t xml:space="preserve">Confirmations:</w:t>
      </w:r>
      <w:r>
        <w:t xml:space="preserve"> PDF confirmation from a template per product; e-mail to the counterparty address from refdata; status (Generated/Sent).</w:t>
      </w:r>
    </w:p>
    <w:p>
      <w:pPr>
        <w:pStyle w:val="ListParagraph"/>
        <w:numPr>
          <w:ilvl w:val="0"/>
          <w:numId w:val="5"/>
        </w:numPr>
        <w:spacing w:after="60"/>
      </w:pPr>
      <w:r>
        <w:rPr>
          <w:b/>
          <w:bCs/>
        </w:rPr>
        <w:t xml:space="preserve">Reports:</w:t>
      </w:r>
      <w:r>
        <w:t xml:space="preserve"> blotter, positions, daily P&amp;L, cashflow ladder, market-data snapshot, audit trail. Export to XLSX/CSV/PDF.</w:t>
      </w:r>
    </w:p>
    <w:p>
      <w:pPr>
        <w:pStyle w:val="ListParagraph"/>
        <w:numPr>
          <w:ilvl w:val="0"/>
          <w:numId w:val="5"/>
        </w:numPr>
        <w:spacing w:after="60"/>
      </w:pPr>
      <w:r>
        <w:rPr>
          <w:b/>
          <w:bCs/>
        </w:rPr>
        <w:t xml:space="preserve">Audit:</w:t>
      </w:r>
      <w:r>
        <w:t xml:space="preserve"> every create/update/approve/login/export is recorded with before/after values; searchable audit screen; export.</w:t>
      </w:r>
    </w:p>
    <w:p>
      <w:pPr>
        <w:pStyle w:val="ListParagraph"/>
        <w:numPr>
          <w:ilvl w:val="0"/>
          <w:numId w:val="5"/>
        </w:numPr>
        <w:spacing w:after="60"/>
      </w:pPr>
      <w:r>
        <w:rPr>
          <w:b/>
          <w:bCs/>
        </w:rPr>
        <w:t xml:space="preserve">Operations:</w:t>
      </w:r>
      <w:r>
        <w:t xml:space="preserve"> health dashboards, structured logs, alerting on EOD failure, daily backups with PITR.</w:t>
      </w:r>
    </w:p>
    <w:p>
      <w:pPr>
        <w:spacing w:after="120"/>
      </w:pPr>
      <w:r>
        <w:rPr>
          <w:b/>
          <w:bCs/>
        </w:rPr>
        <w:t xml:space="preserve">Explicitly out of scope for MVP:</w:t>
      </w:r>
      <w:r>
        <w:t xml:space="preserve"> VaR and Greeks beyond DV01, credit limits, SWIFT/FIX, live vendor feeds, multi-tenant pooling, mobile UI, i18n translations, AI/RPA, report designer.</w:t>
      </w:r>
    </w:p>
    <w:p>
      <w:pPr>
        <w:pStyle w:val="Heading2"/>
      </w:pPr>
      <w:r>
        <w:t xml:space="preserve">6.3 Acceptance criteria (MVP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4"/>
        <w:gridCol w:w="1516"/>
        <w:gridCol w:w="7118"/>
      </w:tblGrid>
      <w:tr>
        <w:trPr>
          <w:cantSplit/>
          <w:tblHeader/>
        </w:trPr>
        <w:tc>
          <w:tcPr>
            <w:tcW w:type="dxa" w:w="1004"/>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w:t>
            </w:r>
          </w:p>
        </w:tc>
        <w:tc>
          <w:tcPr>
            <w:tcW w:type="dxa" w:w="151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Criterion</w:t>
            </w:r>
          </w:p>
        </w:tc>
        <w:tc>
          <w:tcPr>
            <w:tcW w:type="dxa" w:w="7118"/>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Measure</w:t>
            </w:r>
          </w:p>
        </w:tc>
      </w:tr>
      <w:tr>
        <w:trPr>
          <w:cantSplit/>
        </w:trPr>
        <w:tc>
          <w:tcPr>
            <w:tcW w:type="dxa" w:w="100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A1</w:t>
            </w:r>
          </w:p>
        </w:tc>
        <w:tc>
          <w:tcPr>
            <w:tcW w:type="dxa" w:w="15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Pricing accuracy</w:t>
            </w:r>
          </w:p>
        </w:tc>
        <w:tc>
          <w:tcPr>
            <w:tcW w:type="dxa" w:w="711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OIS/FX forward/bond PVs match independent QuantLib (or pilot/Bloomberg) values within </w:t>
            </w:r>
            <w:r>
              <w:rPr>
                <w:b/>
                <w:bCs/>
                <w:sz w:val="18"/>
                <w:szCs w:val="18"/>
              </w:rPr>
              <w:t xml:space="preserve">0.5 bp</w:t>
            </w:r>
            <w:r>
              <w:rPr>
                <w:sz w:val="18"/>
                <w:szCs w:val="18"/>
              </w:rPr>
              <w:t xml:space="preserve"> equivalent or </w:t>
            </w:r>
            <w:r>
              <w:rPr>
                <w:b/>
                <w:bCs/>
                <w:sz w:val="18"/>
                <w:szCs w:val="18"/>
              </w:rPr>
              <w:t xml:space="preserve">ZAR 100 per ZAR 100m notional</w:t>
            </w:r>
            <w:r>
              <w:rPr>
                <w:sz w:val="18"/>
                <w:szCs w:val="18"/>
              </w:rPr>
              <w:t xml:space="preserve"> across the pilot's trade set</w:t>
            </w:r>
          </w:p>
        </w:tc>
      </w:tr>
      <w:tr>
        <w:trPr>
          <w:cantSplit/>
        </w:trPr>
        <w:tc>
          <w:tcPr>
            <w:tcW w:type="dxa" w:w="100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A2</w:t>
            </w:r>
          </w:p>
        </w:tc>
        <w:tc>
          <w:tcPr>
            <w:tcW w:type="dxa" w:w="15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Workflow correctness</w:t>
            </w:r>
          </w:p>
        </w:tc>
        <w:tc>
          <w:tcPr>
            <w:tcW w:type="dxa" w:w="711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100% of trades above the threshold require a distinct checker; no path books a trade without an audit event (automated test)</w:t>
            </w:r>
          </w:p>
        </w:tc>
      </w:tr>
      <w:tr>
        <w:trPr>
          <w:cantSplit/>
        </w:trPr>
        <w:tc>
          <w:tcPr>
            <w:tcW w:type="dxa" w:w="100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A3</w:t>
            </w:r>
          </w:p>
        </w:tc>
        <w:tc>
          <w:tcPr>
            <w:tcW w:type="dxa" w:w="15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P&amp;L reconciliation</w:t>
            </w:r>
          </w:p>
        </w:tc>
        <w:tc>
          <w:tcPr>
            <w:tcW w:type="dxa" w:w="711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EOD P&amp;L per book reconciles to the pilot's figures within the agreed tolerance on 10 historical dates (fixture replay)</w:t>
            </w:r>
          </w:p>
        </w:tc>
      </w:tr>
      <w:tr>
        <w:trPr>
          <w:cantSplit/>
        </w:trPr>
        <w:tc>
          <w:tcPr>
            <w:tcW w:type="dxa" w:w="100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A4</w:t>
            </w:r>
          </w:p>
        </w:tc>
        <w:tc>
          <w:tcPr>
            <w:tcW w:type="dxa" w:w="15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EOD performance</w:t>
            </w:r>
          </w:p>
        </w:tc>
        <w:tc>
          <w:tcPr>
            <w:tcW w:type="dxa" w:w="711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EOD for 10,000 live trades completes in </w:t>
            </w:r>
            <w:r>
              <w:rPr>
                <w:b/>
                <w:bCs/>
                <w:sz w:val="18"/>
                <w:szCs w:val="18"/>
              </w:rPr>
              <w:t xml:space="preserve">&lt; 15 minutes</w:t>
            </w:r>
          </w:p>
        </w:tc>
      </w:tr>
      <w:tr>
        <w:trPr>
          <w:cantSplit/>
        </w:trPr>
        <w:tc>
          <w:tcPr>
            <w:tcW w:type="dxa" w:w="100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A5</w:t>
            </w:r>
          </w:p>
        </w:tc>
        <w:tc>
          <w:tcPr>
            <w:tcW w:type="dxa" w:w="15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UI responsiveness</w:t>
            </w:r>
          </w:p>
        </w:tc>
        <w:tc>
          <w:tcPr>
            <w:tcW w:type="dxa" w:w="711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p95 &lt; 1 s for blotter load (5k rows, virtualised), ticket save and approval</w:t>
            </w:r>
          </w:p>
        </w:tc>
      </w:tr>
      <w:tr>
        <w:trPr>
          <w:cantSplit/>
        </w:trPr>
        <w:tc>
          <w:tcPr>
            <w:tcW w:type="dxa" w:w="100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A6</w:t>
            </w:r>
          </w:p>
        </w:tc>
        <w:tc>
          <w:tcPr>
            <w:tcW w:type="dxa" w:w="15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Audit completeness</w:t>
            </w:r>
          </w:p>
        </w:tc>
        <w:tc>
          <w:tcPr>
            <w:tcW w:type="dxa" w:w="711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Every state change is reconstructable ("show me trade X as of date Y")</w:t>
            </w:r>
          </w:p>
        </w:tc>
      </w:tr>
      <w:tr>
        <w:trPr>
          <w:cantSplit/>
        </w:trPr>
        <w:tc>
          <w:tcPr>
            <w:tcW w:type="dxa" w:w="100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A7</w:t>
            </w:r>
          </w:p>
        </w:tc>
        <w:tc>
          <w:tcPr>
            <w:tcW w:type="dxa" w:w="15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Security</w:t>
            </w:r>
          </w:p>
        </w:tc>
        <w:tc>
          <w:tcPr>
            <w:tcW w:type="dxa" w:w="711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MFA enforced; OWASP ASVS L2 checklist complete; external pen test with no open critical/high findings</w:t>
            </w:r>
          </w:p>
        </w:tc>
      </w:tr>
      <w:tr>
        <w:trPr>
          <w:cantSplit/>
        </w:trPr>
        <w:tc>
          <w:tcPr>
            <w:tcW w:type="dxa" w:w="100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A8</w:t>
            </w:r>
          </w:p>
        </w:tc>
        <w:tc>
          <w:tcPr>
            <w:tcW w:type="dxa" w:w="151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Resilience</w:t>
            </w:r>
          </w:p>
        </w:tc>
        <w:tc>
          <w:tcPr>
            <w:tcW w:type="dxa" w:w="7118"/>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Backup restore demonstrated; RPO ≤ 15 min, RTO ≤ 4 h documented and tested</w:t>
            </w:r>
          </w:p>
        </w:tc>
      </w:tr>
      <w:tr>
        <w:trPr>
          <w:cantSplit/>
        </w:trPr>
        <w:tc>
          <w:tcPr>
            <w:tcW w:type="dxa" w:w="100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A9</w:t>
            </w:r>
          </w:p>
        </w:tc>
        <w:tc>
          <w:tcPr>
            <w:tcW w:type="dxa" w:w="151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Usability</w:t>
            </w:r>
          </w:p>
        </w:tc>
        <w:tc>
          <w:tcPr>
            <w:tcW w:type="dxa" w:w="7118"/>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 pilot trader books each MVP product unaided after a 1-hour training session</w:t>
            </w:r>
          </w:p>
        </w:tc>
      </w:tr>
    </w:tbl>
    <w:p>
      <w:pPr>
        <w:spacing w:after="120"/>
      </w:pPr>
    </w:p>
    <w:p>
      <w:pPr>
        <w:pStyle w:val="Heading2"/>
      </w:pPr>
      <w:r>
        <w:t xml:space="preserve">6.4 Non-functional baseline for MVP</w:t>
      </w:r>
    </w:p>
    <w:p>
      <w:pPr>
        <w:pStyle w:val="ListParagraph"/>
        <w:numPr>
          <w:ilvl w:val="0"/>
          <w:numId w:val="4"/>
        </w:numPr>
        <w:spacing w:after="60"/>
      </w:pPr>
      <w:r>
        <w:t xml:space="preserve">Availability 99.5% during business hours (06:00–20:00 SAST), with maintenance windows outside those hours.</w:t>
      </w:r>
    </w:p>
    <w:p>
      <w:pPr>
        <w:pStyle w:val="ListParagraph"/>
        <w:numPr>
          <w:ilvl w:val="0"/>
          <w:numId w:val="4"/>
        </w:numPr>
        <w:spacing w:after="60"/>
      </w:pPr>
      <w:r>
        <w:t xml:space="preserve">Data hosted in the SA cloud region; encryption in transit and at rest; no production data in dev or test.</w:t>
      </w:r>
    </w:p>
    <w:p>
      <w:pPr>
        <w:pStyle w:val="ListParagraph"/>
        <w:numPr>
          <w:ilvl w:val="0"/>
          <w:numId w:val="4"/>
        </w:numPr>
        <w:spacing w:after="60"/>
      </w:pPr>
      <w:r>
        <w:t xml:space="preserve">Every release goes through the CI pipeline with automated tests; no manual production changes.</w:t>
      </w:r>
    </w:p>
    <w:p>
      <w:pPr>
        <w:pStyle w:val="ListParagraph"/>
        <w:numPr>
          <w:ilvl w:val="0"/>
          <w:numId w:val="4"/>
        </w:numPr>
        <w:spacing w:after="60"/>
      </w:pPr>
      <w:r>
        <w:t xml:space="preserve">API documented with OpenAPI; versioned under </w:t>
      </w:r>
      <w:r>
        <w:rPr>
          <w:rFonts w:ascii="Consolas" w:cs="Consolas" w:eastAsia="Consolas" w:hAnsi="Consolas"/>
          <w:sz w:val="18"/>
          <w:szCs w:val="18"/>
          <w:shd w:fill="EEF1F5" w:color="auto" w:val="clear"/>
        </w:rPr>
        <w:t xml:space="preserve">/api/v1</w:t>
      </w:r>
      <w:r>
        <w:t xml:space="preserve">.</w:t>
      </w:r>
    </w:p>
    <w:p>
      <w:pPr>
        <w:pStyle w:val="Heading2"/>
      </w:pPr>
      <w:r>
        <w:t xml:space="preserve">6.5 Sprint plan (2-week sprints, from mid-Nov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9"/>
        <w:gridCol w:w="1026"/>
        <w:gridCol w:w="1726"/>
        <w:gridCol w:w="5867"/>
      </w:tblGrid>
      <w:tr>
        <w:trPr>
          <w:cantSplit/>
          <w:tblHeader/>
        </w:trPr>
        <w:tc>
          <w:tcPr>
            <w:tcW w:type="dxa" w:w="101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Sprint</w:t>
            </w:r>
          </w:p>
        </w:tc>
        <w:tc>
          <w:tcPr>
            <w:tcW w:type="dxa" w:w="102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Dates (approx.)</w:t>
            </w:r>
          </w:p>
        </w:tc>
        <w:tc>
          <w:tcPr>
            <w:tcW w:type="dxa" w:w="172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Goal</w:t>
            </w:r>
          </w:p>
        </w:tc>
        <w:tc>
          <w:tcPr>
            <w:tcW w:type="dxa" w:w="5867"/>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Key stories</w:t>
            </w:r>
          </w:p>
        </w:tc>
      </w:tr>
      <w:tr>
        <w:trPr>
          <w:cantSplit/>
        </w:trPr>
        <w:tc>
          <w:tcPr>
            <w:tcW w:type="dxa" w:w="101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S1</w:t>
            </w:r>
          </w:p>
        </w:tc>
        <w:tc>
          <w:tcPr>
            <w:tcW w:type="dxa" w:w="10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16 Nov – 27 Nov</w:t>
            </w:r>
          </w:p>
        </w:tc>
        <w:tc>
          <w:tcPr>
            <w:tcW w:type="dxa" w:w="17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Platform spine</w:t>
            </w:r>
          </w:p>
        </w:tc>
        <w:tc>
          <w:tcPr>
            <w:tcW w:type="dxa" w:w="58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Tenant context, identity roles, audit event infrastructure (outbox + hash chain), Flyway baseline, </w:t>
            </w:r>
            <w:r>
              <w:rPr>
                <w:rFonts w:ascii="Consolas" w:cs="Consolas" w:eastAsia="Consolas" w:hAnsi="Consolas"/>
                <w:sz w:val="16"/>
                <w:szCs w:val="16"/>
                <w:shd w:fill="EEF1F5" w:color="auto" w:val="clear"/>
              </w:rPr>
              <w:t xml:space="preserve">nex-web</w:t>
            </w:r>
            <w:r>
              <w:rPr>
                <w:sz w:val="18"/>
                <w:szCs w:val="18"/>
              </w:rPr>
              <w:t xml:space="preserve"> layout/navigation, CI deploy to dev</w:t>
            </w:r>
          </w:p>
        </w:tc>
      </w:tr>
      <w:tr>
        <w:trPr>
          <w:cantSplit/>
        </w:trPr>
        <w:tc>
          <w:tcPr>
            <w:tcW w:type="dxa" w:w="101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S2</w:t>
            </w:r>
          </w:p>
        </w:tc>
        <w:tc>
          <w:tcPr>
            <w:tcW w:type="dxa" w:w="10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30 Nov – 11 Dec</w:t>
            </w:r>
          </w:p>
        </w:tc>
        <w:tc>
          <w:tcPr>
            <w:tcW w:type="dxa" w:w="17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Reference data</w:t>
            </w:r>
          </w:p>
        </w:tc>
        <w:tc>
          <w:tcPr>
            <w:tcW w:type="dxa" w:w="58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Counterparties, books, currencies, calendars, indices CRUD + CSV import + audit; admin screens</w:t>
            </w:r>
          </w:p>
        </w:tc>
      </w:tr>
      <w:tr>
        <w:trPr>
          <w:cantSplit/>
        </w:trPr>
        <w:tc>
          <w:tcPr>
            <w:tcW w:type="dxa" w:w="101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S3</w:t>
            </w:r>
          </w:p>
        </w:tc>
        <w:tc>
          <w:tcPr>
            <w:tcW w:type="dxa" w:w="10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4 Jan – 15 Jan</w:t>
            </w:r>
          </w:p>
        </w:tc>
        <w:tc>
          <w:tcPr>
            <w:tcW w:type="dxa" w:w="17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Trade model</w:t>
            </w:r>
          </w:p>
        </w:tc>
        <w:tc>
          <w:tcPr>
            <w:tcW w:type="dxa" w:w="58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Product JSON Schemas (FX spot/fwd, OIS); trade aggregate, versions and lifecycle state machine; REST API; contract tests</w:t>
            </w:r>
          </w:p>
        </w:tc>
      </w:tr>
      <w:tr>
        <w:trPr>
          <w:cantSplit/>
        </w:trPr>
        <w:tc>
          <w:tcPr>
            <w:tcW w:type="dxa" w:w="101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S4</w:t>
            </w:r>
          </w:p>
        </w:tc>
        <w:tc>
          <w:tcPr>
            <w:tcW w:type="dxa" w:w="10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18 Jan – 29 Jan</w:t>
            </w:r>
          </w:p>
        </w:tc>
        <w:tc>
          <w:tcPr>
            <w:tcW w:type="dxa" w:w="17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Trade UI</w:t>
            </w:r>
          </w:p>
        </w:tc>
        <w:tc>
          <w:tcPr>
            <w:tcW w:type="dxa" w:w="58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Schema-driven ticket, blotter (AG Grid) with SSE live updates, amend/cancel/clone, validation messages</w:t>
            </w:r>
          </w:p>
        </w:tc>
      </w:tr>
      <w:tr>
        <w:trPr>
          <w:cantSplit/>
        </w:trPr>
        <w:tc>
          <w:tcPr>
            <w:tcW w:type="dxa" w:w="101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S5</w:t>
            </w:r>
          </w:p>
        </w:tc>
        <w:tc>
          <w:tcPr>
            <w:tcW w:type="dxa" w:w="10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 Feb – 12 Feb</w:t>
            </w:r>
          </w:p>
        </w:tc>
        <w:tc>
          <w:tcPr>
            <w:tcW w:type="dxa" w:w="17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Workflow &amp; market data</w:t>
            </w:r>
          </w:p>
        </w:tc>
        <w:tc>
          <w:tcPr>
            <w:tcW w:type="dxa" w:w="58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Maker-checker + approval inbox; market-data templates, upload, validation report, snapshots</w:t>
            </w:r>
          </w:p>
        </w:tc>
      </w:tr>
      <w:tr>
        <w:trPr>
          <w:cantSplit/>
        </w:trPr>
        <w:tc>
          <w:tcPr>
            <w:tcW w:type="dxa" w:w="101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S6</w:t>
            </w:r>
          </w:p>
        </w:tc>
        <w:tc>
          <w:tcPr>
            <w:tcW w:type="dxa" w:w="10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15 Feb – 26 Feb</w:t>
            </w:r>
          </w:p>
        </w:tc>
        <w:tc>
          <w:tcPr>
            <w:tcW w:type="dxa" w:w="17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Valuation I</w:t>
            </w:r>
          </w:p>
        </w:tc>
        <w:tc>
          <w:tcPr>
            <w:tcW w:type="dxa" w:w="58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rFonts w:ascii="Consolas" w:cs="Consolas" w:eastAsia="Consolas" w:hAnsi="Consolas"/>
                <w:sz w:val="16"/>
                <w:szCs w:val="16"/>
                <w:shd w:fill="EEF1F5" w:color="auto" w:val="clear"/>
              </w:rPr>
              <w:t xml:space="preserve">PricingEngine</w:t>
            </w:r>
            <w:r>
              <w:rPr>
                <w:sz w:val="18"/>
                <w:szCs w:val="18"/>
              </w:rPr>
              <w:t xml:space="preserve"> API; FX forward pricer; OIS pricer + curve build; valuation results store; golden tests vs QuantLib</w:t>
            </w:r>
          </w:p>
        </w:tc>
      </w:tr>
      <w:tr>
        <w:trPr>
          <w:cantSplit/>
        </w:trPr>
        <w:tc>
          <w:tcPr>
            <w:tcW w:type="dxa" w:w="101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S7</w:t>
            </w:r>
          </w:p>
        </w:tc>
        <w:tc>
          <w:tcPr>
            <w:tcW w:type="dxa" w:w="10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 Mar – 12 Mar</w:t>
            </w:r>
          </w:p>
        </w:tc>
        <w:tc>
          <w:tcPr>
            <w:tcW w:type="dxa" w:w="17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Positions &amp; P&amp;L</w:t>
            </w:r>
          </w:p>
        </w:tc>
        <w:tc>
          <w:tcPr>
            <w:tcW w:type="dxa" w:w="58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Position keeping, daily P&amp;L, P&amp;L screens, cashflow ladder</w:t>
            </w:r>
          </w:p>
        </w:tc>
      </w:tr>
      <w:tr>
        <w:trPr>
          <w:cantSplit/>
        </w:trPr>
        <w:tc>
          <w:tcPr>
            <w:tcW w:type="dxa" w:w="101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S8</w:t>
            </w:r>
          </w:p>
        </w:tc>
        <w:tc>
          <w:tcPr>
            <w:tcW w:type="dxa" w:w="10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15 Mar – 26 Mar</w:t>
            </w:r>
          </w:p>
        </w:tc>
        <w:tc>
          <w:tcPr>
            <w:tcW w:type="dxa" w:w="17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EOD &amp; reports</w:t>
            </w:r>
          </w:p>
        </w:tc>
        <w:tc>
          <w:tcPr>
            <w:tcW w:type="dxa" w:w="58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EOD orchestrator (idempotent), report generation XLSX/PDF/CSV, audit screen</w:t>
            </w:r>
          </w:p>
        </w:tc>
      </w:tr>
      <w:tr>
        <w:trPr>
          <w:cantSplit/>
        </w:trPr>
        <w:tc>
          <w:tcPr>
            <w:tcW w:type="dxa" w:w="101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S9</w:t>
            </w:r>
          </w:p>
        </w:tc>
        <w:tc>
          <w:tcPr>
            <w:tcW w:type="dxa" w:w="10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29 Mar – 9 Apr</w:t>
            </w:r>
          </w:p>
        </w:tc>
        <w:tc>
          <w:tcPr>
            <w:tcW w:type="dxa" w:w="172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Confirmations &amp; stretch products</w:t>
            </w:r>
          </w:p>
        </w:tc>
        <w:tc>
          <w:tcPr>
            <w:tcW w:type="dxa" w:w="586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PDF confirmations + e-mail; bond and/or deposit products (if confirmed); DV01</w:t>
            </w:r>
          </w:p>
        </w:tc>
      </w:tr>
      <w:tr>
        <w:trPr>
          <w:cantSplit/>
        </w:trPr>
        <w:tc>
          <w:tcPr>
            <w:tcW w:type="dxa" w:w="101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S10</w:t>
            </w:r>
          </w:p>
        </w:tc>
        <w:tc>
          <w:tcPr>
            <w:tcW w:type="dxa" w:w="10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12 Apr – 30 Apr</w:t>
            </w:r>
          </w:p>
        </w:tc>
        <w:tc>
          <w:tcPr>
            <w:tcW w:type="dxa" w:w="172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Hardening &amp; UAT</w:t>
            </w:r>
          </w:p>
        </w:tc>
        <w:tc>
          <w:tcPr>
            <w:tcW w:type="dxa" w:w="586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Pilot fixture replay (A1/A3), performance test (A4/A5), pen-test fixes, runbooks, backup/restore drill, UAT sign-off</w:t>
            </w:r>
          </w:p>
        </w:tc>
      </w:tr>
    </w:tbl>
    <w:p>
      <w:pPr>
        <w:spacing w:after="120"/>
      </w:pPr>
    </w:p>
    <w:p>
      <w:pPr>
        <w:spacing w:after="120"/>
      </w:pPr>
      <w:r>
        <w:t xml:space="preserve">December holidays are built in (a lighter S2 and a break until 4 Jan). If a sprint slips, cut the stretch products in S9 before any hardening work in S10.</w:t>
      </w:r>
    </w:p>
    <w:p>
      <w:pPr>
        <w:pStyle w:val="Heading2"/>
      </w:pPr>
      <w:r>
        <w:t xml:space="preserve">6.6 Definition of Done (per story)</w:t>
      </w:r>
    </w:p>
    <w:p>
      <w:pPr>
        <w:pStyle w:val="ListParagraph"/>
        <w:numPr>
          <w:ilvl w:val="0"/>
          <w:numId w:val="4"/>
        </w:numPr>
        <w:spacing w:after="60"/>
      </w:pPr>
      <w:r>
        <w:t xml:space="preserve">Code reviewed by at least 1 other engineer; ArchUnit/Modulith boundary tests pass.</w:t>
      </w:r>
    </w:p>
    <w:p>
      <w:pPr>
        <w:pStyle w:val="ListParagraph"/>
        <w:numPr>
          <w:ilvl w:val="0"/>
          <w:numId w:val="4"/>
        </w:numPr>
        <w:spacing w:after="60"/>
      </w:pPr>
      <w:r>
        <w:t xml:space="preserve">Unit tests; </w:t>
      </w:r>
      <w:r>
        <w:rPr>
          <w:rFonts w:ascii="Consolas" w:cs="Consolas" w:eastAsia="Consolas" w:hAnsi="Consolas"/>
          <w:sz w:val="18"/>
          <w:szCs w:val="18"/>
          <w:shd w:fill="EEF1F5" w:color="auto" w:val="clear"/>
        </w:rPr>
        <w:t xml:space="preserve">nex-quant</w:t>
      </w:r>
      <w:r>
        <w:t xml:space="preserve"> changes include golden tests with an independent reference value.</w:t>
      </w:r>
    </w:p>
    <w:p>
      <w:pPr>
        <w:pStyle w:val="ListParagraph"/>
        <w:numPr>
          <w:ilvl w:val="0"/>
          <w:numId w:val="4"/>
        </w:numPr>
        <w:spacing w:after="60"/>
      </w:pPr>
      <w:r>
        <w:t xml:space="preserve">API changes are reflected in OpenAPI; UI changes are checked against wireframes and accessibility basics.</w:t>
      </w:r>
    </w:p>
    <w:p>
      <w:pPr>
        <w:pStyle w:val="ListParagraph"/>
        <w:numPr>
          <w:ilvl w:val="0"/>
          <w:numId w:val="4"/>
        </w:numPr>
        <w:spacing w:after="60"/>
      </w:pPr>
      <w:r>
        <w:t xml:space="preserve">Audit events are emitted for every state change.</w:t>
      </w:r>
    </w:p>
    <w:p>
      <w:pPr>
        <w:pStyle w:val="ListParagraph"/>
        <w:numPr>
          <w:ilvl w:val="0"/>
          <w:numId w:val="4"/>
        </w:numPr>
        <w:spacing w:after="60"/>
      </w:pPr>
      <w:r>
        <w:t xml:space="preserve">Deployed to dev by CI; the product owner has accepted it in the demo.</w:t>
      </w:r>
    </w:p>
    <w:p>
      <w:pPr>
        <w:pStyle w:val="ListParagraph"/>
        <w:numPr>
          <w:ilvl w:val="0"/>
          <w:numId w:val="4"/>
        </w:numPr>
        <w:spacing w:after="60"/>
      </w:pPr>
      <w:r>
        <w:t xml:space="preserve">No new critical/high findings from SAST or dependency scans.</w:t>
      </w:r>
    </w:p>
    <w:p>
      <w:pPr>
        <w:pStyle w:val="Heading2"/>
      </w:pPr>
      <w:r>
        <w:t xml:space="preserve">6.7 MVP test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6"/>
        <w:gridCol w:w="8472"/>
      </w:tblGrid>
      <w:tr>
        <w:trPr>
          <w:cantSplit/>
          <w:tblHeader/>
        </w:trPr>
        <w:tc>
          <w:tcPr>
            <w:tcW w:type="dxa" w:w="116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Layer</w:t>
            </w:r>
          </w:p>
        </w:tc>
        <w:tc>
          <w:tcPr>
            <w:tcW w:type="dxa" w:w="8472"/>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Approach</w:t>
            </w:r>
          </w:p>
        </w:tc>
      </w:tr>
      <w:tr>
        <w:trPr>
          <w:cantSplit/>
        </w:trPr>
        <w:tc>
          <w:tcPr>
            <w:tcW w:type="dxa" w:w="116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Quant</w:t>
            </w:r>
          </w:p>
        </w:tc>
        <w:tc>
          <w:tcPr>
            <w:tcW w:type="dxa" w:w="847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Golden tests against QuantLib (a Python script generates fixtures in CI) and ISDA day-count examples; property-based tests (e.g. PV monotonic in rate)</w:t>
            </w:r>
          </w:p>
        </w:tc>
      </w:tr>
      <w:tr>
        <w:trPr>
          <w:cantSplit/>
        </w:trPr>
        <w:tc>
          <w:tcPr>
            <w:tcW w:type="dxa" w:w="116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Domain</w:t>
            </w:r>
          </w:p>
        </w:tc>
        <w:tc>
          <w:tcPr>
            <w:tcW w:type="dxa" w:w="847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Unit tests for lifecycle state machine and P&amp;L maths</w:t>
            </w:r>
          </w:p>
        </w:tc>
      </w:tr>
      <w:tr>
        <w:trPr>
          <w:cantSplit/>
        </w:trPr>
        <w:tc>
          <w:tcPr>
            <w:tcW w:type="dxa" w:w="116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API</w:t>
            </w:r>
          </w:p>
        </w:tc>
        <w:tc>
          <w:tcPr>
            <w:tcW w:type="dxa" w:w="847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Spring Boot integration tests with Testcontainers (PostgreSQL, Keycloak); contract tests</w:t>
            </w:r>
          </w:p>
        </w:tc>
      </w:tr>
      <w:tr>
        <w:trPr>
          <w:cantSplit/>
        </w:trPr>
        <w:tc>
          <w:tcPr>
            <w:tcW w:type="dxa" w:w="116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UI</w:t>
            </w:r>
          </w:p>
        </w:tc>
        <w:tc>
          <w:tcPr>
            <w:tcW w:type="dxa" w:w="847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Playwright end-to-end: book → approve → EOD → report</w:t>
            </w:r>
          </w:p>
        </w:tc>
      </w:tr>
      <w:tr>
        <w:trPr>
          <w:cantSplit/>
        </w:trPr>
        <w:tc>
          <w:tcPr>
            <w:tcW w:type="dxa" w:w="116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Reconciliation</w:t>
            </w:r>
          </w:p>
        </w:tc>
        <w:tc>
          <w:tcPr>
            <w:tcW w:type="dxa" w:w="847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Pilot fixture replay</w:t>
            </w:r>
            <w:r>
              <w:rPr>
                <w:sz w:val="18"/>
                <w:szCs w:val="18"/>
              </w:rPr>
              <w:t xml:space="preserve">: load the pilot's historical trades and market data, run EOD for N dates, diff against their P&amp;L</w:t>
            </w:r>
          </w:p>
        </w:tc>
      </w:tr>
      <w:tr>
        <w:trPr>
          <w:cantSplit/>
        </w:trPr>
        <w:tc>
          <w:tcPr>
            <w:tcW w:type="dxa" w:w="116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Performance</w:t>
            </w:r>
          </w:p>
        </w:tc>
        <w:tc>
          <w:tcPr>
            <w:tcW w:type="dxa" w:w="847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Gatling/k6 scenarios for blotter, booking and EOD at 10k trades</w:t>
            </w:r>
          </w:p>
        </w:tc>
      </w:tr>
      <w:tr>
        <w:trPr>
          <w:cantSplit/>
        </w:trPr>
        <w:tc>
          <w:tcPr>
            <w:tcW w:type="dxa" w:w="116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Security</w:t>
            </w:r>
          </w:p>
        </w:tc>
        <w:tc>
          <w:tcPr>
            <w:tcW w:type="dxa" w:w="847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SAST, dependency/container scanning, ZAP baseline scan in CI, external pen test before pilot</w:t>
            </w:r>
          </w:p>
        </w:tc>
      </w:tr>
    </w:tbl>
    <w:p>
      <w:pPr>
        <w:spacing w:after="120"/>
      </w:pPr>
    </w:p>
    <w:p>
      <w:r>
        <w:br w:type="page"/>
      </w:r>
    </w:p>
    <w:p>
      <w:pPr>
        <w:pStyle w:val="Heading1"/>
      </w:pPr>
      <w:r>
        <w:t xml:space="preserve">7. Team and resourcing by stage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4"/>
        <w:gridCol w:w="2592"/>
        <w:gridCol w:w="1696"/>
        <w:gridCol w:w="1096"/>
      </w:tblGrid>
      <w:tr>
        <w:trPr>
          <w:cantSplit/>
          <w:tblHeader/>
        </w:trPr>
        <w:tc>
          <w:tcPr>
            <w:tcW w:type="dxa" w:w="4254"/>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Role</w:t>
            </w:r>
          </w:p>
        </w:tc>
        <w:tc>
          <w:tcPr>
            <w:tcW w:type="dxa" w:w="2592"/>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Stage 0–1 (MVP)</w:t>
            </w:r>
          </w:p>
        </w:tc>
        <w:tc>
          <w:tcPr>
            <w:tcW w:type="dxa" w:w="169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Stage 2–3 (Pilot/Beta)</w:t>
            </w:r>
          </w:p>
        </w:tc>
        <w:tc>
          <w:tcPr>
            <w:tcW w:type="dxa" w:w="1096"/>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Stage 4+ (GA)</w:t>
            </w:r>
          </w:p>
        </w:tc>
      </w:tr>
      <w:tr>
        <w:trPr>
          <w:cantSplit/>
        </w:trPr>
        <w:tc>
          <w:tcPr>
            <w:tcW w:type="dxa" w:w="42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Product owner / domain BA (treasury and trading)</w:t>
            </w:r>
          </w:p>
        </w:tc>
        <w:tc>
          <w:tcPr>
            <w:tcW w:type="dxa" w:w="259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w:t>
            </w:r>
          </w:p>
        </w:tc>
        <w:tc>
          <w:tcPr>
            <w:tcW w:type="dxa" w:w="16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w:t>
            </w:r>
          </w:p>
        </w:tc>
        <w:tc>
          <w:tcPr>
            <w:tcW w:type="dxa" w:w="10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1–2</w:t>
            </w:r>
          </w:p>
        </w:tc>
      </w:tr>
      <w:tr>
        <w:trPr>
          <w:cantSplit/>
        </w:trPr>
        <w:tc>
          <w:tcPr>
            <w:tcW w:type="dxa" w:w="42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Tech lead / architect (hands-on)</w:t>
            </w:r>
          </w:p>
        </w:tc>
        <w:tc>
          <w:tcPr>
            <w:tcW w:type="dxa" w:w="259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w:t>
            </w:r>
          </w:p>
        </w:tc>
        <w:tc>
          <w:tcPr>
            <w:tcW w:type="dxa" w:w="16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w:t>
            </w:r>
          </w:p>
        </w:tc>
        <w:tc>
          <w:tcPr>
            <w:tcW w:type="dxa" w:w="10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w:t>
            </w:r>
          </w:p>
        </w:tc>
      </w:tr>
      <w:tr>
        <w:trPr>
          <w:cantSplit/>
        </w:trPr>
        <w:tc>
          <w:tcPr>
            <w:tcW w:type="dxa" w:w="42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Back-end Java engineers (1 with quant skills)</w:t>
            </w:r>
          </w:p>
        </w:tc>
        <w:tc>
          <w:tcPr>
            <w:tcW w:type="dxa" w:w="259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2</w:t>
            </w:r>
          </w:p>
        </w:tc>
        <w:tc>
          <w:tcPr>
            <w:tcW w:type="dxa" w:w="16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3</w:t>
            </w:r>
          </w:p>
        </w:tc>
        <w:tc>
          <w:tcPr>
            <w:tcW w:type="dxa" w:w="10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4</w:t>
            </w:r>
          </w:p>
        </w:tc>
      </w:tr>
      <w:tr>
        <w:trPr>
          <w:cantSplit/>
        </w:trPr>
        <w:tc>
          <w:tcPr>
            <w:tcW w:type="dxa" w:w="42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Front-end React engineer</w:t>
            </w:r>
          </w:p>
        </w:tc>
        <w:tc>
          <w:tcPr>
            <w:tcW w:type="dxa" w:w="259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w:t>
            </w:r>
          </w:p>
        </w:tc>
        <w:tc>
          <w:tcPr>
            <w:tcW w:type="dxa" w:w="16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2</w:t>
            </w:r>
          </w:p>
        </w:tc>
        <w:tc>
          <w:tcPr>
            <w:tcW w:type="dxa" w:w="10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2</w:t>
            </w:r>
          </w:p>
        </w:tc>
      </w:tr>
      <w:tr>
        <w:trPr>
          <w:cantSplit/>
        </w:trPr>
        <w:tc>
          <w:tcPr>
            <w:tcW w:type="dxa" w:w="42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QA automation engineer</w:t>
            </w:r>
          </w:p>
        </w:tc>
        <w:tc>
          <w:tcPr>
            <w:tcW w:type="dxa" w:w="259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w:t>
            </w:r>
          </w:p>
        </w:tc>
        <w:tc>
          <w:tcPr>
            <w:tcW w:type="dxa" w:w="16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w:t>
            </w:r>
          </w:p>
        </w:tc>
        <w:tc>
          <w:tcPr>
            <w:tcW w:type="dxa" w:w="10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2</w:t>
            </w:r>
          </w:p>
        </w:tc>
      </w:tr>
      <w:tr>
        <w:trPr>
          <w:cantSplit/>
        </w:trPr>
        <w:tc>
          <w:tcPr>
            <w:tcW w:type="dxa" w:w="42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DevOps / SRE</w:t>
            </w:r>
          </w:p>
        </w:tc>
        <w:tc>
          <w:tcPr>
            <w:tcW w:type="dxa" w:w="259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0.5 (shared or contract)</w:t>
            </w:r>
          </w:p>
        </w:tc>
        <w:tc>
          <w:tcPr>
            <w:tcW w:type="dxa" w:w="16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w:t>
            </w:r>
          </w:p>
        </w:tc>
        <w:tc>
          <w:tcPr>
            <w:tcW w:type="dxa" w:w="10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1–2</w:t>
            </w:r>
          </w:p>
        </w:tc>
      </w:tr>
      <w:tr>
        <w:trPr>
          <w:cantSplit/>
        </w:trPr>
        <w:tc>
          <w:tcPr>
            <w:tcW w:type="dxa" w:w="42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UX designer</w:t>
            </w:r>
          </w:p>
        </w:tc>
        <w:tc>
          <w:tcPr>
            <w:tcW w:type="dxa" w:w="259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contract (Stage 0–S4)</w:t>
            </w:r>
          </w:p>
        </w:tc>
        <w:tc>
          <w:tcPr>
            <w:tcW w:type="dxa" w:w="16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contract</w:t>
            </w:r>
          </w:p>
        </w:tc>
        <w:tc>
          <w:tcPr>
            <w:tcW w:type="dxa" w:w="10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0.5</w:t>
            </w:r>
          </w:p>
        </w:tc>
      </w:tr>
      <w:tr>
        <w:trPr>
          <w:cantSplit/>
        </w:trPr>
        <w:tc>
          <w:tcPr>
            <w:tcW w:type="dxa" w:w="42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Security / compliance advisor</w:t>
            </w:r>
          </w:p>
        </w:tc>
        <w:tc>
          <w:tcPr>
            <w:tcW w:type="dxa" w:w="259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contract (threat model, pen test)</w:t>
            </w:r>
          </w:p>
        </w:tc>
        <w:tc>
          <w:tcPr>
            <w:tcW w:type="dxa" w:w="16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contract (SOC 2)</w:t>
            </w:r>
          </w:p>
        </w:tc>
        <w:tc>
          <w:tcPr>
            <w:tcW w:type="dxa" w:w="10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0.5 + auditor</w:t>
            </w:r>
          </w:p>
        </w:tc>
      </w:tr>
      <w:tr>
        <w:trPr>
          <w:cantSplit/>
        </w:trPr>
        <w:tc>
          <w:tcPr>
            <w:tcW w:type="dxa" w:w="42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Quant / risk (Python)</w:t>
            </w:r>
          </w:p>
        </w:tc>
        <w:tc>
          <w:tcPr>
            <w:tcW w:type="dxa" w:w="259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w:t>
            </w:r>
          </w:p>
        </w:tc>
        <w:tc>
          <w:tcPr>
            <w:tcW w:type="dxa" w:w="16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w:t>
            </w:r>
          </w:p>
        </w:tc>
        <w:tc>
          <w:tcPr>
            <w:tcW w:type="dxa" w:w="10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1</w:t>
            </w:r>
          </w:p>
        </w:tc>
      </w:tr>
      <w:tr>
        <w:trPr>
          <w:cantSplit/>
        </w:trPr>
        <w:tc>
          <w:tcPr>
            <w:tcW w:type="dxa" w:w="4254"/>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Customer success / support</w:t>
            </w:r>
          </w:p>
        </w:tc>
        <w:tc>
          <w:tcPr>
            <w:tcW w:type="dxa" w:w="259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w:t>
            </w:r>
          </w:p>
        </w:tc>
        <w:tc>
          <w:tcPr>
            <w:tcW w:type="dxa" w:w="16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0.5</w:t>
            </w:r>
          </w:p>
        </w:tc>
        <w:tc>
          <w:tcPr>
            <w:tcW w:type="dxa" w:w="1096"/>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2+</w:t>
            </w:r>
          </w:p>
        </w:tc>
      </w:tr>
      <w:tr>
        <w:trPr>
          <w:cantSplit/>
        </w:trPr>
        <w:tc>
          <w:tcPr>
            <w:tcW w:type="dxa" w:w="4254"/>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Total (FTE)</w:t>
            </w:r>
          </w:p>
        </w:tc>
        <w:tc>
          <w:tcPr>
            <w:tcW w:type="dxa" w:w="259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≈6.5–7</w:t>
            </w:r>
          </w:p>
        </w:tc>
        <w:tc>
          <w:tcPr>
            <w:tcW w:type="dxa" w:w="16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≈10–11</w:t>
            </w:r>
          </w:p>
        </w:tc>
        <w:tc>
          <w:tcPr>
            <w:tcW w:type="dxa" w:w="1096"/>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≈14–17</w:t>
            </w:r>
          </w:p>
        </w:tc>
      </w:tr>
    </w:tbl>
    <w:p>
      <w:pPr>
        <w:spacing w:after="120"/>
      </w:pPr>
    </w:p>
    <w:p>
      <w:pPr>
        <w:spacing w:after="120"/>
      </w:pPr>
      <w:r>
        <w:t xml:space="preserve">This follows the plan's hiring ramp: a lean 5–7 for MVP and 8–12 by launch. Keep the trade/valuation engine and architecture in-house (core IP). Contract out UX, pen testing, SWIFT connectivity and later RPA/ML, as the plan suggests.</w:t>
      </w:r>
    </w:p>
    <w:p>
      <w:r>
        <w:br w:type="page"/>
      </w:r>
    </w:p>
    <w:p>
      <w:pPr>
        <w:pStyle w:val="Heading1"/>
      </w:pPr>
      <w:r>
        <w:t xml:space="preserve">8. Engineering practices</w:t>
      </w:r>
    </w:p>
    <w:p>
      <w:pPr>
        <w:pStyle w:val="ListParagraph"/>
        <w:numPr>
          <w:ilvl w:val="0"/>
          <w:numId w:val="4"/>
        </w:numPr>
        <w:spacing w:after="60"/>
      </w:pPr>
      <w:r>
        <w:rPr>
          <w:b/>
          <w:bCs/>
        </w:rPr>
        <w:t xml:space="preserve">Branching:</w:t>
      </w:r>
      <w:r>
        <w:t xml:space="preserve"> trunk-based on </w:t>
      </w:r>
      <w:r>
        <w:rPr>
          <w:rFonts w:ascii="Consolas" w:cs="Consolas" w:eastAsia="Consolas" w:hAnsi="Consolas"/>
          <w:sz w:val="18"/>
          <w:szCs w:val="18"/>
          <w:shd w:fill="EEF1F5" w:color="auto" w:val="clear"/>
        </w:rPr>
        <w:t xml:space="preserve">main</w:t>
      </w:r>
      <w:r>
        <w:t xml:space="preserve"> with short-lived feature branches and PRs; protected </w:t>
      </w:r>
      <w:r>
        <w:rPr>
          <w:rFonts w:ascii="Consolas" w:cs="Consolas" w:eastAsia="Consolas" w:hAnsi="Consolas"/>
          <w:sz w:val="18"/>
          <w:szCs w:val="18"/>
          <w:shd w:fill="EEF1F5" w:color="auto" w:val="clear"/>
        </w:rPr>
        <w:t xml:space="preserve">main</w:t>
      </w:r>
      <w:r>
        <w:t xml:space="preserve">; squash merges; conventional commit messages.</w:t>
      </w:r>
    </w:p>
    <w:p>
      <w:pPr>
        <w:pStyle w:val="ListParagraph"/>
        <w:numPr>
          <w:ilvl w:val="0"/>
          <w:numId w:val="4"/>
        </w:numPr>
        <w:spacing w:after="60"/>
      </w:pPr>
      <w:r>
        <w:rPr>
          <w:b/>
          <w:bCs/>
        </w:rPr>
        <w:t xml:space="preserve">Environments:</w:t>
      </w:r>
      <w:r>
        <w:t xml:space="preserve"> </w:t>
      </w:r>
      <w:r>
        <w:rPr>
          <w:rFonts w:ascii="Consolas" w:cs="Consolas" w:eastAsia="Consolas" w:hAnsi="Consolas"/>
          <w:sz w:val="18"/>
          <w:szCs w:val="18"/>
          <w:shd w:fill="EEF1F5" w:color="auto" w:val="clear"/>
        </w:rPr>
        <w:t xml:space="preserve">dev</w:t>
      </w:r>
      <w:r>
        <w:t xml:space="preserve"> (continuous) → </w:t>
      </w:r>
      <w:r>
        <w:rPr>
          <w:rFonts w:ascii="Consolas" w:cs="Consolas" w:eastAsia="Consolas" w:hAnsi="Consolas"/>
          <w:sz w:val="18"/>
          <w:szCs w:val="18"/>
          <w:shd w:fill="EEF1F5" w:color="auto" w:val="clear"/>
        </w:rPr>
        <w:t xml:space="preserve">uat</w:t>
      </w:r>
      <w:r>
        <w:t xml:space="preserve"> (sprint releases, pilot testing) → </w:t>
      </w:r>
      <w:r>
        <w:rPr>
          <w:rFonts w:ascii="Consolas" w:cs="Consolas" w:eastAsia="Consolas" w:hAnsi="Consolas"/>
          <w:sz w:val="18"/>
          <w:szCs w:val="18"/>
          <w:shd w:fill="EEF1F5" w:color="auto" w:val="clear"/>
        </w:rPr>
        <w:t xml:space="preserve">prod</w:t>
      </w:r>
      <w:r>
        <w:t xml:space="preserve"> (per-pilot). Promote immutable images; infrastructure only through Terraform.</w:t>
      </w:r>
    </w:p>
    <w:p>
      <w:pPr>
        <w:pStyle w:val="ListParagraph"/>
        <w:numPr>
          <w:ilvl w:val="0"/>
          <w:numId w:val="4"/>
        </w:numPr>
        <w:spacing w:after="60"/>
      </w:pPr>
      <w:r>
        <w:rPr>
          <w:b/>
          <w:bCs/>
        </w:rPr>
        <w:t xml:space="preserve">Architecture Decision Records</w:t>
      </w:r>
      <w:r>
        <w:t xml:space="preserve"> in </w:t>
      </w:r>
      <w:r>
        <w:rPr>
          <w:rFonts w:ascii="Consolas" w:cs="Consolas" w:eastAsia="Consolas" w:hAnsi="Consolas"/>
          <w:sz w:val="18"/>
          <w:szCs w:val="18"/>
          <w:shd w:fill="EEF1F5" w:color="auto" w:val="clear"/>
        </w:rPr>
        <w:t xml:space="preserve">docs/adr/NNNN-title.md</w:t>
      </w:r>
      <w:r>
        <w:t xml:space="preserve">, one per significant decision (the §3.4 table seeds the first ADRs).</w:t>
      </w:r>
    </w:p>
    <w:p>
      <w:pPr>
        <w:pStyle w:val="ListParagraph"/>
        <w:numPr>
          <w:ilvl w:val="0"/>
          <w:numId w:val="4"/>
        </w:numPr>
        <w:spacing w:after="60"/>
      </w:pPr>
      <w:r>
        <w:rPr>
          <w:b/>
          <w:bCs/>
        </w:rPr>
        <w:t xml:space="preserve">Quality gates in CI:</w:t>
      </w:r>
      <w:r>
        <w:t xml:space="preserve"> compile, unit and integration tests, coverage threshold on </w:t>
      </w:r>
      <w:r>
        <w:rPr>
          <w:rFonts w:ascii="Consolas" w:cs="Consolas" w:eastAsia="Consolas" w:hAnsi="Consolas"/>
          <w:sz w:val="18"/>
          <w:szCs w:val="18"/>
          <w:shd w:fill="EEF1F5" w:color="auto" w:val="clear"/>
        </w:rPr>
        <w:t xml:space="preserve">nex-quant</w:t>
      </w:r>
      <w:r>
        <w:t xml:space="preserve"> (≥ 90%), boundary tests, CodeQL, dependency scan, container scan, SBOM.</w:t>
      </w:r>
    </w:p>
    <w:p>
      <w:pPr>
        <w:pStyle w:val="ListParagraph"/>
        <w:numPr>
          <w:ilvl w:val="0"/>
          <w:numId w:val="4"/>
        </w:numPr>
        <w:spacing w:after="60"/>
      </w:pPr>
      <w:r>
        <w:rPr>
          <w:b/>
          <w:bCs/>
        </w:rPr>
        <w:t xml:space="preserve">Release cadence:</w:t>
      </w:r>
      <w:r>
        <w:t xml:space="preserve"> every sprint to UAT; to pilot production every sprint once stable (from Stage 2).</w:t>
      </w:r>
    </w:p>
    <w:p>
      <w:pPr>
        <w:pStyle w:val="ListParagraph"/>
        <w:numPr>
          <w:ilvl w:val="0"/>
          <w:numId w:val="4"/>
        </w:numPr>
        <w:spacing w:after="60"/>
      </w:pPr>
      <w:r>
        <w:rPr>
          <w:b/>
          <w:bCs/>
        </w:rPr>
        <w:t xml:space="preserve">Documentation:</w:t>
      </w:r>
      <w:r>
        <w:t xml:space="preserve"> OpenAPI, runbooks (EOD, incident, restore), user guide per module. These double as SOC 2 evidence.</w:t>
      </w:r>
    </w:p>
    <w:p>
      <w:pPr>
        <w:pStyle w:val="ListParagraph"/>
        <w:numPr>
          <w:ilvl w:val="0"/>
          <w:numId w:val="4"/>
        </w:numPr>
        <w:spacing w:after="60"/>
      </w:pPr>
      <w:r>
        <w:rPr>
          <w:b/>
          <w:bCs/>
        </w:rPr>
        <w:t xml:space="preserve">Security in the lifecycle:</w:t>
      </w:r>
      <w:r>
        <w:t xml:space="preserve"> threat model per new module; secrets only in the vault; least-privilege IAM; access reviews each quarter.</w:t>
      </w:r>
    </w:p>
    <w:p>
      <w:r>
        <w:br w:type="page"/>
      </w:r>
    </w:p>
    <w:p>
      <w:pPr>
        <w:pStyle w:val="Heading1"/>
      </w:pPr>
      <w:r>
        <w:t xml:space="preserve">9. Delivery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7"/>
        <w:gridCol w:w="1080"/>
        <w:gridCol w:w="4911"/>
      </w:tblGrid>
      <w:tr>
        <w:trPr>
          <w:cantSplit/>
          <w:tblHeader/>
        </w:trPr>
        <w:tc>
          <w:tcPr>
            <w:tcW w:type="dxa" w:w="3647"/>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Risk</w:t>
            </w:r>
          </w:p>
        </w:tc>
        <w:tc>
          <w:tcPr>
            <w:tcW w:type="dxa" w:w="1080"/>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Likelihood / impact</w:t>
            </w:r>
          </w:p>
        </w:tc>
        <w:tc>
          <w:tcPr>
            <w:tcW w:type="dxa" w:w="4911"/>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Mitigation</w:t>
            </w:r>
          </w:p>
        </w:tc>
      </w:tr>
      <w:tr>
        <w:trPr>
          <w:cantSplit/>
        </w:trPr>
        <w:tc>
          <w:tcPr>
            <w:tcW w:type="dxa" w:w="364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Timeline credibility gap:</w:t>
            </w:r>
            <w:r>
              <w:rPr>
                <w:sz w:val="18"/>
                <w:szCs w:val="18"/>
              </w:rPr>
              <w:t xml:space="preserve"> plan dates already passed while the code is pre-MVP</w:t>
            </w:r>
          </w:p>
        </w:tc>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High / High</w:t>
            </w:r>
          </w:p>
        </w:tc>
        <w:tc>
          <w:tcPr>
            <w:tcW w:type="dxa" w:w="491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Re-baseline now (D1); update investor materials; report progress against stage gates, not dates</w:t>
            </w:r>
          </w:p>
        </w:tc>
      </w:tr>
      <w:tr>
        <w:trPr>
          <w:cantSplit/>
        </w:trPr>
        <w:tc>
          <w:tcPr>
            <w:tcW w:type="dxa" w:w="364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Pricing accuracy</w:t>
            </w:r>
            <w:r>
              <w:rPr>
                <w:sz w:val="18"/>
                <w:szCs w:val="18"/>
              </w:rPr>
              <w:t xml:space="preserve"> undermines trust</w:t>
            </w:r>
          </w:p>
        </w:tc>
        <w:tc>
          <w:tcPr>
            <w:tcW w:type="dxa" w:w="108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Med / High</w:t>
            </w:r>
          </w:p>
        </w:tc>
        <w:tc>
          <w:tcPr>
            <w:tcW w:type="dxa" w:w="491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Golden tests vs QuantLib from day one; consider Strata (D6); pilot fixture replay as a release gate</w:t>
            </w:r>
          </w:p>
        </w:tc>
      </w:tr>
      <w:tr>
        <w:trPr>
          <w:cantSplit/>
        </w:trPr>
        <w:tc>
          <w:tcPr>
            <w:tcW w:type="dxa" w:w="364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Scope creep</w:t>
            </w:r>
            <w:r>
              <w:rPr>
                <w:sz w:val="18"/>
                <w:szCs w:val="18"/>
              </w:rPr>
              <w:t xml:space="preserve"> from the pilot client</w:t>
            </w:r>
          </w:p>
        </w:tc>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High / Med</w:t>
            </w:r>
          </w:p>
        </w:tc>
        <w:tc>
          <w:tcPr>
            <w:tcW w:type="dxa" w:w="491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Written MVP scope (§6.2); change requests go to the Beta backlog; the product owner owns the trade-offs</w:t>
            </w:r>
          </w:p>
        </w:tc>
      </w:tr>
      <w:tr>
        <w:trPr>
          <w:cantSplit/>
        </w:trPr>
        <w:tc>
          <w:tcPr>
            <w:tcW w:type="dxa" w:w="364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Small team, key-person risk</w:t>
            </w:r>
            <w:r>
              <w:rPr>
                <w:sz w:val="18"/>
                <w:szCs w:val="18"/>
              </w:rPr>
              <w:t xml:space="preserve"> (the domain/quant knowledge sits with 1–2 people)</w:t>
            </w:r>
          </w:p>
        </w:tc>
        <w:tc>
          <w:tcPr>
            <w:tcW w:type="dxa" w:w="108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High / High</w:t>
            </w:r>
          </w:p>
        </w:tc>
        <w:tc>
          <w:tcPr>
            <w:tcW w:type="dxa" w:w="491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Pair programming on </w:t>
            </w:r>
            <w:r>
              <w:rPr>
                <w:rFonts w:ascii="Consolas" w:cs="Consolas" w:eastAsia="Consolas" w:hAnsi="Consolas"/>
                <w:sz w:val="16"/>
                <w:szCs w:val="16"/>
                <w:shd w:fill="EEF1F5" w:color="auto" w:val="clear"/>
              </w:rPr>
              <w:t xml:space="preserve">nex-quant</w:t>
            </w:r>
            <w:r>
              <w:rPr>
                <w:sz w:val="18"/>
                <w:szCs w:val="18"/>
              </w:rPr>
              <w:t xml:space="preserve">; ADRs and docs; fixtures encode domain knowledge; hire the second quant-capable engineer early</w:t>
            </w:r>
          </w:p>
        </w:tc>
      </w:tr>
      <w:tr>
        <w:trPr>
          <w:cantSplit/>
        </w:trPr>
        <w:tc>
          <w:tcPr>
            <w:tcW w:type="dxa" w:w="364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Bank procurement and security review</w:t>
            </w:r>
            <w:r>
              <w:rPr>
                <w:sz w:val="18"/>
                <w:szCs w:val="18"/>
              </w:rPr>
              <w:t xml:space="preserve"> delays the pilot</w:t>
            </w:r>
          </w:p>
        </w:tc>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High / Med</w:t>
            </w:r>
          </w:p>
        </w:tc>
        <w:tc>
          <w:tcPr>
            <w:tcW w:type="dxa" w:w="491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Start vendor due diligence pack in Stage 0 (security policies, architecture, pen test, POPIA, data residency); dedicated tenancy for the pilot</w:t>
            </w:r>
          </w:p>
        </w:tc>
      </w:tr>
      <w:tr>
        <w:trPr>
          <w:cantSplit/>
        </w:trPr>
        <w:tc>
          <w:tcPr>
            <w:tcW w:type="dxa" w:w="364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Platform over-engineering</w:t>
            </w:r>
            <w:r>
              <w:rPr>
                <w:sz w:val="18"/>
                <w:szCs w:val="18"/>
              </w:rPr>
              <w:t xml:space="preserve"> (microservices/Kubernetes too early)</w:t>
            </w:r>
          </w:p>
        </w:tc>
        <w:tc>
          <w:tcPr>
            <w:tcW w:type="dxa" w:w="108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Med / Med</w:t>
            </w:r>
          </w:p>
        </w:tc>
        <w:tc>
          <w:tcPr>
            <w:tcW w:type="dxa" w:w="491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P1 principle; revisit at the Beta gate with measured load</w:t>
            </w:r>
          </w:p>
        </w:tc>
      </w:tr>
      <w:tr>
        <w:trPr>
          <w:cantSplit/>
        </w:trPr>
        <w:tc>
          <w:tcPr>
            <w:tcW w:type="dxa" w:w="3647"/>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Funding runway</w:t>
            </w:r>
          </w:p>
        </w:tc>
        <w:tc>
          <w:tcPr>
            <w:tcW w:type="dxa" w:w="108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Med / High</w:t>
            </w:r>
          </w:p>
        </w:tc>
        <w:tc>
          <w:tcPr>
            <w:tcW w:type="dxa" w:w="491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MVP scoped to ~7 FTE; stage gates tied to fundraising milestones (MVP demo + signed pilot = seed story)</w:t>
            </w:r>
          </w:p>
        </w:tc>
      </w:tr>
      <w:tr>
        <w:trPr>
          <w:cantSplit/>
        </w:trPr>
        <w:tc>
          <w:tcPr>
            <w:tcW w:type="dxa" w:w="3647"/>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Market-data licensing costs</w:t>
            </w:r>
          </w:p>
        </w:tc>
        <w:tc>
          <w:tcPr>
            <w:tcW w:type="dxa" w:w="108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Med / Med</w:t>
            </w:r>
          </w:p>
        </w:tc>
        <w:tc>
          <w:tcPr>
            <w:tcW w:type="dxa" w:w="491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 uses client-supplied data (upload); negotiate vendor redistribution terms before Beta</w:t>
            </w:r>
          </w:p>
        </w:tc>
      </w:tr>
    </w:tbl>
    <w:p>
      <w:pPr>
        <w:spacing w:after="120"/>
      </w:pPr>
    </w:p>
    <w:p>
      <w:r>
        <w:br w:type="page"/>
      </w:r>
    </w:p>
    <w:p>
      <w:pPr>
        <w:pStyle w:val="Heading1"/>
      </w:pPr>
      <w:r>
        <w:t xml:space="preserve">10. Decisions required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9"/>
        <w:gridCol w:w="1902"/>
        <w:gridCol w:w="5183"/>
        <w:gridCol w:w="893"/>
        <w:gridCol w:w="831"/>
      </w:tblGrid>
      <w:tr>
        <w:trPr>
          <w:cantSplit/>
          <w:tblHeader/>
        </w:trPr>
        <w:tc>
          <w:tcPr>
            <w:tcW w:type="dxa" w:w="82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ID</w:t>
            </w:r>
          </w:p>
        </w:tc>
        <w:tc>
          <w:tcPr>
            <w:tcW w:type="dxa" w:w="1902"/>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Decision</w:t>
            </w:r>
          </w:p>
        </w:tc>
        <w:tc>
          <w:tcPr>
            <w:tcW w:type="dxa" w:w="5183"/>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Recommendation</w:t>
            </w:r>
          </w:p>
        </w:tc>
        <w:tc>
          <w:tcPr>
            <w:tcW w:type="dxa" w:w="893"/>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Owner</w:t>
            </w:r>
          </w:p>
        </w:tc>
        <w:tc>
          <w:tcPr>
            <w:tcW w:type="dxa" w:w="831"/>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Needed by</w:t>
            </w:r>
          </w:p>
        </w:tc>
      </w:tr>
      <w:tr>
        <w:trPr>
          <w:cantSplit/>
        </w:trPr>
        <w:tc>
          <w:tcPr>
            <w:tcW w:type="dxa" w:w="8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D1</w:t>
            </w:r>
          </w:p>
        </w:tc>
        <w:tc>
          <w:tcPr>
            <w:tcW w:type="dxa" w:w="19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Re-baseline the business-plan timeline</w:t>
            </w:r>
          </w:p>
        </w:tc>
        <w:tc>
          <w:tcPr>
            <w:tcW w:type="dxa" w:w="518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Adopt §5.1 (MVP Apr 2027, Beta Feb 2028, GA Apr 2028), with the accelerated scenario as upside; update the investor plan (which also has inconsistent 2025/2026 dates)</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Founders</w:t>
            </w:r>
          </w:p>
        </w:tc>
        <w:tc>
          <w:tcPr>
            <w:tcW w:type="dxa" w:w="83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Oct 2026</w:t>
            </w:r>
          </w:p>
        </w:tc>
      </w:tr>
      <w:tr>
        <w:trPr>
          <w:cantSplit/>
        </w:trPr>
        <w:tc>
          <w:tcPr>
            <w:tcW w:type="dxa" w:w="82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D2</w:t>
            </w:r>
          </w:p>
        </w:tc>
        <w:tc>
          <w:tcPr>
            <w:tcW w:type="dxa" w:w="19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 asset classes</w:t>
            </w:r>
          </w:p>
        </w:tc>
        <w:tc>
          <w:tcPr>
            <w:tcW w:type="dxa" w:w="518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FX spot/forward + OIS (ZARONIA/SOFR); bond and deposit as stretch; equities moved to Beta; confirm with the pilot</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Product + pilot</w:t>
            </w:r>
          </w:p>
        </w:tc>
        <w:tc>
          <w:tcPr>
            <w:tcW w:type="dxa" w:w="83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Stage 0</w:t>
            </w:r>
          </w:p>
        </w:tc>
      </w:tr>
      <w:tr>
        <w:trPr>
          <w:cantSplit/>
        </w:trPr>
        <w:tc>
          <w:tcPr>
            <w:tcW w:type="dxa" w:w="8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D3</w:t>
            </w:r>
          </w:p>
        </w:tc>
        <w:tc>
          <w:tcPr>
            <w:tcW w:type="dxa" w:w="19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UI technology</w:t>
            </w:r>
          </w:p>
        </w:tc>
        <w:tc>
          <w:tcPr>
            <w:tcW w:type="dxa" w:w="518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Retire JavaFX; build </w:t>
            </w:r>
            <w:r>
              <w:rPr>
                <w:rFonts w:ascii="Consolas" w:cs="Consolas" w:eastAsia="Consolas" w:hAnsi="Consolas"/>
                <w:sz w:val="16"/>
                <w:szCs w:val="16"/>
                <w:shd w:fill="EEF1F5" w:color="auto" w:val="clear"/>
              </w:rPr>
              <w:t xml:space="preserve">nex-web</w:t>
            </w:r>
            <w:r>
              <w:rPr>
                <w:sz w:val="18"/>
                <w:szCs w:val="18"/>
              </w:rPr>
              <w:t xml:space="preserve"> in React/TypeScript. The plan specifies a web SPA, and SaaS delivery rules out a desktop client</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Tech lead</w:t>
            </w:r>
          </w:p>
        </w:tc>
        <w:tc>
          <w:tcPr>
            <w:tcW w:type="dxa" w:w="83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Stage 0</w:t>
            </w:r>
          </w:p>
        </w:tc>
      </w:tr>
      <w:tr>
        <w:trPr>
          <w:cantSplit/>
        </w:trPr>
        <w:tc>
          <w:tcPr>
            <w:tcW w:type="dxa" w:w="82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D4</w:t>
            </w:r>
          </w:p>
        </w:tc>
        <w:tc>
          <w:tcPr>
            <w:tcW w:type="dxa" w:w="19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Framework and build</w:t>
            </w:r>
          </w:p>
        </w:tc>
        <w:tc>
          <w:tcPr>
            <w:tcW w:type="dxa" w:w="518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Spring Boot 3 + Spring Modulith, Gradle</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Tech lead</w:t>
            </w:r>
          </w:p>
        </w:tc>
        <w:tc>
          <w:tcPr>
            <w:tcW w:type="dxa" w:w="83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Stage 0</w:t>
            </w:r>
          </w:p>
        </w:tc>
      </w:tr>
      <w:tr>
        <w:trPr>
          <w:cantSplit/>
        </w:trPr>
        <w:tc>
          <w:tcPr>
            <w:tcW w:type="dxa" w:w="8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D5</w:t>
            </w:r>
          </w:p>
        </w:tc>
        <w:tc>
          <w:tcPr>
            <w:tcW w:type="dxa" w:w="19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Cloud provider and region</w:t>
            </w:r>
          </w:p>
        </w:tc>
        <w:tc>
          <w:tcPr>
            <w:tcW w:type="dxa" w:w="518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An SA region with the provider the pilot bank already approves (Azure South Africa North or AWS af-south-1)</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Founders + pilot</w:t>
            </w:r>
          </w:p>
        </w:tc>
        <w:tc>
          <w:tcPr>
            <w:tcW w:type="dxa" w:w="83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Stage 0</w:t>
            </w:r>
          </w:p>
        </w:tc>
      </w:tr>
      <w:tr>
        <w:trPr>
          <w:cantSplit/>
        </w:trPr>
        <w:tc>
          <w:tcPr>
            <w:tcW w:type="dxa" w:w="82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D6</w:t>
            </w:r>
          </w:p>
        </w:tc>
        <w:tc>
          <w:tcPr>
            <w:tcW w:type="dxa" w:w="19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Build vs adopt the pricing library</w:t>
            </w:r>
          </w:p>
        </w:tc>
        <w:tc>
          <w:tcPr>
            <w:tcW w:type="dxa" w:w="518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Run the 1-week Strata spike; adopt behind a </w:t>
            </w:r>
            <w:r>
              <w:rPr>
                <w:rFonts w:ascii="Consolas" w:cs="Consolas" w:eastAsia="Consolas" w:hAnsi="Consolas"/>
                <w:sz w:val="16"/>
                <w:szCs w:val="16"/>
                <w:shd w:fill="EEF1F5" w:color="auto" w:val="clear"/>
              </w:rPr>
              <w:t xml:space="preserve">PricingEngine</w:t>
            </w:r>
            <w:r>
              <w:rPr>
                <w:sz w:val="18"/>
                <w:szCs w:val="18"/>
              </w:rPr>
              <w:t xml:space="preserve"> interface if it passes; keep our domain model and SA conventions as IP</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Tech lead + quant</w:t>
            </w:r>
          </w:p>
        </w:tc>
        <w:tc>
          <w:tcPr>
            <w:tcW w:type="dxa" w:w="83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Stage 0, week 3</w:t>
            </w:r>
          </w:p>
        </w:tc>
      </w:tr>
      <w:tr>
        <w:trPr>
          <w:cantSplit/>
        </w:trPr>
        <w:tc>
          <w:tcPr>
            <w:tcW w:type="dxa" w:w="8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D7</w:t>
            </w:r>
          </w:p>
        </w:tc>
        <w:tc>
          <w:tcPr>
            <w:tcW w:type="dxa" w:w="19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Pilot tenancy</w:t>
            </w:r>
          </w:p>
        </w:tc>
        <w:tc>
          <w:tcPr>
            <w:tcW w:type="dxa" w:w="518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Dedicated deployment per pilot; pooled multi-tenancy from Beta</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Tech lead</w:t>
            </w:r>
          </w:p>
        </w:tc>
        <w:tc>
          <w:tcPr>
            <w:tcW w:type="dxa" w:w="83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Stage 0</w:t>
            </w:r>
          </w:p>
        </w:tc>
      </w:tr>
      <w:tr>
        <w:trPr>
          <w:cantSplit/>
        </w:trPr>
        <w:tc>
          <w:tcPr>
            <w:tcW w:type="dxa" w:w="82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D8</w:t>
            </w:r>
          </w:p>
        </w:tc>
        <w:tc>
          <w:tcPr>
            <w:tcW w:type="dxa" w:w="1902"/>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Pilot partner</w:t>
            </w:r>
          </w:p>
        </w:tc>
        <w:tc>
          <w:tcPr>
            <w:tcW w:type="dxa" w:w="518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Sign at least 1 design-partner LOI (The League network) before Stage 1 starts</w:t>
            </w:r>
          </w:p>
        </w:tc>
        <w:tc>
          <w:tcPr>
            <w:tcW w:type="dxa" w:w="893"/>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Founders</w:t>
            </w:r>
          </w:p>
        </w:tc>
        <w:tc>
          <w:tcPr>
            <w:tcW w:type="dxa" w:w="831"/>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mid-Nov 2026</w:t>
            </w:r>
          </w:p>
        </w:tc>
      </w:tr>
      <w:tr>
        <w:trPr>
          <w:cantSplit/>
        </w:trPr>
        <w:tc>
          <w:tcPr>
            <w:tcW w:type="dxa" w:w="8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D9</w:t>
            </w:r>
          </w:p>
        </w:tc>
        <w:tc>
          <w:tcPr>
            <w:tcW w:type="dxa" w:w="1902"/>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Product naming</w:t>
            </w:r>
          </w:p>
        </w:tc>
        <w:tc>
          <w:tcPr>
            <w:tcW w:type="dxa" w:w="518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Use "Nex" consistently as the product name (package root </w:t>
            </w:r>
            <w:r>
              <w:rPr>
                <w:rFonts w:ascii="Consolas" w:cs="Consolas" w:eastAsia="Consolas" w:hAnsi="Consolas"/>
                <w:sz w:val="16"/>
                <w:szCs w:val="16"/>
                <w:shd w:fill="EEF1F5" w:color="auto" w:val="clear"/>
              </w:rPr>
              <w:t xml:space="preserve">com.ats.nex</w:t>
            </w:r>
            <w:r>
              <w:rPr>
                <w:sz w:val="18"/>
                <w:szCs w:val="18"/>
              </w:rPr>
              <w:t xml:space="preserve">) and align the plan's target-segment wording</w:t>
            </w:r>
          </w:p>
        </w:tc>
        <w:tc>
          <w:tcPr>
            <w:tcW w:type="dxa" w:w="893"/>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Founders</w:t>
            </w:r>
          </w:p>
        </w:tc>
        <w:tc>
          <w:tcPr>
            <w:tcW w:type="dxa" w:w="831"/>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Stage 0</w:t>
            </w:r>
          </w:p>
        </w:tc>
      </w:tr>
    </w:tbl>
    <w:p>
      <w:pPr>
        <w:spacing w:after="120"/>
      </w:pPr>
    </w:p>
    <w:p>
      <w:r>
        <w:br w:type="page"/>
      </w:r>
    </w:p>
    <w:p>
      <w:pPr>
        <w:pStyle w:val="Heading1"/>
      </w:pPr>
      <w:r>
        <w:t xml:space="preserve">11. Milestone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9"/>
        <w:gridCol w:w="4239"/>
        <w:gridCol w:w="4270"/>
      </w:tblGrid>
      <w:tr>
        <w:trPr>
          <w:cantSplit/>
          <w:tblHeader/>
        </w:trPr>
        <w:tc>
          <w:tcPr>
            <w:tcW w:type="dxa" w:w="112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Stage gate</w:t>
            </w:r>
          </w:p>
        </w:tc>
        <w:tc>
          <w:tcPr>
            <w:tcW w:type="dxa" w:w="423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Engineering KPIs</w:t>
            </w:r>
          </w:p>
        </w:tc>
        <w:tc>
          <w:tcPr>
            <w:tcW w:type="dxa" w:w="4270"/>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Business KPIs</w:t>
            </w:r>
          </w:p>
        </w:tc>
      </w:tr>
      <w:tr>
        <w:trPr>
          <w:cantSplit/>
        </w:trPr>
        <w:tc>
          <w:tcPr>
            <w:tcW w:type="dxa" w:w="11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Stage 0 exit</w:t>
            </w:r>
          </w:p>
        </w:tc>
        <w:tc>
          <w:tcPr>
            <w:tcW w:type="dxa" w:w="42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Green CI from clean clone; ≥ 90% </w:t>
            </w:r>
            <w:r>
              <w:rPr>
                <w:rFonts w:ascii="Consolas" w:cs="Consolas" w:eastAsia="Consolas" w:hAnsi="Consolas"/>
                <w:sz w:val="16"/>
                <w:szCs w:val="16"/>
                <w:shd w:fill="EEF1F5" w:color="auto" w:val="clear"/>
              </w:rPr>
              <w:t xml:space="preserve">nex-quant</w:t>
            </w:r>
            <w:r>
              <w:rPr>
                <w:sz w:val="18"/>
                <w:szCs w:val="18"/>
              </w:rPr>
              <w:t xml:space="preserve"> coverage; 8 ADRs</w:t>
            </w:r>
          </w:p>
        </w:tc>
        <w:tc>
          <w:tcPr>
            <w:tcW w:type="dxa" w:w="427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Pilot LOI signed</w:t>
            </w:r>
          </w:p>
        </w:tc>
      </w:tr>
      <w:tr>
        <w:trPr>
          <w:cantSplit/>
        </w:trPr>
        <w:tc>
          <w:tcPr>
            <w:tcW w:type="dxa" w:w="112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MVP (Stage 1 exit)</w:t>
            </w:r>
          </w:p>
        </w:tc>
        <w:tc>
          <w:tcPr>
            <w:tcW w:type="dxa" w:w="423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A1–A9 met; 0 open critical/high pen-test findings</w:t>
            </w:r>
          </w:p>
        </w:tc>
        <w:tc>
          <w:tcPr>
            <w:tcW w:type="dxa" w:w="427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Pilot UAT started; investor demo</w:t>
            </w:r>
          </w:p>
        </w:tc>
      </w:tr>
      <w:tr>
        <w:trPr>
          <w:cantSplit/>
        </w:trPr>
        <w:tc>
          <w:tcPr>
            <w:tcW w:type="dxa" w:w="11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Pilot exit</w:t>
            </w:r>
          </w:p>
        </w:tc>
        <w:tc>
          <w:tcPr>
            <w:tcW w:type="dxa" w:w="42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20-day clean parallel run; EOD &lt; 15 min; &lt; 1 P1 incident/month</w:t>
            </w:r>
          </w:p>
        </w:tc>
        <w:tc>
          <w:tcPr>
            <w:tcW w:type="dxa" w:w="427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Pilot converts to paid; 1 published case study; 3+ qualified prospects</w:t>
            </w:r>
          </w:p>
        </w:tc>
      </w:tr>
      <w:tr>
        <w:trPr>
          <w:cantSplit/>
        </w:trPr>
        <w:tc>
          <w:tcPr>
            <w:tcW w:type="dxa" w:w="112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Beta exit</w:t>
            </w:r>
          </w:p>
        </w:tc>
        <w:tc>
          <w:tcPr>
            <w:tcW w:type="dxa" w:w="423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SOC 2 Type I; p95 &lt; 1 s at 50k trades; DR test passed</w:t>
            </w:r>
          </w:p>
        </w:tc>
        <w:tc>
          <w:tcPr>
            <w:tcW w:type="dxa" w:w="4270"/>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2–5 live clients; ~$1–2M contracted ARR</w:t>
            </w:r>
          </w:p>
        </w:tc>
      </w:tr>
      <w:tr>
        <w:trPr>
          <w:cantSplit/>
        </w:trPr>
        <w:tc>
          <w:tcPr>
            <w:tcW w:type="dxa" w:w="112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GA</w:t>
            </w:r>
          </w:p>
        </w:tc>
        <w:tc>
          <w:tcPr>
            <w:tcW w:type="dxa" w:w="423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Onboarding ≤ 6 weeks; 99.9% availability</w:t>
            </w:r>
          </w:p>
        </w:tc>
        <w:tc>
          <w:tcPr>
            <w:tcW w:type="dxa" w:w="4270"/>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Tier pricing live; partner channel launched</w:t>
            </w:r>
          </w:p>
        </w:tc>
      </w:tr>
    </w:tbl>
    <w:p>
      <w:pPr>
        <w:spacing w:after="120"/>
      </w:pPr>
    </w:p>
    <w:p>
      <w:r>
        <w:br w:type="page"/>
      </w:r>
    </w:p>
    <w:p>
      <w:pPr>
        <w:pStyle w:val="Heading1"/>
      </w:pPr>
      <w:r>
        <w:t xml:space="preserve">Appendix A — First 30 days backlog (Stage 0, ready to create as issues)</w:t>
      </w:r>
    </w:p>
    <w:p>
      <w:pPr>
        <w:pStyle w:val="ListParagraph"/>
        <w:numPr>
          <w:ilvl w:val="0"/>
          <w:numId w:val="6"/>
        </w:numPr>
        <w:spacing w:after="60"/>
      </w:pPr>
      <w:r>
        <w:t xml:space="preserve">Add Gradle wrapper, </w:t>
      </w:r>
      <w:r>
        <w:rPr>
          <w:rFonts w:ascii="Consolas" w:cs="Consolas" w:eastAsia="Consolas" w:hAnsi="Consolas"/>
          <w:sz w:val="18"/>
          <w:szCs w:val="18"/>
          <w:shd w:fill="EEF1F5" w:color="auto" w:val="clear"/>
        </w:rPr>
        <w:t xml:space="preserve">settings.gradle.kts</w:t>
      </w:r>
      <w:r>
        <w:t xml:space="preserve">, and modules </w:t>
      </w:r>
      <w:r>
        <w:rPr>
          <w:rFonts w:ascii="Consolas" w:cs="Consolas" w:eastAsia="Consolas" w:hAnsi="Consolas"/>
          <w:sz w:val="18"/>
          <w:szCs w:val="18"/>
          <w:shd w:fill="EEF1F5" w:color="auto" w:val="clear"/>
        </w:rPr>
        <w:t xml:space="preserve">nex-quant</w:t>
      </w:r>
      <w:r>
        <w:t xml:space="preserve">, </w:t>
      </w:r>
      <w:r>
        <w:rPr>
          <w:rFonts w:ascii="Consolas" w:cs="Consolas" w:eastAsia="Consolas" w:hAnsi="Consolas"/>
          <w:sz w:val="18"/>
          <w:szCs w:val="18"/>
          <w:shd w:fill="EEF1F5" w:color="auto" w:val="clear"/>
        </w:rPr>
        <w:t xml:space="preserve">legacy</w:t>
      </w:r>
      <w:r>
        <w:t xml:space="preserve">; pin dependency versions.</w:t>
      </w:r>
    </w:p>
    <w:p>
      <w:pPr>
        <w:pStyle w:val="ListParagraph"/>
        <w:numPr>
          <w:ilvl w:val="0"/>
          <w:numId w:val="6"/>
        </w:numPr>
        <w:spacing w:after="60"/>
      </w:pPr>
      <w:r>
        <w:t xml:space="preserve">Move JavaFX UI (</w:t>
      </w:r>
      <w:r>
        <w:rPr>
          <w:rFonts w:ascii="Consolas" w:cs="Consolas" w:eastAsia="Consolas" w:hAnsi="Consolas"/>
          <w:sz w:val="18"/>
          <w:szCs w:val="18"/>
          <w:shd w:fill="EEF1F5" w:color="auto" w:val="clear"/>
        </w:rPr>
        <w:t xml:space="preserve">ats.display</w:t>
      </w:r>
      <w:r>
        <w:t xml:space="preserve">, </w:t>
      </w:r>
      <w:r>
        <w:rPr>
          <w:rFonts w:ascii="Consolas" w:cs="Consolas" w:eastAsia="Consolas" w:hAnsi="Consolas"/>
          <w:sz w:val="18"/>
          <w:szCs w:val="18"/>
          <w:shd w:fill="EEF1F5" w:color="auto" w:val="clear"/>
        </w:rPr>
        <w:t xml:space="preserve">com.ats.tradingsystem.ui</w:t>
      </w:r>
      <w:r>
        <w:t xml:space="preserve">, </w:t>
      </w:r>
      <w:r>
        <w:rPr>
          <w:rFonts w:ascii="Consolas" w:cs="Consolas" w:eastAsia="Consolas" w:hAnsi="Consolas"/>
          <w:sz w:val="18"/>
          <w:szCs w:val="18"/>
          <w:shd w:fill="EEF1F5" w:color="auto" w:val="clear"/>
        </w:rPr>
        <w:t xml:space="preserve">MainApp</w:t>
      </w:r>
      <w:r>
        <w:t xml:space="preserve">) to </w:t>
      </w:r>
      <w:r>
        <w:rPr>
          <w:rFonts w:ascii="Consolas" w:cs="Consolas" w:eastAsia="Consolas" w:hAnsi="Consolas"/>
          <w:sz w:val="18"/>
          <w:szCs w:val="18"/>
          <w:shd w:fill="EEF1F5" w:color="auto" w:val="clear"/>
        </w:rPr>
        <w:t xml:space="preserve">legacy/</w:t>
      </w:r>
      <w:r>
        <w:t xml:space="preserve">; make it build optionally.</w:t>
      </w:r>
    </w:p>
    <w:p>
      <w:pPr>
        <w:pStyle w:val="ListParagraph"/>
        <w:numPr>
          <w:ilvl w:val="0"/>
          <w:numId w:val="6"/>
        </w:numPr>
        <w:spacing w:after="60"/>
      </w:pPr>
      <w:r>
        <w:t xml:space="preserve">Remove the </w:t>
      </w:r>
      <w:r>
        <w:rPr>
          <w:rFonts w:ascii="Consolas" w:cs="Consolas" w:eastAsia="Consolas" w:hAnsi="Consolas"/>
          <w:sz w:val="18"/>
          <w:szCs w:val="18"/>
          <w:shd w:fill="EEF1F5" w:color="auto" w:val="clear"/>
        </w:rPr>
        <w:t xml:space="preserve">ats.display</w:t>
      </w:r>
      <w:r>
        <w:t xml:space="preserve"> import from </w:t>
      </w:r>
      <w:r>
        <w:rPr>
          <w:rFonts w:ascii="Consolas" w:cs="Consolas" w:eastAsia="Consolas" w:hAnsi="Consolas"/>
          <w:sz w:val="18"/>
          <w:szCs w:val="18"/>
          <w:shd w:fill="EEF1F5" w:color="auto" w:val="clear"/>
        </w:rPr>
        <w:t xml:space="preserve">ContingentDateInterval</w:t>
      </w:r>
      <w:r>
        <w:t xml:space="preserve"> (introduce a small </w:t>
      </w:r>
      <w:r>
        <w:rPr>
          <w:rFonts w:ascii="Consolas" w:cs="Consolas" w:eastAsia="Consolas" w:hAnsi="Consolas"/>
          <w:sz w:val="18"/>
          <w:szCs w:val="18"/>
          <w:shd w:fill="EEF1F5" w:color="auto" w:val="clear"/>
        </w:rPr>
        <w:t xml:space="preserve">ScheduleSource</w:t>
      </w:r>
      <w:r>
        <w:t xml:space="preserve"> interface in quant).</w:t>
      </w:r>
    </w:p>
    <w:p>
      <w:pPr>
        <w:pStyle w:val="ListParagraph"/>
        <w:numPr>
          <w:ilvl w:val="0"/>
          <w:numId w:val="6"/>
        </w:numPr>
        <w:spacing w:after="60"/>
      </w:pPr>
      <w:r>
        <w:t xml:space="preserve">Fix </w:t>
      </w:r>
      <w:r>
        <w:rPr>
          <w:rFonts w:ascii="Consolas" w:cs="Consolas" w:eastAsia="Consolas" w:hAnsi="Consolas"/>
          <w:sz w:val="18"/>
          <w:szCs w:val="18"/>
          <w:shd w:fill="EEF1F5" w:color="auto" w:val="clear"/>
        </w:rPr>
        <w:t xml:space="preserve">DayCountConvention</w:t>
      </w:r>
      <w:r>
        <w:t xml:space="preserve"> API use in </w:t>
      </w:r>
      <w:r>
        <w:rPr>
          <w:rFonts w:ascii="Consolas" w:cs="Consolas" w:eastAsia="Consolas" w:hAnsi="Consolas"/>
          <w:sz w:val="18"/>
          <w:szCs w:val="18"/>
          <w:shd w:fill="EEF1F5" w:color="auto" w:val="clear"/>
        </w:rPr>
        <w:t xml:space="preserve">FixedLeg</w:t>
      </w:r>
      <w:r>
        <w:t xml:space="preserve">/</w:t>
      </w:r>
      <w:r>
        <w:rPr>
          <w:rFonts w:ascii="Consolas" w:cs="Consolas" w:eastAsia="Consolas" w:hAnsi="Consolas"/>
          <w:sz w:val="18"/>
          <w:szCs w:val="18"/>
          <w:shd w:fill="EEF1F5" w:color="auto" w:val="clear"/>
        </w:rPr>
        <w:t xml:space="preserve">HistoricalFloatingLeg</w:t>
      </w:r>
      <w:r>
        <w:t xml:space="preserve"> (</w:t>
      </w:r>
      <w:r>
        <w:rPr>
          <w:rFonts w:ascii="Consolas" w:cs="Consolas" w:eastAsia="Consolas" w:hAnsi="Consolas"/>
          <w:sz w:val="18"/>
          <w:szCs w:val="18"/>
          <w:shd w:fill="EEF1F5" w:color="auto" w:val="clear"/>
        </w:rPr>
        <w:t xml:space="preserve">calculateDayCountFraction</w:t>
      </w:r>
      <w:r>
        <w:t xml:space="preserve">).</w:t>
      </w:r>
    </w:p>
    <w:p>
      <w:pPr>
        <w:pStyle w:val="ListParagraph"/>
        <w:numPr>
          <w:ilvl w:val="0"/>
          <w:numId w:val="6"/>
        </w:numPr>
        <w:spacing w:after="60"/>
      </w:pPr>
      <w:r>
        <w:t xml:space="preserve">Resolve </w:t>
      </w:r>
      <w:r>
        <w:rPr>
          <w:rFonts w:ascii="Consolas" w:cs="Consolas" w:eastAsia="Consolas" w:hAnsi="Consolas"/>
          <w:sz w:val="18"/>
          <w:szCs w:val="18"/>
          <w:shd w:fill="EEF1F5" w:color="auto" w:val="clear"/>
        </w:rPr>
        <w:t xml:space="preserve">InterestRateCurve</w:t>
      </w:r>
      <w:r>
        <w:t xml:space="preserve"> (add </w:t>
      </w:r>
      <w:r>
        <w:rPr>
          <w:rFonts w:ascii="Consolas" w:cs="Consolas" w:eastAsia="Consolas" w:hAnsi="Consolas"/>
          <w:sz w:val="18"/>
          <w:szCs w:val="18"/>
          <w:shd w:fill="EEF1F5" w:color="auto" w:val="clear"/>
        </w:rPr>
        <w:t xml:space="preserve">Compounding</w:t>
      </w:r>
      <w:r>
        <w:t xml:space="preserve"> enum; remove </w:t>
      </w:r>
      <w:r>
        <w:rPr>
          <w:rFonts w:ascii="Consolas" w:cs="Consolas" w:eastAsia="Consolas" w:hAnsi="Consolas"/>
          <w:sz w:val="18"/>
          <w:szCs w:val="18"/>
          <w:shd w:fill="EEF1F5" w:color="auto" w:val="clear"/>
        </w:rPr>
        <w:t xml:space="preserve">Entity</w:t>
      </w:r>
      <w:r>
        <w:t xml:space="preserve">; standardise on </w:t>
      </w:r>
      <w:r>
        <w:rPr>
          <w:rFonts w:ascii="Consolas" w:cs="Consolas" w:eastAsia="Consolas" w:hAnsi="Consolas"/>
          <w:sz w:val="18"/>
          <w:szCs w:val="18"/>
          <w:shd w:fill="EEF1F5" w:color="auto" w:val="clear"/>
        </w:rPr>
        <w:t xml:space="preserve">LocalDate</w:t>
      </w:r>
      <w:r>
        <w:t xml:space="preserve">).</w:t>
      </w:r>
    </w:p>
    <w:p>
      <w:pPr>
        <w:pStyle w:val="ListParagraph"/>
        <w:numPr>
          <w:ilvl w:val="0"/>
          <w:numId w:val="6"/>
        </w:numPr>
        <w:spacing w:after="60"/>
      </w:pPr>
      <w:r>
        <w:t xml:space="preserve">Resolve </w:t>
      </w:r>
      <w:r>
        <w:rPr>
          <w:rFonts w:ascii="Consolas" w:cs="Consolas" w:eastAsia="Consolas" w:hAnsi="Consolas"/>
          <w:sz w:val="18"/>
          <w:szCs w:val="18"/>
          <w:shd w:fill="EEF1F5" w:color="auto" w:val="clear"/>
        </w:rPr>
        <w:t xml:space="preserve">CashFlow.discount</w:t>
      </w:r>
      <w:r>
        <w:t xml:space="preserve"> dependencies (introduce a </w:t>
      </w:r>
      <w:r>
        <w:rPr>
          <w:rFonts w:ascii="Consolas" w:cs="Consolas" w:eastAsia="Consolas" w:hAnsi="Consolas"/>
          <w:sz w:val="18"/>
          <w:szCs w:val="18"/>
          <w:shd w:fill="EEF1F5" w:color="auto" w:val="clear"/>
        </w:rPr>
        <w:t xml:space="preserve">DiscountFactorProvider</w:t>
      </w:r>
      <w:r>
        <w:t xml:space="preserve"> interface).</w:t>
      </w:r>
    </w:p>
    <w:p>
      <w:pPr>
        <w:pStyle w:val="ListParagraph"/>
        <w:numPr>
          <w:ilvl w:val="0"/>
          <w:numId w:val="6"/>
        </w:numPr>
        <w:spacing w:after="60"/>
      </w:pPr>
      <w:r>
        <w:t xml:space="preserve">Remove the Hibernate </w:t>
      </w:r>
      <w:r>
        <w:rPr>
          <w:rFonts w:ascii="Consolas" w:cs="Consolas" w:eastAsia="Consolas" w:hAnsi="Consolas"/>
          <w:sz w:val="18"/>
          <w:szCs w:val="18"/>
          <w:shd w:fill="EEF1F5" w:color="auto" w:val="clear"/>
        </w:rPr>
        <w:t xml:space="preserve">UserType</w:t>
      </w:r>
      <w:r>
        <w:t xml:space="preserve"> from </w:t>
      </w:r>
      <w:r>
        <w:rPr>
          <w:rFonts w:ascii="Consolas" w:cs="Consolas" w:eastAsia="Consolas" w:hAnsi="Consolas"/>
          <w:sz w:val="18"/>
          <w:szCs w:val="18"/>
          <w:shd w:fill="EEF1F5" w:color="auto" w:val="clear"/>
        </w:rPr>
        <w:t xml:space="preserve">ReferenceTimePeriod</w:t>
      </w:r>
      <w:r>
        <w:t xml:space="preserve">; fix the recursive constructor; move </w:t>
      </w:r>
      <w:r>
        <w:rPr>
          <w:rFonts w:ascii="Consolas" w:cs="Consolas" w:eastAsia="Consolas" w:hAnsi="Consolas"/>
          <w:sz w:val="18"/>
          <w:szCs w:val="18"/>
          <w:shd w:fill="EEF1F5" w:color="auto" w:val="clear"/>
        </w:rPr>
        <w:t xml:space="preserve">ParsingException</w:t>
      </w:r>
      <w:r>
        <w:t xml:space="preserve"> into quant.</w:t>
      </w:r>
    </w:p>
    <w:p>
      <w:pPr>
        <w:pStyle w:val="ListParagraph"/>
        <w:numPr>
          <w:ilvl w:val="0"/>
          <w:numId w:val="6"/>
        </w:numPr>
        <w:spacing w:after="60"/>
      </w:pPr>
      <w:r>
        <w:t xml:space="preserve">Rewrite </w:t>
      </w:r>
      <w:r>
        <w:rPr>
          <w:rFonts w:ascii="Consolas" w:cs="Consolas" w:eastAsia="Consolas" w:hAnsi="Consolas"/>
          <w:sz w:val="18"/>
          <w:szCs w:val="18"/>
          <w:shd w:fill="EEF1F5" w:color="auto" w:val="clear"/>
        </w:rPr>
        <w:t xml:space="preserve">OvernightIndexSwap</w:t>
      </w:r>
      <w:r>
        <w:t xml:space="preserve"> as an immutable product and an </w:t>
      </w:r>
      <w:r>
        <w:rPr>
          <w:rFonts w:ascii="Consolas" w:cs="Consolas" w:eastAsia="Consolas" w:hAnsi="Consolas"/>
          <w:sz w:val="18"/>
          <w:szCs w:val="18"/>
          <w:shd w:fill="EEF1F5" w:color="auto" w:val="clear"/>
        </w:rPr>
        <w:t xml:space="preserve">OisPricer</w:t>
      </w:r>
      <w:r>
        <w:t xml:space="preserve"> (or quarantine it until the spike decides).</w:t>
      </w:r>
    </w:p>
    <w:p>
      <w:pPr>
        <w:pStyle w:val="ListParagraph"/>
        <w:numPr>
          <w:ilvl w:val="0"/>
          <w:numId w:val="6"/>
        </w:numPr>
        <w:spacing w:after="60"/>
      </w:pPr>
      <w:r>
        <w:t xml:space="preserve">Consolidate the duplicate </w:t>
      </w:r>
      <w:r>
        <w:rPr>
          <w:rFonts w:ascii="Consolas" w:cs="Consolas" w:eastAsia="Consolas" w:hAnsi="Consolas"/>
          <w:sz w:val="18"/>
          <w:szCs w:val="18"/>
          <w:shd w:fill="EEF1F5" w:color="auto" w:val="clear"/>
        </w:rPr>
        <w:t xml:space="preserve">BusinessDayCalendar</w:t>
      </w:r>
      <w:r>
        <w:t xml:space="preserve">, </w:t>
      </w:r>
      <w:r>
        <w:rPr>
          <w:rFonts w:ascii="Consolas" w:cs="Consolas" w:eastAsia="Consolas" w:hAnsi="Consolas"/>
          <w:sz w:val="18"/>
          <w:szCs w:val="18"/>
          <w:shd w:fill="EEF1F5" w:color="auto" w:val="clear"/>
        </w:rPr>
        <w:t xml:space="preserve">DayCountConventionType</w:t>
      </w:r>
      <w:r>
        <w:t xml:space="preserve">, title bar, tab manager and form factory classes.</w:t>
      </w:r>
    </w:p>
    <w:p>
      <w:pPr>
        <w:pStyle w:val="ListParagraph"/>
        <w:numPr>
          <w:ilvl w:val="0"/>
          <w:numId w:val="6"/>
        </w:numPr>
        <w:spacing w:after="60"/>
      </w:pPr>
      <w:r>
        <w:t xml:space="preserve">Fix sample data: ISO dates in </w:t>
      </w:r>
      <w:r>
        <w:rPr>
          <w:rFonts w:ascii="Consolas" w:cs="Consolas" w:eastAsia="Consolas" w:hAnsi="Consolas"/>
          <w:sz w:val="18"/>
          <w:szCs w:val="18"/>
          <w:shd w:fill="EEF1F5" w:color="auto" w:val="clear"/>
        </w:rPr>
        <w:t xml:space="preserve">holidays.csv</w:t>
      </w:r>
      <w:r>
        <w:t xml:space="preserve">, unquoted </w:t>
      </w:r>
      <w:r>
        <w:rPr>
          <w:rFonts w:ascii="Consolas" w:cs="Consolas" w:eastAsia="Consolas" w:hAnsi="Consolas"/>
          <w:sz w:val="18"/>
          <w:szCs w:val="18"/>
          <w:shd w:fill="EEF1F5" w:color="auto" w:val="clear"/>
        </w:rPr>
        <w:t xml:space="preserve">sofr_fixings.csv</w:t>
      </w:r>
      <w:r>
        <w:t xml:space="preserve">, add </w:t>
      </w:r>
      <w:r>
        <w:rPr>
          <w:rFonts w:ascii="Consolas" w:cs="Consolas" w:eastAsia="Consolas" w:hAnsi="Consolas"/>
          <w:sz w:val="18"/>
          <w:szCs w:val="18"/>
          <w:shd w:fill="EEF1F5" w:color="auto" w:val="clear"/>
        </w:rPr>
        <w:t xml:space="preserve">discount_curve.csv</w:t>
      </w:r>
      <w:r>
        <w:t xml:space="preserve">; load via classpath.</w:t>
      </w:r>
    </w:p>
    <w:p>
      <w:pPr>
        <w:pStyle w:val="ListParagraph"/>
        <w:numPr>
          <w:ilvl w:val="0"/>
          <w:numId w:val="6"/>
        </w:numPr>
        <w:spacing w:after="60"/>
      </w:pPr>
      <w:r>
        <w:t xml:space="preserve">Golden tests: day counts, Modified Following, calendars, interpolation, tenor parsing.</w:t>
      </w:r>
    </w:p>
    <w:p>
      <w:pPr>
        <w:pStyle w:val="ListParagraph"/>
        <w:numPr>
          <w:ilvl w:val="0"/>
          <w:numId w:val="6"/>
        </w:numPr>
        <w:spacing w:after="60"/>
      </w:pPr>
      <w:r>
        <w:t xml:space="preserve">Strata vs own-code OIS spike and a QuantLib comparison script → ADR-0003.</w:t>
      </w:r>
    </w:p>
    <w:p>
      <w:pPr>
        <w:pStyle w:val="ListParagraph"/>
        <w:numPr>
          <w:ilvl w:val="0"/>
          <w:numId w:val="6"/>
        </w:numPr>
        <w:spacing w:after="60"/>
      </w:pPr>
      <w:r>
        <w:t xml:space="preserve">GitHub Actions CI (build, test, CodeQL, Dependabot, secret scanning); branch protection.</w:t>
      </w:r>
    </w:p>
    <w:p>
      <w:pPr>
        <w:pStyle w:val="ListParagraph"/>
        <w:numPr>
          <w:ilvl w:val="0"/>
          <w:numId w:val="6"/>
        </w:numPr>
        <w:spacing w:after="60"/>
      </w:pPr>
      <w:r>
        <w:t xml:space="preserve">ADR-0001 … ADR-0008 (see §3.4 and §10).</w:t>
      </w:r>
    </w:p>
    <w:p>
      <w:pPr>
        <w:pStyle w:val="ListParagraph"/>
        <w:numPr>
          <w:ilvl w:val="0"/>
          <w:numId w:val="6"/>
        </w:numPr>
        <w:spacing w:after="60"/>
      </w:pPr>
      <w:r>
        <w:t xml:space="preserve">Walking skeleton: </w:t>
      </w:r>
      <w:r>
        <w:rPr>
          <w:rFonts w:ascii="Consolas" w:cs="Consolas" w:eastAsia="Consolas" w:hAnsi="Consolas"/>
          <w:sz w:val="18"/>
          <w:szCs w:val="18"/>
          <w:shd w:fill="EEF1F5" w:color="auto" w:val="clear"/>
        </w:rPr>
        <w:t xml:space="preserve">nex-platform</w:t>
      </w:r>
      <w:r>
        <w:t xml:space="preserve"> (Spring Boot, Flyway, </w:t>
      </w:r>
      <w:r>
        <w:rPr>
          <w:rFonts w:ascii="Consolas" w:cs="Consolas" w:eastAsia="Consolas" w:hAnsi="Consolas"/>
          <w:sz w:val="18"/>
          <w:szCs w:val="18"/>
          <w:shd w:fill="EEF1F5" w:color="auto" w:val="clear"/>
        </w:rPr>
        <w:t xml:space="preserve">/api/v1/health</w:t>
      </w:r>
      <w:r>
        <w:t xml:space="preserve">, Keycloak login) + </w:t>
      </w:r>
      <w:r>
        <w:rPr>
          <w:rFonts w:ascii="Consolas" w:cs="Consolas" w:eastAsia="Consolas" w:hAnsi="Consolas"/>
          <w:sz w:val="18"/>
          <w:szCs w:val="18"/>
          <w:shd w:fill="EEF1F5" w:color="auto" w:val="clear"/>
        </w:rPr>
        <w:t xml:space="preserve">nex-web</w:t>
      </w:r>
      <w:r>
        <w:t xml:space="preserve"> shell + docker-compose.</w:t>
      </w:r>
    </w:p>
    <w:p>
      <w:pPr>
        <w:pStyle w:val="ListParagraph"/>
        <w:numPr>
          <w:ilvl w:val="0"/>
          <w:numId w:val="6"/>
        </w:numPr>
        <w:spacing w:after="60"/>
      </w:pPr>
      <w:r>
        <w:t xml:space="preserve">Wireframes: blotter, ticket, approvals, market-data upload, positions/P&amp;L, EOD.</w:t>
      </w:r>
    </w:p>
    <w:p>
      <w:pPr>
        <w:pStyle w:val="ListParagraph"/>
        <w:numPr>
          <w:ilvl w:val="0"/>
          <w:numId w:val="6"/>
        </w:numPr>
        <w:spacing w:after="60"/>
      </w:pPr>
      <w:r>
        <w:t xml:space="preserve">Pilot LOI; collect trade, market-data and P&amp;L fixtures and confirmation templates.</w:t>
      </w:r>
    </w:p>
    <w:p>
      <w:pPr>
        <w:pStyle w:val="ListParagraph"/>
        <w:numPr>
          <w:ilvl w:val="0"/>
          <w:numId w:val="6"/>
        </w:numPr>
        <w:spacing w:after="60"/>
      </w:pPr>
      <w:r>
        <w:t xml:space="preserve">Vendor due-diligence pack v0 (architecture overview, security policy, POPIA statement, data-residency statement).</w:t>
      </w:r>
    </w:p>
    <w:p>
      <w:r>
        <w:br w:type="page"/>
      </w:r>
    </w:p>
    <w:p>
      <w:pPr>
        <w:pStyle w:val="Heading1"/>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9"/>
        <w:gridCol w:w="8459"/>
      </w:tblGrid>
      <w:tr>
        <w:trPr>
          <w:cantSplit/>
          <w:tblHeader/>
        </w:trPr>
        <w:tc>
          <w:tcPr>
            <w:tcW w:type="dxa" w:w="117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Term</w:t>
            </w:r>
          </w:p>
        </w:tc>
        <w:tc>
          <w:tcPr>
            <w:tcW w:type="dxa" w:w="8459"/>
            <w:tcBorders>
              <w:top w:val="single" w:color="B7C3D3" w:sz="4"/>
              <w:left w:val="single" w:color="B7C3D3" w:sz="4"/>
              <w:bottom w:val="single" w:color="B7C3D3" w:sz="4"/>
              <w:right w:val="single" w:color="B7C3D3" w:sz="4"/>
            </w:tcBorders>
            <w:shd w:fill="1F3A5F" w:color="auto" w:val="clear"/>
            <w:tcMar>
              <w:top w:type="dxa" w:w="60"/>
              <w:left w:type="dxa" w:w="100"/>
              <w:bottom w:type="dxa" w:w="60"/>
              <w:right w:type="dxa" w:w="100"/>
            </w:tcMar>
          </w:tcPr>
          <w:p>
            <w:pPr>
              <w:spacing w:after="0" w:before="0"/>
              <w:jc w:val="left"/>
            </w:pPr>
            <w:r>
              <w:rPr>
                <w:b/>
                <w:bCs/>
                <w:color w:val="FFFFFF"/>
                <w:sz w:val="18"/>
                <w:szCs w:val="18"/>
              </w:rPr>
              <w:t xml:space="preserve">Meaning</w:t>
            </w:r>
          </w:p>
        </w:tc>
      </w:tr>
      <w:tr>
        <w:trPr>
          <w:cantSplit/>
        </w:trPr>
        <w:tc>
          <w:tcPr>
            <w:tcW w:type="dxa" w:w="11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OIS</w:t>
            </w:r>
          </w:p>
        </w:tc>
        <w:tc>
          <w:tcPr>
            <w:tcW w:type="dxa" w:w="84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Overnight Index Swap: exchanges a fixed rate for a compounded overnight rate (ZARONIA, SOFR)</w:t>
            </w:r>
          </w:p>
        </w:tc>
      </w:tr>
      <w:tr>
        <w:trPr>
          <w:cantSplit/>
        </w:trPr>
        <w:tc>
          <w:tcPr>
            <w:tcW w:type="dxa" w:w="11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ZARONIA</w:t>
            </w:r>
          </w:p>
        </w:tc>
        <w:tc>
          <w:tcPr>
            <w:tcW w:type="dxa" w:w="84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South African Rand Overnight Index Average, the SARB-administered successor benchmark to JIBAR</w:t>
            </w:r>
          </w:p>
        </w:tc>
      </w:tr>
      <w:tr>
        <w:trPr>
          <w:cantSplit/>
        </w:trPr>
        <w:tc>
          <w:tcPr>
            <w:tcW w:type="dxa" w:w="11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MTM / PV</w:t>
            </w:r>
          </w:p>
        </w:tc>
        <w:tc>
          <w:tcPr>
            <w:tcW w:type="dxa" w:w="84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Mark-to-market / present value of a trade under a given market-data snapshot</w:t>
            </w:r>
          </w:p>
        </w:tc>
      </w:tr>
      <w:tr>
        <w:trPr>
          <w:cantSplit/>
        </w:trPr>
        <w:tc>
          <w:tcPr>
            <w:tcW w:type="dxa" w:w="11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DV01</w:t>
            </w:r>
          </w:p>
        </w:tc>
        <w:tc>
          <w:tcPr>
            <w:tcW w:type="dxa" w:w="84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Change in PV for a 1 basis-point parallel move in rates</w:t>
            </w:r>
          </w:p>
        </w:tc>
      </w:tr>
      <w:tr>
        <w:trPr>
          <w:cantSplit/>
        </w:trPr>
        <w:tc>
          <w:tcPr>
            <w:tcW w:type="dxa" w:w="11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Maker-checker</w:t>
            </w:r>
          </w:p>
        </w:tc>
        <w:tc>
          <w:tcPr>
            <w:tcW w:type="dxa" w:w="84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Four-eyes control: one user enters a trade and a different user approves it</w:t>
            </w:r>
          </w:p>
        </w:tc>
      </w:tr>
      <w:tr>
        <w:trPr>
          <w:cantSplit/>
        </w:trPr>
        <w:tc>
          <w:tcPr>
            <w:tcW w:type="dxa" w:w="11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EOD</w:t>
            </w:r>
          </w:p>
        </w:tc>
        <w:tc>
          <w:tcPr>
            <w:tcW w:type="dxa" w:w="84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End-of-day process: freeze market data, revalue, compute P&amp;L, produce reports</w:t>
            </w:r>
          </w:p>
        </w:tc>
      </w:tr>
      <w:tr>
        <w:trPr>
          <w:cantSplit/>
        </w:trPr>
        <w:tc>
          <w:tcPr>
            <w:tcW w:type="dxa" w:w="11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Snapshot</w:t>
            </w:r>
          </w:p>
        </w:tc>
        <w:tc>
          <w:tcPr>
            <w:tcW w:type="dxa" w:w="84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Immutable set of market data for a business date that valuations reference</w:t>
            </w:r>
          </w:p>
        </w:tc>
      </w:tr>
      <w:tr>
        <w:trPr>
          <w:cantSplit/>
        </w:trPr>
        <w:tc>
          <w:tcPr>
            <w:tcW w:type="dxa" w:w="11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Outbox pattern</w:t>
            </w:r>
          </w:p>
        </w:tc>
        <w:tc>
          <w:tcPr>
            <w:tcW w:type="dxa" w:w="84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Writing events in the same DB transaction as state changes, then publishing them reliably</w:t>
            </w:r>
          </w:p>
        </w:tc>
      </w:tr>
      <w:tr>
        <w:trPr>
          <w:cantSplit/>
        </w:trPr>
        <w:tc>
          <w:tcPr>
            <w:tcW w:type="dxa" w:w="117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b/>
                <w:bCs/>
                <w:sz w:val="18"/>
                <w:szCs w:val="18"/>
              </w:rPr>
              <w:t xml:space="preserve">ADR</w:t>
            </w:r>
          </w:p>
        </w:tc>
        <w:tc>
          <w:tcPr>
            <w:tcW w:type="dxa" w:w="8459"/>
            <w:tcBorders>
              <w:top w:val="single" w:color="B7C3D3" w:sz="4"/>
              <w:left w:val="single" w:color="B7C3D3" w:sz="4"/>
              <w:bottom w:val="single" w:color="B7C3D3" w:sz="4"/>
              <w:right w:val="single" w:color="B7C3D3" w:sz="4"/>
            </w:tcBorders>
            <w:tcMar>
              <w:top w:type="dxa" w:w="60"/>
              <w:left w:type="dxa" w:w="100"/>
              <w:bottom w:type="dxa" w:w="60"/>
              <w:right w:type="dxa" w:w="100"/>
            </w:tcMar>
          </w:tcPr>
          <w:p>
            <w:pPr>
              <w:spacing w:after="0" w:before="0"/>
              <w:jc w:val="left"/>
            </w:pPr>
            <w:r>
              <w:rPr>
                <w:sz w:val="18"/>
                <w:szCs w:val="18"/>
              </w:rPr>
              <w:t xml:space="preserve">Architecture Decision Record</w:t>
            </w:r>
          </w:p>
        </w:tc>
      </w:tr>
      <w:tr>
        <w:trPr>
          <w:cantSplit/>
        </w:trPr>
        <w:tc>
          <w:tcPr>
            <w:tcW w:type="dxa" w:w="117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b/>
                <w:bCs/>
                <w:sz w:val="18"/>
                <w:szCs w:val="18"/>
              </w:rPr>
              <w:t xml:space="preserve">Golden test</w:t>
            </w:r>
          </w:p>
        </w:tc>
        <w:tc>
          <w:tcPr>
            <w:tcW w:type="dxa" w:w="8459"/>
            <w:tcBorders>
              <w:top w:val="single" w:color="B7C3D3" w:sz="4"/>
              <w:left w:val="single" w:color="B7C3D3" w:sz="4"/>
              <w:bottom w:val="single" w:color="B7C3D3" w:sz="4"/>
              <w:right w:val="single" w:color="B7C3D3" w:sz="4"/>
            </w:tcBorders>
            <w:shd w:fill="F3F6FA" w:color="auto" w:val="clear"/>
            <w:tcMar>
              <w:top w:type="dxa" w:w="60"/>
              <w:left w:type="dxa" w:w="100"/>
              <w:bottom w:type="dxa" w:w="60"/>
              <w:right w:type="dxa" w:w="100"/>
            </w:tcMar>
          </w:tcPr>
          <w:p>
            <w:pPr>
              <w:spacing w:after="0" w:before="0"/>
              <w:jc w:val="left"/>
            </w:pPr>
            <w:r>
              <w:rPr>
                <w:sz w:val="18"/>
                <w:szCs w:val="18"/>
              </w:rPr>
              <w:t xml:space="preserve">A test comparing our output to an independently produced reference value</w:t>
            </w:r>
          </w:p>
        </w:tc>
      </w:tr>
    </w:tbl>
    <w:p>
      <w:pPr>
        <w:spacing w:after="120"/>
      </w:pP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B80"/>
        <w:sz w:val="16"/>
        <w:szCs w:val="16"/>
      </w:rPr>
      <w:t xml:space="preserve">Nex — Architecture Plan &amp; Delivery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A5F"/>
      <w:sz w:val="32"/>
      <w:szCs w:val="32"/>
    </w:rPr>
  </w:style>
  <w:style w:type="paragraph" w:styleId="Heading2">
    <w:name w:val="Heading 2"/>
    <w:basedOn w:val="Normal"/>
    <w:next w:val="Normal"/>
    <w:qFormat/>
    <w:pPr>
      <w:keepNext/>
      <w:spacing w:after="120" w:before="280"/>
      <w:outlineLvl w:val="1"/>
    </w:pPr>
    <w:rPr>
      <w:b/>
      <w:bCs/>
      <w:color w:val="1F3A5F"/>
      <w:sz w:val="26"/>
      <w:szCs w:val="26"/>
    </w:rPr>
  </w:style>
  <w:style w:type="paragraph" w:styleId="Heading3">
    <w:name w:val="Heading 3"/>
    <w:basedOn w:val="Normal"/>
    <w:next w:val="Normal"/>
    <w:qFormat/>
    <w:pPr>
      <w:keepNext/>
      <w:spacing w:after="100" w:before="200"/>
      <w:outlineLvl w:val="2"/>
    </w:pPr>
    <w:rPr>
      <w:b/>
      <w:bCs/>
      <w:color w:val="2E5C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13ae10daa05bce7cc54ecb1726c10e0a56bc3b7.png"/><Relationship Id="rId10" Type="http://schemas.openxmlformats.org/officeDocument/2006/relationships/image" Target="media/beffca3b1c57e1bcdad572b5bca05362afd76d0e.png"/><Relationship Id="rId11" Type="http://schemas.openxmlformats.org/officeDocument/2006/relationships/image" Target="media/5611a5f3e3c15f5f69d03c58b400a43aa5648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 — Architecture Plan &amp; Delivery Roadmap</dc:title>
  <dc:creator>Alinta Tech Solutions</dc:creator>
  <cp:lastModifiedBy>Un-named</cp:lastModifiedBy>
  <cp:revision>1</cp:revision>
  <dcterms:created xsi:type="dcterms:W3CDTF">2026-09-24T04:35:27.297Z</dcterms:created>
  <dcterms:modified xsi:type="dcterms:W3CDTF">2026-09-24T04:35:27.298Z</dcterms:modified>
</cp:coreProperties>
</file>

<file path=docProps/custom.xml><?xml version="1.0" encoding="utf-8"?>
<Properties xmlns="http://schemas.openxmlformats.org/officeDocument/2006/custom-properties" xmlns:vt="http://schemas.openxmlformats.org/officeDocument/2006/docPropsVTypes"/>
</file>