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Типы коммуникаций — финальная карта</w:t>
      </w:r>
    </w:p>
    <w:p>
      <w:pPr>
        <w:jc w:val="center"/>
      </w:pPr>
      <w:r>
        <w:rPr>
          <w:rFonts w:ascii="Arial" w:hAnsi="Arial"/>
          <w:color w:val="666666"/>
          <w:sz w:val="24"/>
        </w:rPr>
        <w:t>Все типы сообщений продукта и примеры под каждым</w:t>
      </w:r>
    </w:p>
    <w:p/>
    <w:p>
      <w:r>
        <w:rPr>
          <w:rFonts w:ascii="Arial" w:hAnsi="Arial"/>
          <w:b w:val="0"/>
          <w:i/>
          <w:color w:val="666666"/>
          <w:sz w:val="20"/>
        </w:rPr>
        <w:t>Две семьи: «слой сообщений» (всплывает поверх контента) и «состояния экрана» (сами являются экраном). Примечание: названия Notification и Snackbar в этом продукте используются в значении, обратном индустри-стандарту — зафиксировать с разработкой во избежание путаницы.</w:t>
      </w:r>
    </w:p>
    <w:p/>
    <w:p>
      <w:pPr>
        <w:pStyle w:val="Heading1"/>
      </w:pPr>
      <w:r>
        <w:rPr>
          <w:rFonts w:ascii="Arial" w:hAnsi="Arial"/>
          <w:color w:val="000000"/>
        </w:rPr>
        <w:t>Семья 1. Слой сообщений (всплывает поверх контента)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F2C744"/>
          </w:tcPr>
          <w:p>
            <w:r/>
            <w:r>
              <w:rPr>
                <w:rFonts w:ascii="Arial" w:hAnsi="Arial"/>
                <w:b/>
                <w:sz w:val="20"/>
              </w:rPr>
              <w:t>Компонент</w:t>
            </w:r>
          </w:p>
        </w:tc>
        <w:tc>
          <w:tcPr>
            <w:tcW w:type="dxa" w:w="3456"/>
            <w:shd w:val="clear" w:color="auto" w:fill="F2C744"/>
          </w:tcPr>
          <w:p>
            <w:r/>
            <w:r>
              <w:rPr>
                <w:rFonts w:ascii="Arial" w:hAnsi="Arial"/>
                <w:b/>
                <w:sz w:val="20"/>
              </w:rPr>
              <w:t>Описание</w:t>
            </w:r>
          </w:p>
        </w:tc>
        <w:tc>
          <w:tcPr>
            <w:tcW w:type="dxa" w:w="4752"/>
            <w:shd w:val="clear" w:color="auto" w:fill="F2C744"/>
          </w:tcPr>
          <w:p>
            <w:r/>
            <w:r>
              <w:rPr>
                <w:rFonts w:ascii="Arial" w:hAnsi="Arial"/>
                <w:b/>
                <w:sz w:val="20"/>
              </w:rPr>
              <w:t>Примеры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Alert Dialog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9"/>
              </w:rPr>
              <w:t>Требует внимания пользователя. Перекрывает экран. Три варианта: блокирующий / обычный / событие.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ОБЫЧНЫЙ:</w:t>
            </w:r>
            <w:r>
              <w:br/>
            </w:r>
            <w:r>
              <w:rPr>
                <w:rFonts w:ascii="Arial" w:hAnsi="Arial"/>
                <w:b w:val="0"/>
                <w:sz w:val="19"/>
              </w:rPr>
              <w:t>Проверка возраста (Age Control), KYC (Мексика), Re-KYC, Проверка верификации (Verify Email), Первый бонус (First Bonus), Купоны после регистрации, Предупреждение SIGAP, Подтверждение действия (Confirm Action), Подтверждение смены пароля</w:t>
            </w:r>
            <w:r>
              <w:br/>
            </w:r>
            <w:r>
              <w:rPr>
                <w:rFonts w:ascii="Arial" w:hAnsi="Arial"/>
                <w:b/>
                <w:sz w:val="19"/>
              </w:rPr>
              <w:t>БЛОКИРУЮЩИЙ:</w:t>
            </w:r>
            <w:r>
              <w:br/>
            </w:r>
            <w:r>
              <w:rPr>
                <w:rFonts w:ascii="Arial" w:hAnsi="Arial"/>
                <w:b w:val="0"/>
                <w:sz w:val="19"/>
              </w:rPr>
              <w:t>Жёсткая блокировка SIGAP, Лимит игрового времени (Session Limit), Принудительная смена пароля (Update Password), Обязательные лимиты после рег, Демо недоступно (No Demo Mode)</w:t>
            </w:r>
            <w:r>
              <w:br/>
            </w:r>
            <w:r>
              <w:rPr>
                <w:rFonts w:ascii="Arial" w:hAnsi="Arial"/>
                <w:b/>
                <w:sz w:val="19"/>
              </w:rPr>
              <w:t>СОБЫТИЕ:</w:t>
            </w:r>
            <w:r>
              <w:br/>
            </w:r>
            <w:r>
              <w:rPr>
                <w:rFonts w:ascii="Arial" w:hAnsi="Arial"/>
                <w:b w:val="0"/>
                <w:sz w:val="19"/>
              </w:rPr>
              <w:t>Повышение уровня (Level Up), VIP-статус, Выигрыш (Win), Награда за друга (Referral), Выбор бонуса (Available Bonus), Новая карточка (New Card), Промокод активирован (Promo Activated)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Bottom Sheet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9"/>
              </w:rPr>
              <w:t>Дополнительное действие или выбор, связанный с текущим экраном.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Быстрое пополнение счёта (Fast PIX), Выбор платёжного метода, Подтверждение лимитов (Confirmar limites)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Snackbar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9"/>
              </w:rPr>
              <w:t>Висит, пока пользователь не закроет. Есть действие + закрытие (✕). Появляется в контексте.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Доступна новая версия — «Atualizar» (обновить страницу)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Notification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9"/>
              </w:rPr>
              <w:t>Floating-поведение, авто-скрытие 2–5 сек. Краткое подтверждение/системное событие, не требующее отдельного действия. (Блок System / Bonus — 15 шт.)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СИСТЕМНЫЕ:</w:t>
            </w:r>
            <w:r>
              <w:br/>
            </w:r>
            <w:r>
              <w:rPr>
                <w:rFonts w:ascii="Arial" w:hAnsi="Arial"/>
                <w:b w:val="0"/>
                <w:sz w:val="19"/>
              </w:rPr>
              <w:t>Депозит подтверждён, Игра добавлена в избранное, Игра удалена из избранного, Геолокация запрещена, Ошибка обработки запроса, Ошибка пополнения, Ошибка записи в розыгрыш, Лимит проигрышей достигнут, Лимит ставок достигнут, Бонус не для этого вида спорта</w:t>
            </w:r>
            <w:r>
              <w:br/>
            </w:r>
            <w:r>
              <w:rPr>
                <w:rFonts w:ascii="Arial" w:hAnsi="Arial"/>
                <w:b/>
                <w:sz w:val="19"/>
              </w:rPr>
              <w:t>БОНУСНЫЕ:</w:t>
            </w:r>
            <w:r>
              <w:br/>
            </w:r>
            <w:r>
              <w:rPr>
                <w:rFonts w:ascii="Arial" w:hAnsi="Arial"/>
                <w:b w:val="0"/>
                <w:sz w:val="19"/>
              </w:rPr>
              <w:t>Недостаточно средств, Ошибка активации бонуса, Фриспины уже активны, Неверная сумма ставки (фрибет), Ставка не идёт в отыгрыш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Inline Message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9"/>
              </w:rPr>
              <w:t>Сообщение внутри страницы или формы. Не прерывает сценарий пользователя.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«Solicitação recebida com sucesso» (успех над формой), Ошибка валидации поля, Подсказки/helper-тексты в форме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Banner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9"/>
              </w:rPr>
              <w:t>Постоянный информационный блок или согласие в контенте либо поверх интерфейса.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Cookie Banner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Семья 2. Состояния экрана (сами являются экраном)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F2C744"/>
          </w:tcPr>
          <w:p>
            <w:r/>
            <w:r>
              <w:rPr>
                <w:rFonts w:ascii="Arial" w:hAnsi="Arial"/>
                <w:b/>
                <w:sz w:val="20"/>
              </w:rPr>
              <w:t>Компонент</w:t>
            </w:r>
          </w:p>
        </w:tc>
        <w:tc>
          <w:tcPr>
            <w:tcW w:type="dxa" w:w="3456"/>
            <w:shd w:val="clear" w:color="auto" w:fill="F2C744"/>
          </w:tcPr>
          <w:p>
            <w:r/>
            <w:r>
              <w:rPr>
                <w:rFonts w:ascii="Arial" w:hAnsi="Arial"/>
                <w:b/>
                <w:sz w:val="20"/>
              </w:rPr>
              <w:t>Описание</w:t>
            </w:r>
          </w:p>
        </w:tc>
        <w:tc>
          <w:tcPr>
            <w:tcW w:type="dxa" w:w="4752"/>
            <w:shd w:val="clear" w:color="auto" w:fill="F2C744"/>
          </w:tcPr>
          <w:p>
            <w:r/>
            <w:r>
              <w:rPr>
                <w:rFonts w:ascii="Arial" w:hAnsi="Arial"/>
                <w:b/>
                <w:sz w:val="20"/>
              </w:rPr>
              <w:t>Примеры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Empty state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9"/>
              </w:rPr>
              <w:t>Раздел или экран без данных. Объясняет, почему пусто, и подсказывает следующий шаг.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«История изменений пуста» (Ainda não há alterações), Пустая история ставок, Нет активных бонусов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Full-screen state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9"/>
              </w:rPr>
              <w:t>Полноэкранное состояние: сам экран и есть сообщение (успех/ошибка/сервис). Опционально — решить, формализуем ли как компонент.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Регистрация и верификация завершены, Подтверждение телефона, Требуется обновление, Технические работы, «Что-то пошло не так», Доступ заблокирован, Аккаунт зарегистрирован (ожидает верификации)</w:t>
            </w:r>
          </w:p>
        </w:tc>
      </w:tr>
    </w:tbl>
    <w:p/>
    <w:p>
      <w:r>
        <w:rPr>
          <w:rFonts w:ascii="Arial" w:hAnsi="Arial"/>
          <w:b/>
          <w:i w:val="0"/>
          <w:sz w:val="21"/>
        </w:rPr>
        <w:t>Итого: 6 типов в слое сообщений + 2 состояния экрана. Все ранее собранные сообщения (≈38 из аудита + экраны с досок) распределены без остатка.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