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QE-SAC-FL: System Components &amp; Features</w:t>
      </w:r>
    </w:p>
    <w:p>
      <w:pPr>
        <w:jc w:val="center"/>
      </w:pPr>
      <w:r>
        <w:t>Ing Muyleang — Pukyong National University, Quantum Computing Lab</w:t>
      </w:r>
    </w:p>
    <w:p>
      <w:pPr>
        <w:jc w:val="center"/>
      </w:pPr>
      <w:r>
        <w:t>For team discussion — April 2026</w:t>
      </w:r>
    </w:p>
    <w:p/>
    <w:p>
      <w:pPr>
        <w:pStyle w:val="Heading1"/>
      </w:pPr>
      <w:r>
        <w:t>1. What We Built — System Overview</w:t>
      </w:r>
    </w:p>
    <w:p>
      <w:r>
        <w:rPr>
          <w:b/>
        </w:rPr>
        <w:t>QE-SAC-FL</w:t>
      </w:r>
      <w:r>
        <w:t xml:space="preserve"> is a Federated Quantum-Enhanced Soft Actor-Critic framework for Volt-VAR Control (VVC) across multiple power utilities with different grid sizes. It extends Lin et al. (2025) QE-SAC from a single utility to a federated multi-utility setting.</w:t>
      </w:r>
    </w:p>
    <w:p/>
    <w:p>
      <w:r>
        <w:t>The system has two main innovations:</w:t>
      </w:r>
    </w:p>
    <w:p>
      <w:pPr>
        <w:pStyle w:val="ListNumber"/>
      </w:pPr>
      <w:r>
        <w:t>1. Identifies and solves a new problem called heterogeneous FL</w:t>
      </w:r>
    </w:p>
    <w:p>
      <w:pPr>
        <w:pStyle w:val="ListNumber"/>
      </w:pPr>
      <w:r>
        <w:t>2. Enables FL across heterogeneous grids using only 280 parameters per round</w:t>
      </w:r>
    </w:p>
    <w:p>
      <w:pPr>
        <w:pStyle w:val="Heading1"/>
      </w:pPr>
      <w:r>
        <w:t>2. Full System Architecture — All Components</w:t>
      </w:r>
    </w:p>
    <w:p>
      <w:r>
        <w:t>The full pipeline for each client (utility)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obs [B, obs_dim]  ← different per client (42, 111, 345)</w:t>
              <w:br/>
              <w:t xml:space="preserve">  ↓</w:t>
              <w:br/>
              <w:t>[1] LocalEncoder (PRIVATE — never shared)</w:t>
              <w:br/>
              <w:t xml:space="preserve">    MLP: obs_dim → 64 → 32    OR    GNN: graph nodes → pool → 32</w:t>
              <w:br/>
              <w:t xml:space="preserve">  ↓</w:t>
              <w:br/>
              <w:t xml:space="preserve">  h [B, 32]</w:t>
              <w:br/>
              <w:t xml:space="preserve">  ↓</w:t>
              <w:br/>
              <w:t>[2] SharedEncoderHead (FEDERATED — 264 params)</w:t>
              <w:br/>
              <w:t xml:space="preserve">    Linear(32 → 8) + Tanh × π</w:t>
              <w:br/>
              <w:t xml:space="preserve">  ↓</w:t>
              <w:br/>
              <w:t xml:space="preserve">  z [B, 8]  ∈ (−π, π)   ← ALL clients same space after alignment</w:t>
              <w:br/>
              <w:t xml:space="preserve">  ↓</w:t>
              <w:br/>
              <w:t>[3] VQC — Variational Quantum Circuit (FEDERATED — 16 params)</w:t>
              <w:br/>
              <w:t xml:space="preserve">    8 qubits, 2 layers: RY(encoding) → CNOT → RX(trainable) → PauliZ measurement</w:t>
              <w:br/>
              <w:t xml:space="preserve">  ↓</w:t>
              <w:br/>
              <w:t xml:space="preserve">  q [B, 8]  ∈ (−1, 1)</w:t>
              <w:br/>
              <w:t xml:space="preserve">  ↓</w:t>
              <w:br/>
              <w:t>[4] Action Heads (PRIVATE — never shared)</w:t>
              <w:br/>
              <w:t xml:space="preserve">    N × Linear(8, |Ai|) + Softmax  (one per device type)</w:t>
              <w:br/>
              <w:t xml:space="preserve">  ↓</w:t>
              <w:br/>
              <w:t xml:space="preserve">  action: [cap1, cap2, reg_tap]</w:t>
            </w:r>
          </w:p>
        </w:tc>
      </w:tr>
    </w:tbl>
    <w:p/>
    <w:p>
      <w:pPr>
        <w:pStyle w:val="Heading1"/>
      </w:pPr>
      <w:r>
        <w:t>3. Component Details</w:t>
      </w:r>
    </w:p>
    <w:p>
      <w:pPr>
        <w:pStyle w:val="Heading2"/>
      </w:pPr>
      <w:r>
        <w:t>Component 1 — LocalEncoder (Private)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What it does</w:t>
            </w:r>
          </w:p>
        </w:tc>
        <w:tc>
          <w:tcPr>
            <w:tcW w:type="dxa" w:w="4320"/>
          </w:tcPr>
          <w:p>
            <w:r>
              <w:t>Compresses grid observation into 32-dim hidden vector</w:t>
            </w:r>
          </w:p>
        </w:tc>
      </w:tr>
      <w:tr>
        <w:tc>
          <w:tcPr>
            <w:tcW w:type="dxa" w:w="4320"/>
          </w:tcPr>
          <w:p>
            <w:r>
              <w:t>Who has it</w:t>
            </w:r>
          </w:p>
        </w:tc>
        <w:tc>
          <w:tcPr>
            <w:tcW w:type="dxa" w:w="4320"/>
          </w:tcPr>
          <w:p>
            <w:r>
              <w:t>Each client has its OWN — never shared with server</w:t>
            </w:r>
          </w:p>
        </w:tc>
      </w:tr>
      <w:tr>
        <w:tc>
          <w:tcPr>
            <w:tcW w:type="dxa" w:w="4320"/>
          </w:tcPr>
          <w:p>
            <w:r>
              <w:t>Why private</w:t>
            </w:r>
          </w:p>
        </w:tc>
        <w:tc>
          <w:tcPr>
            <w:tcW w:type="dxa" w:w="4320"/>
          </w:tcPr>
          <w:p>
            <w:r>
              <w:t>Contains grid topology information — commercially sensitive, security risk</w:t>
            </w:r>
          </w:p>
        </w:tc>
      </w:tr>
      <w:tr>
        <w:tc>
          <w:tcPr>
            <w:tcW w:type="dxa" w:w="4320"/>
          </w:tcPr>
          <w:p>
            <w:r>
              <w:t>Two variants</w:t>
            </w:r>
          </w:p>
        </w:tc>
        <w:tc>
          <w:tcPr>
            <w:tcW w:type="dxa" w:w="4320"/>
          </w:tcPr>
          <w:p>
            <w:r>
              <w:t>MLP: flat compression  |  GNN: topology-aware (uses adjacency matrix)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~2,700 params (13-bus) to ~22,000 params (123-bus) — scales with grid size</w:t>
            </w:r>
          </w:p>
        </w:tc>
      </w:tr>
      <w:tr>
        <w:tc>
          <w:tcPr>
            <w:tcW w:type="dxa" w:w="4320"/>
          </w:tcPr>
          <w:p>
            <w:r>
              <w:t>Key point</w:t>
            </w:r>
          </w:p>
        </w:tc>
        <w:tc>
          <w:tcPr>
            <w:tcW w:type="dxa" w:w="4320"/>
          </w:tcPr>
          <w:p>
            <w:r>
              <w:t>Because this stays private, utilities never reveal their grid topology</w:t>
            </w:r>
          </w:p>
        </w:tc>
      </w:tr>
    </w:tbl>
    <w:p/>
    <w:p>
      <w:pPr>
        <w:pStyle w:val="Heading2"/>
      </w:pPr>
      <w:r>
        <w:t>Component 2 — SharedEncoderHead (Federated)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What it does</w:t>
            </w:r>
          </w:p>
        </w:tc>
        <w:tc>
          <w:tcPr>
            <w:tcW w:type="dxa" w:w="4320"/>
          </w:tcPr>
          <w:p>
            <w:r>
              <w:t>Maps 32-dim local feature to 8-dim quantum input in (−π, π)</w:t>
            </w:r>
          </w:p>
        </w:tc>
      </w:tr>
      <w:tr>
        <w:tc>
          <w:tcPr>
            <w:tcW w:type="dxa" w:w="4320"/>
          </w:tcPr>
          <w:p>
            <w:r>
              <w:t>Who has it</w:t>
            </w:r>
          </w:p>
        </w:tc>
        <w:tc>
          <w:tcPr>
            <w:tcW w:type="dxa" w:w="4320"/>
          </w:tcPr>
          <w:p>
            <w:r>
              <w:t>ALL clients share the same weights — this is what gets FedAvg'd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32×8 + 8 = 264 params</w:t>
            </w:r>
          </w:p>
        </w:tc>
      </w:tr>
      <w:tr>
        <w:tc>
          <w:tcPr>
            <w:tcW w:type="dxa" w:w="4320"/>
          </w:tcPr>
          <w:p>
            <w:r>
              <w:t>Why shared</w:t>
            </w:r>
          </w:p>
        </w:tc>
        <w:tc>
          <w:tcPr>
            <w:tcW w:type="dxa" w:w="4320"/>
          </w:tcPr>
          <w:p>
            <w:r>
              <w:t>Forces all clients into the SAME latent geometry — solves heterogeneous FL</w:t>
            </w:r>
          </w:p>
        </w:tc>
      </w:tr>
      <w:tr>
        <w:tc>
          <w:tcPr>
            <w:tcW w:type="dxa" w:w="4320"/>
          </w:tcPr>
          <w:p>
            <w:r>
              <w:t>Key constraint</w:t>
            </w:r>
          </w:p>
        </w:tc>
        <w:tc>
          <w:tcPr>
            <w:tcW w:type="dxa" w:w="4320"/>
          </w:tcPr>
          <w:p>
            <w:r>
              <w:t>Output is in (−π, π) range (via Tanh×π) — required for VQC encoding</w:t>
            </w:r>
          </w:p>
        </w:tc>
      </w:tr>
      <w:tr>
        <w:tc>
          <w:tcPr>
            <w:tcW w:type="dxa" w:w="4320"/>
          </w:tcPr>
          <w:p>
            <w:r>
              <w:t>This is new</w:t>
            </w:r>
          </w:p>
        </w:tc>
        <w:tc>
          <w:tcPr>
            <w:tcW w:type="dxa" w:w="4320"/>
          </w:tcPr>
          <w:p>
            <w:r>
              <w:t>Lin et al. (2025) does NOT have this — they train one client only</w:t>
            </w:r>
          </w:p>
        </w:tc>
      </w:tr>
    </w:tbl>
    <w:p/>
    <w:p>
      <w:pPr>
        <w:pStyle w:val="Heading2"/>
      </w:pPr>
      <w:r>
        <w:t>Component 3 — VQC (Variational Quantum Circuit, Federated)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What it does</w:t>
            </w:r>
          </w:p>
        </w:tc>
        <w:tc>
          <w:tcPr>
            <w:tcW w:type="dxa" w:w="4320"/>
          </w:tcPr>
          <w:p>
            <w:r>
              <w:t>Processes 8-dim latent vector using quantum operations</w:t>
            </w:r>
          </w:p>
        </w:tc>
      </w:tr>
      <w:tr>
        <w:tc>
          <w:tcPr>
            <w:tcW w:type="dxa" w:w="4320"/>
          </w:tcPr>
          <w:p>
            <w:r>
              <w:t>Circuit</w:t>
            </w:r>
          </w:p>
        </w:tc>
        <w:tc>
          <w:tcPr>
            <w:tcW w:type="dxa" w:w="4320"/>
          </w:tcPr>
          <w:p>
            <w:r>
              <w:t>8 qubits, 2 layers: RY(z_i) → CNOT chain → RX(θ_i) → PauliZ measurement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2 layers × 8 qubits = 16 trainable rotation angles</w:t>
            </w:r>
          </w:p>
        </w:tc>
      </w:tr>
      <w:tr>
        <w:tc>
          <w:tcPr>
            <w:tcW w:type="dxa" w:w="4320"/>
          </w:tcPr>
          <w:p>
            <w:r>
              <w:t>Who has it</w:t>
            </w:r>
          </w:p>
        </w:tc>
        <w:tc>
          <w:tcPr>
            <w:tcW w:type="dxa" w:w="4320"/>
          </w:tcPr>
          <w:p>
            <w:r>
              <w:t>ALL clients share same VQC weights — also FedAvg'd</w:t>
            </w:r>
          </w:p>
        </w:tc>
      </w:tr>
      <w:tr>
        <w:tc>
          <w:tcPr>
            <w:tcW w:type="dxa" w:w="4320"/>
          </w:tcPr>
          <w:p>
            <w:r>
              <w:t>From Lin et al.</w:t>
            </w:r>
          </w:p>
        </w:tc>
        <w:tc>
          <w:tcPr>
            <w:tcW w:type="dxa" w:w="4320"/>
          </w:tcPr>
          <w:p>
            <w:r>
              <w:t>Yes — we keep the exact same VQC as Lin et al. (2025), unchanged</w:t>
            </w:r>
          </w:p>
        </w:tc>
      </w:tr>
      <w:tr>
        <w:tc>
          <w:tcPr>
            <w:tcW w:type="dxa" w:w="4320"/>
          </w:tcPr>
          <w:p>
            <w:r>
              <w:t>Key property</w:t>
            </w:r>
          </w:p>
        </w:tc>
        <w:tc>
          <w:tcPr>
            <w:tcW w:type="dxa" w:w="4320"/>
          </w:tcPr>
          <w:p>
            <w:r>
              <w:t>16 params total — much smaller than any classical MLP (min ~144 params)</w:t>
            </w:r>
          </w:p>
        </w:tc>
      </w:tr>
    </w:tbl>
    <w:p/>
    <w:p>
      <w:pPr>
        <w:pStyle w:val="Heading2"/>
      </w:pPr>
      <w:r>
        <w:t>Component 4 — Action Heads (Private)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What it does</w:t>
            </w:r>
          </w:p>
        </w:tc>
        <w:tc>
          <w:tcPr>
            <w:tcW w:type="dxa" w:w="4320"/>
          </w:tcPr>
          <w:p>
            <w:r>
              <w:t>Maps 8-dim VQC output to probability over each device's actions</w:t>
            </w:r>
          </w:p>
        </w:tc>
      </w:tr>
      <w:tr>
        <w:tc>
          <w:tcPr>
            <w:tcW w:type="dxa" w:w="4320"/>
          </w:tcPr>
          <w:p>
            <w:r>
              <w:t>Who has it</w:t>
            </w:r>
          </w:p>
        </w:tc>
        <w:tc>
          <w:tcPr>
            <w:tcW w:type="dxa" w:w="4320"/>
          </w:tcPr>
          <w:p>
            <w:r>
              <w:t>Each client has its own — never shared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N × Linear(8, |Ai|) + Softmax, one head per controllable device</w:t>
            </w:r>
          </w:p>
        </w:tc>
      </w:tr>
      <w:tr>
        <w:tc>
          <w:tcPr>
            <w:tcW w:type="dxa" w:w="4320"/>
          </w:tcPr>
          <w:p>
            <w:r>
              <w:t>Example</w:t>
            </w:r>
          </w:p>
        </w:tc>
        <w:tc>
          <w:tcPr>
            <w:tcW w:type="dxa" w:w="4320"/>
          </w:tcPr>
          <w:p>
            <w:r>
              <w:t>13-bus: 3 heads for [cap1, cap2, reg] → [2, 2, 33] actions each</w:t>
            </w:r>
          </w:p>
        </w:tc>
      </w:tr>
      <w:tr>
        <w:tc>
          <w:tcPr>
            <w:tcW w:type="dxa" w:w="4320"/>
          </w:tcPr>
          <w:p>
            <w:r>
              <w:t>Why private</w:t>
            </w:r>
          </w:p>
        </w:tc>
        <w:tc>
          <w:tcPr>
            <w:tcW w:type="dxa" w:w="4320"/>
          </w:tcPr>
          <w:p>
            <w:r>
              <w:t>Different utilities have different devices — can't share</w:t>
            </w:r>
          </w:p>
        </w:tc>
      </w:tr>
    </w:tbl>
    <w:p/>
    <w:p>
      <w:pPr>
        <w:pStyle w:val="Heading2"/>
      </w:pPr>
      <w:r>
        <w:t>Component 5 — FedAvg Protocol (What Gets Sent Each Round)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Sent to server</w:t>
            </w:r>
          </w:p>
        </w:tc>
        <w:tc>
          <w:tcPr>
            <w:tcW w:type="dxa" w:w="4320"/>
          </w:tcPr>
          <w:p>
            <w:r>
              <w:t>SharedEncoderHead weights (264) + VQC weights (16) = 280 params = 1.1 KB</w:t>
            </w:r>
          </w:p>
        </w:tc>
      </w:tr>
      <w:tr>
        <w:tc>
          <w:tcPr>
            <w:tcW w:type="dxa" w:w="4320"/>
          </w:tcPr>
          <w:p>
            <w:r>
              <w:t>NOT sent</w:t>
            </w:r>
          </w:p>
        </w:tc>
        <w:tc>
          <w:tcPr>
            <w:tcW w:type="dxa" w:w="4320"/>
          </w:tcPr>
          <w:p>
            <w:r>
              <w:t>LocalEncoder, Critics, Action Heads, Replay Buffer</w:t>
            </w:r>
          </w:p>
        </w:tc>
      </w:tr>
      <w:tr>
        <w:tc>
          <w:tcPr>
            <w:tcW w:type="dxa" w:w="4320"/>
          </w:tcPr>
          <w:p>
            <w:r>
              <w:t>Aggregation</w:t>
            </w:r>
          </w:p>
        </w:tc>
        <w:tc>
          <w:tcPr>
            <w:tcW w:type="dxa" w:w="4320"/>
          </w:tcPr>
          <w:p>
            <w:r>
              <w:t>Simple weighted average across all clients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Once per FL round (every 1,000 local steps)</w:t>
            </w:r>
          </w:p>
        </w:tc>
      </w:tr>
      <w:tr>
        <w:tc>
          <w:tcPr>
            <w:tcW w:type="dxa" w:w="4320"/>
          </w:tcPr>
          <w:p>
            <w:r>
              <w:t>vs Classical SAC-FL</w:t>
            </w:r>
          </w:p>
        </w:tc>
        <w:tc>
          <w:tcPr>
            <w:tcW w:type="dxa" w:w="4320"/>
          </w:tcPr>
          <w:p>
            <w:r>
              <w:t>107,520 params per round → 383× more expensive</w:t>
            </w:r>
          </w:p>
        </w:tc>
      </w:tr>
      <w:tr>
        <w:tc>
          <w:tcPr>
            <w:tcW w:type="dxa" w:w="4320"/>
          </w:tcPr>
          <w:p>
            <w:r>
              <w:t>O(1) property</w:t>
            </w:r>
          </w:p>
        </w:tc>
        <w:tc>
          <w:tcPr>
            <w:tcW w:type="dxa" w:w="4320"/>
          </w:tcPr>
          <w:p>
            <w:r>
              <w:t>280 is CONSTANT regardless of grid size (42-dim or 345-dim obs)</w:t>
            </w:r>
          </w:p>
        </w:tc>
      </w:tr>
    </w:tbl>
    <w:p/>
    <w:p>
      <w:pPr>
        <w:pStyle w:val="Heading1"/>
      </w:pPr>
      <w:r>
        <w:t>4. The heterogeneous FL Problem — Why It Exists, Why It Matters</w:t>
      </w:r>
    </w:p>
    <w:p>
      <w:pPr>
        <w:pStyle w:val="Heading2"/>
      </w:pPr>
      <w:r>
        <w:t>What is heterogeneous FL?</w:t>
      </w:r>
    </w:p>
    <w:p>
      <w:r>
        <w:t>heterogeneous latent space mismatch (heterogeneous FL) is a new problem that appears ONLY when you try to federate quantum RL across clients with different observation dimensions.</w:t>
      </w:r>
    </w:p>
    <w:p>
      <w:pPr>
        <w:pStyle w:val="Heading2"/>
      </w:pPr>
      <w:r>
        <w:t>Why it happens:</w:t>
      </w:r>
    </w:p>
    <w:p>
      <w:r>
        <w:rPr>
          <w:b/>
        </w:rPr>
        <w:t xml:space="preserve">Step 1: </w:t>
      </w:r>
      <w:r>
        <w:t>Client A (13-bus, obs=42) trains LocalEncoder_A → produces z_A in subspace_A</w:t>
      </w:r>
    </w:p>
    <w:p>
      <w:r>
        <w:rPr>
          <w:b/>
        </w:rPr>
        <w:t xml:space="preserve">Step 2: </w:t>
      </w:r>
      <w:r>
        <w:t>Client B (34-bus, obs=111) trains LocalEncoder_B → produces z_B in subspace_B</w:t>
      </w:r>
    </w:p>
    <w:p>
      <w:r>
        <w:rPr>
          <w:b/>
        </w:rPr>
        <w:t xml:space="preserve">Step 3: </w:t>
      </w:r>
      <w:r>
        <w:t>subspace_A ≠ subspace_B (different dims, different training data)</w:t>
      </w:r>
    </w:p>
    <w:p>
      <w:r>
        <w:rPr>
          <w:b/>
        </w:rPr>
        <w:t xml:space="preserve">Step 4: </w:t>
      </w:r>
      <w:r>
        <w:t>FedAvg averages VQC gradients: ∂L_A/∂θ ≈ −∂L_B/∂θ → average ≈ 0</w:t>
      </w:r>
    </w:p>
    <w:p>
      <w:r>
        <w:rPr>
          <w:b/>
        </w:rPr>
        <w:t xml:space="preserve">Result: </w:t>
      </w:r>
      <w:r>
        <w:t>VQC gradient norm collapses to ~10⁻³ (barren plateau) → learning stops</w:t>
      </w:r>
    </w:p>
    <w:p>
      <w:pPr>
        <w:pStyle w:val="Heading2"/>
      </w:pPr>
      <w:r>
        <w:t>Why no prior work solves this:</w:t>
      </w:r>
    </w:p>
    <w:p>
      <w:r>
        <w:t>All existing quantum FL papers use HOMOGENEOUS clients (same obs_dim, same grid). heterogeneous FL only appears in HETEROGENEOUS settings (different grid sizes). This is the real-world scenario for multi-utility VVC — each utility has a different sized grid.</w:t>
      </w:r>
    </w:p>
    <w:p>
      <w:pPr>
        <w:pStyle w:val="Heading2"/>
      </w:pPr>
      <w:r>
        <w:t>Our fix — AlignedCAE:</w:t>
      </w:r>
    </w:p>
    <w:p>
      <w:r>
        <w:t>Force ALL clients to use the SAME SharedEncoderHead (W_shared). Now z_A = W_shared × h_A and z_B = W_shared × h_B → both in the SAME subspace. Gradients from A and B now point in the same direction → FedAvg works → VQC learns.</w:t>
      </w:r>
    </w:p>
    <w:p>
      <w:pPr>
        <w:pStyle w:val="Heading1"/>
      </w:pPr>
      <w:r>
        <w:t>5. Full Feature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Multi-utility FL</w:t>
            </w:r>
          </w:p>
        </w:tc>
        <w:tc>
          <w:tcPr>
            <w:tcW w:type="dxa" w:w="4320"/>
          </w:tcPr>
          <w:p>
            <w:r>
              <w:t>Train 3 utilities simultaneously, share knowledge without sharing data</w:t>
            </w:r>
          </w:p>
        </w:tc>
      </w:tr>
      <w:tr>
        <w:tc>
          <w:tcPr>
            <w:tcW w:type="dxa" w:w="4320"/>
          </w:tcPr>
          <w:p>
            <w:r>
              <w:t>Heterogeneous grids</w:t>
            </w:r>
          </w:p>
        </w:tc>
        <w:tc>
          <w:tcPr>
            <w:tcW w:type="dxa" w:w="4320"/>
          </w:tcPr>
          <w:p>
            <w:r>
              <w:t>Works with 13-bus (obs=42), 34-bus (obs=111), 123-bus (obs=345)</w:t>
            </w:r>
          </w:p>
        </w:tc>
      </w:tr>
      <w:tr>
        <w:tc>
          <w:tcPr>
            <w:tcW w:type="dxa" w:w="4320"/>
          </w:tcPr>
          <w:p>
            <w:r>
              <w:t>heterogeneous FL solved</w:t>
            </w:r>
          </w:p>
        </w:tc>
        <w:tc>
          <w:tcPr>
            <w:tcW w:type="dxa" w:w="4320"/>
          </w:tcPr>
          <w:p>
            <w:r>
              <w:t>AlignedCAE forces shared latent geometry — first work to solve this</w:t>
            </w:r>
          </w:p>
        </w:tc>
      </w:tr>
      <w:tr>
        <w:tc>
          <w:tcPr>
            <w:tcW w:type="dxa" w:w="4320"/>
          </w:tcPr>
          <w:p>
            <w:r>
              <w:t>Barren plateau prevention</w:t>
            </w:r>
          </w:p>
        </w:tc>
        <w:tc>
          <w:tcPr>
            <w:tcW w:type="dxa" w:w="4320"/>
          </w:tcPr>
          <w:p>
            <w:r>
              <w:t>Aligned gradients prevent VQC from collapsing during FL</w:t>
            </w:r>
          </w:p>
        </w:tc>
      </w:tr>
      <w:tr>
        <w:tc>
          <w:tcPr>
            <w:tcW w:type="dxa" w:w="4320"/>
          </w:tcPr>
          <w:p>
            <w:r>
              <w:t>Privacy-preserving</w:t>
            </w:r>
          </w:p>
        </w:tc>
        <w:tc>
          <w:tcPr>
            <w:tcW w:type="dxa" w:w="4320"/>
          </w:tcPr>
          <w:p>
            <w:r>
              <w:t>Grid topology (LocalEncoder) never leaves the client</w:t>
            </w:r>
          </w:p>
        </w:tc>
      </w:tr>
      <w:tr>
        <w:tc>
          <w:tcPr>
            <w:tcW w:type="dxa" w:w="4320"/>
          </w:tcPr>
          <w:p>
            <w:r>
              <w:t>O(1) communication</w:t>
            </w:r>
          </w:p>
        </w:tc>
        <w:tc>
          <w:tcPr>
            <w:tcW w:type="dxa" w:w="4320"/>
          </w:tcPr>
          <w:p>
            <w:r>
              <w:t>280 params/round regardless of grid size — constant cost</w:t>
            </w:r>
          </w:p>
        </w:tc>
      </w:tr>
      <w:tr>
        <w:tc>
          <w:tcPr>
            <w:tcW w:type="dxa" w:w="4320"/>
          </w:tcPr>
          <w:p>
            <w:r>
              <w:t>383× communication reduction</w:t>
            </w:r>
          </w:p>
        </w:tc>
        <w:tc>
          <w:tcPr>
            <w:tcW w:type="dxa" w:w="4320"/>
          </w:tcPr>
          <w:p>
            <w:r>
              <w:t>vs classical SAC-FL (107,520 params/round)</w:t>
            </w:r>
          </w:p>
        </w:tc>
      </w:tr>
      <w:tr>
        <w:tc>
          <w:tcPr>
            <w:tcW w:type="dxa" w:w="4320"/>
          </w:tcPr>
          <w:p>
            <w:r>
              <w:t>Quantum circuit preserved</w:t>
            </w:r>
          </w:p>
        </w:tc>
        <w:tc>
          <w:tcPr>
            <w:tcW w:type="dxa" w:w="4320"/>
          </w:tcPr>
          <w:p>
            <w:r>
              <w:t>Same VQC as Lin et al. (2025) — fair comparison</w:t>
            </w:r>
          </w:p>
        </w:tc>
      </w:tr>
      <w:tr>
        <w:tc>
          <w:tcPr>
            <w:tcW w:type="dxa" w:w="4320"/>
          </w:tcPr>
          <w:p>
            <w:r>
              <w:t>GNN variant</w:t>
            </w:r>
          </w:p>
        </w:tc>
        <w:tc>
          <w:tcPr>
            <w:tcW w:type="dxa" w:w="4320"/>
          </w:tcPr>
          <w:p>
            <w:r>
              <w:t>Optional GNN LocalEncoder for topology-aware encoding (fault recovery)</w:t>
            </w:r>
          </w:p>
        </w:tc>
      </w:tr>
      <w:tr>
        <w:tc>
          <w:tcPr>
            <w:tcW w:type="dxa" w:w="4320"/>
          </w:tcPr>
          <w:p>
            <w:r>
              <w:t>Personalized FL</w:t>
            </w:r>
          </w:p>
        </w:tc>
        <w:tc>
          <w:tcPr>
            <w:tcW w:type="dxa" w:w="4320"/>
          </w:tcPr>
          <w:p>
            <w:r>
              <w:t>After federated pre-training, fine-tune per client → further improvement</w:t>
            </w:r>
          </w:p>
        </w:tc>
      </w:tr>
      <w:tr>
        <w:tc>
          <w:tcPr>
            <w:tcW w:type="dxa" w:w="4320"/>
          </w:tcPr>
          <w:p>
            <w:r>
              <w:t>Statistical validation</w:t>
            </w:r>
          </w:p>
        </w:tc>
        <w:tc>
          <w:tcPr>
            <w:tcW w:type="dxa" w:w="4320"/>
          </w:tcPr>
          <w:p>
            <w:r>
              <w:t>n=5 seeds, Cohen's d, p-value, Bonferroni correction</w:t>
            </w:r>
          </w:p>
        </w:tc>
      </w:tr>
      <w:tr>
        <w:tc>
          <w:tcPr>
            <w:tcW w:type="dxa" w:w="4320"/>
          </w:tcPr>
          <w:p>
            <w:r>
              <w:t>Real OpenDSS validation</w:t>
            </w:r>
          </w:p>
        </w:tc>
        <w:tc>
          <w:tcPr>
            <w:tcW w:type="dxa" w:w="4320"/>
          </w:tcPr>
          <w:p>
            <w:r>
              <w:t>3-phase AC physics, real IEEE feeder data</w:t>
            </w:r>
          </w:p>
        </w:tc>
      </w:tr>
    </w:tbl>
    <w:p/>
    <w:p>
      <w:pPr>
        <w:pStyle w:val="Heading1"/>
      </w:pPr>
      <w:r>
        <w:t>6. What We Did NOT Invent (Be Honest)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VQC circuit design</w:t>
            </w:r>
          </w:p>
        </w:tc>
        <w:tc>
          <w:tcPr>
            <w:tcW w:type="dxa" w:w="4320"/>
          </w:tcPr>
          <w:p>
            <w:r>
              <w:t>From Lin et al. (2025) — we use the same 8-qubit, 2-layer circuit</w:t>
            </w:r>
          </w:p>
        </w:tc>
      </w:tr>
      <w:tr>
        <w:tc>
          <w:tcPr>
            <w:tcW w:type="dxa" w:w="4320"/>
          </w:tcPr>
          <w:p>
            <w:r>
              <w:t>SAC algorithm</w:t>
            </w:r>
          </w:p>
        </w:tc>
        <w:tc>
          <w:tcPr>
            <w:tcW w:type="dxa" w:w="4320"/>
          </w:tcPr>
          <w:p>
            <w:r>
              <w:t>Standard Soft Actor-Critic (Haarnoja et al. 2018)</w:t>
            </w:r>
          </w:p>
        </w:tc>
      </w:tr>
      <w:tr>
        <w:tc>
          <w:tcPr>
            <w:tcW w:type="dxa" w:w="4320"/>
          </w:tcPr>
          <w:p>
            <w:r>
              <w:t>FedAvg</w:t>
            </w:r>
          </w:p>
        </w:tc>
        <w:tc>
          <w:tcPr>
            <w:tcW w:type="dxa" w:w="4320"/>
          </w:tcPr>
          <w:p>
            <w:r>
              <w:t>Standard federated averaging (McMahan et al. 2017)</w:t>
            </w:r>
          </w:p>
        </w:tc>
      </w:tr>
      <w:tr>
        <w:tc>
          <w:tcPr>
            <w:tcW w:type="dxa" w:w="4320"/>
          </w:tcPr>
          <w:p>
            <w:r>
              <w:t>IEEE test feeders</w:t>
            </w:r>
          </w:p>
        </w:tc>
        <w:tc>
          <w:tcPr>
            <w:tcW w:type="dxa" w:w="4320"/>
          </w:tcPr>
          <w:p>
            <w:r>
              <w:t>Standard benchmarks (IEEE PES 1992)</w:t>
            </w:r>
          </w:p>
        </w:tc>
      </w:tr>
      <w:tr>
        <w:tc>
          <w:tcPr>
            <w:tcW w:type="dxa" w:w="4320"/>
          </w:tcPr>
          <w:p>
            <w:r>
              <w:t>CAE (autoencoder)</w:t>
            </w:r>
          </w:p>
        </w:tc>
        <w:tc>
          <w:tcPr>
            <w:tcW w:type="dxa" w:w="4320"/>
          </w:tcPr>
          <w:p>
            <w:r>
              <w:t>Concept from Lin et al. — we extend it to the shared/private split</w:t>
            </w:r>
          </w:p>
        </w:tc>
      </w:tr>
    </w:tbl>
    <w:p>
      <w:pPr>
        <w:pStyle w:val="Heading1"/>
      </w:pPr>
      <w:r>
        <w:t>7. Open Questions for Wednesday Discussion</w:t>
      </w:r>
    </w:p>
    <w:p>
      <w:pPr>
        <w:pStyle w:val="ListBullet"/>
      </w:pPr>
      <w:r>
        <w:t>1. Is the variance reduction (±0.016 vs ±0.055) sufficient as a main result, or do we need larger reward improvement?</w:t>
      </w:r>
    </w:p>
    <w:p>
      <w:pPr>
        <w:pStyle w:val="ListBullet"/>
      </w:pPr>
      <w:r>
        <w:t>2. Should we add batteries to match Lin et al. exactly, or is the simplified action space acceptable?</w:t>
      </w:r>
    </w:p>
    <w:p>
      <w:pPr>
        <w:pStyle w:val="ListBullet"/>
      </w:pPr>
      <w:r>
        <w:t>3. Is the GNN variant worth including, or focus on MLP only?</w:t>
      </w:r>
    </w:p>
    <w:p>
      <w:pPr>
        <w:pStyle w:val="ListBullet"/>
      </w:pPr>
      <w:r>
        <w:t>4. Target venue: IEEE Transactions on Smart Grid — is this the right fit?</w:t>
      </w:r>
    </w:p>
    <w:p>
      <w:pPr>
        <w:pStyle w:val="ListBullet"/>
      </w:pPr>
      <w:r>
        <w:t>5. Are there additional baselines we should compare against?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