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33E37" w14:textId="77777777" w:rsidR="005648FC" w:rsidRPr="004547B1" w:rsidRDefault="005648FC" w:rsidP="005648FC">
      <w:pPr>
        <w:pStyle w:val="ListParagraph"/>
        <w:numPr>
          <w:ilvl w:val="0"/>
          <w:numId w:val="1"/>
        </w:numPr>
      </w:pPr>
      <w:r w:rsidRPr="004547B1">
        <w:t>Collection/generation methods</w:t>
      </w:r>
    </w:p>
    <w:p w14:paraId="406EEA92" w14:textId="5055D873" w:rsidR="009A1007" w:rsidRDefault="005648FC">
      <w:r>
        <w:t>Detailed in</w:t>
      </w:r>
      <w:r w:rsidR="00622BE5">
        <w:t xml:space="preserve"> </w:t>
      </w:r>
      <w:sdt>
        <w:sdtPr>
          <w:alias w:val="SmartCite Citation"/>
          <w:tag w:val="4ea73449-e9ca-4b00-91c6-c01d846766c3:e83908bb-9401-43bc-9a3a-961677a4b6e0+"/>
          <w:id w:val="340133433"/>
          <w:placeholder>
            <w:docPart w:val="DefaultPlaceholder_-1854013440"/>
          </w:placeholder>
        </w:sdtPr>
        <w:sdtContent>
          <w:r w:rsidR="000D4310" w:rsidRPr="000D4310">
            <w:rPr>
              <w:rFonts w:ascii="Calibri" w:eastAsia="Times New Roman" w:hAnsi="Calibri" w:cs="Calibri"/>
              <w:color w:val="000000"/>
            </w:rPr>
            <w:t>(Sparks et al., 2021)</w:t>
          </w:r>
        </w:sdtContent>
      </w:sdt>
      <w:r>
        <w:t xml:space="preserve">: </w:t>
      </w:r>
      <w:r w:rsidR="00B65616">
        <w:t>“</w:t>
      </w:r>
      <w:r w:rsidR="00B65616" w:rsidRPr="00B65616">
        <w:t>The</w:t>
      </w:r>
      <w:r w:rsidR="007E5359">
        <w:t xml:space="preserve"> </w:t>
      </w:r>
      <w:r w:rsidR="00B65616" w:rsidRPr="00B65616">
        <w:t>Seychelles</w:t>
      </w:r>
      <w:r w:rsidR="007E5359">
        <w:t xml:space="preserve"> </w:t>
      </w:r>
      <w:r w:rsidR="00B65616" w:rsidRPr="00B65616">
        <w:t>warbler</w:t>
      </w:r>
      <w:r w:rsidR="007E5359">
        <w:t xml:space="preserve"> </w:t>
      </w:r>
      <w:r w:rsidR="00B65616" w:rsidRPr="00B65616">
        <w:t>is</w:t>
      </w:r>
      <w:r w:rsidR="007E5359">
        <w:t xml:space="preserve"> </w:t>
      </w:r>
      <w:r w:rsidR="00B65616" w:rsidRPr="00B65616">
        <w:t>a</w:t>
      </w:r>
      <w:r w:rsidR="007E5359">
        <w:t xml:space="preserve"> </w:t>
      </w:r>
      <w:r w:rsidR="00B65616" w:rsidRPr="00B65616">
        <w:t>small</w:t>
      </w:r>
      <w:r w:rsidR="007E5359">
        <w:t xml:space="preserve"> </w:t>
      </w:r>
      <w:r w:rsidR="00B65616" w:rsidRPr="00B65616">
        <w:t>passerine</w:t>
      </w:r>
      <w:r w:rsidR="007E5359">
        <w:t xml:space="preserve"> </w:t>
      </w:r>
      <w:r w:rsidR="00B65616" w:rsidRPr="00B65616">
        <w:t>endemic</w:t>
      </w:r>
      <w:r w:rsidR="007E5359">
        <w:t xml:space="preserve"> </w:t>
      </w:r>
      <w:r w:rsidR="00B65616" w:rsidRPr="00B65616">
        <w:t>to</w:t>
      </w:r>
      <w:r w:rsidR="007E5359">
        <w:t xml:space="preserve"> </w:t>
      </w:r>
      <w:r w:rsidR="00B65616" w:rsidRPr="00B65616">
        <w:t>the Seychelles archipelago (Komdeur et al., 1991). The entire population (~320 adult individuals in 115 territories) on Cousin island (29</w:t>
      </w:r>
      <w:r w:rsidR="007E5359">
        <w:t xml:space="preserve"> </w:t>
      </w:r>
      <w:r w:rsidR="00B65616" w:rsidRPr="00B65616">
        <w:t>ha; 04°20′S, 55°40′E) has been monitored intensively since 1985 (Hammers et al., 2019; Komdeur, 1992; Raj Pant et al., 2019; Richardson et al., 2007).</w:t>
      </w:r>
      <w:r w:rsidR="00B65616">
        <w:t>”, “S</w:t>
      </w:r>
      <w:r w:rsidR="00B65616" w:rsidRPr="00B65616">
        <w:t xml:space="preserve">ince 1990, blood samples (~25 </w:t>
      </w:r>
      <w:proofErr w:type="spellStart"/>
      <w:r w:rsidR="00B65616" w:rsidRPr="00B65616">
        <w:t>μl</w:t>
      </w:r>
      <w:proofErr w:type="spellEnd"/>
      <w:r w:rsidR="00B65616" w:rsidRPr="00B65616">
        <w:t xml:space="preserve">) have been taken and stored at room temperature in absolute ethanol, thus allowing </w:t>
      </w:r>
      <w:r w:rsidR="00B65616">
        <w:t>….</w:t>
      </w:r>
      <w:r w:rsidR="00B65616" w:rsidRPr="00B65616">
        <w:t xml:space="preserve"> telomere length measurement (Barrett et al., 2013).</w:t>
      </w:r>
      <w:r w:rsidR="00B65616">
        <w:t xml:space="preserve">” </w:t>
      </w:r>
      <w:r>
        <w:t>“</w:t>
      </w:r>
      <w:r w:rsidRPr="005648FC">
        <w:t xml:space="preserve">We used the telomere data set generated in </w:t>
      </w:r>
      <w:proofErr w:type="spellStart"/>
      <w:r w:rsidRPr="005648FC">
        <w:t>Spurgin</w:t>
      </w:r>
      <w:proofErr w:type="spellEnd"/>
      <w:r w:rsidRPr="005648FC">
        <w:t xml:space="preserve"> et al. (2018), which included birds caught and blood sampled between 1995 and 2014, when the data were most complete. RTL was estimated using qPCR (quantitative polymerase chain reaction; Barrett et al., 2013; Bebbington et al., 2016; </w:t>
      </w:r>
      <w:proofErr w:type="spellStart"/>
      <w:r w:rsidRPr="005648FC">
        <w:t>Spurgin</w:t>
      </w:r>
      <w:proofErr w:type="spellEnd"/>
      <w:r w:rsidRPr="005648FC">
        <w:t xml:space="preserve"> et al., 2018). DNA integrity (agarose gel) and 260/280 ratios were checked in all samples before running any qPCR, and any samples with signs of degradation were removed, reextracted and checked again.</w:t>
      </w:r>
      <w:r>
        <w:t>”</w:t>
      </w:r>
    </w:p>
    <w:p w14:paraId="64A1A285" w14:textId="27E4A3F5" w:rsidR="005648FC" w:rsidRDefault="005648FC"/>
    <w:p w14:paraId="0E8153A9" w14:textId="77777777" w:rsidR="005648FC" w:rsidRPr="004547B1" w:rsidRDefault="005648FC" w:rsidP="005648FC">
      <w:pPr>
        <w:pStyle w:val="ListParagraph"/>
        <w:numPr>
          <w:ilvl w:val="0"/>
          <w:numId w:val="1"/>
        </w:numPr>
      </w:pPr>
      <w:r w:rsidRPr="004547B1">
        <w:t>Nature and Units of recorded values</w:t>
      </w:r>
    </w:p>
    <w:p w14:paraId="0972A71A" w14:textId="025D7D83" w:rsidR="005648FC" w:rsidRDefault="005648FC">
      <w:r w:rsidRPr="005648FC">
        <w:t>relative telomere length (RTL)</w:t>
      </w:r>
    </w:p>
    <w:p w14:paraId="5BE1B9CA" w14:textId="7DA161DB" w:rsidR="005648FC" w:rsidRDefault="005648FC"/>
    <w:p w14:paraId="435C6D9E" w14:textId="77777777" w:rsidR="005648FC" w:rsidRPr="004547B1" w:rsidRDefault="005648FC" w:rsidP="005648FC">
      <w:pPr>
        <w:pStyle w:val="ListParagraph"/>
        <w:numPr>
          <w:ilvl w:val="0"/>
          <w:numId w:val="1"/>
        </w:numPr>
      </w:pPr>
      <w:r w:rsidRPr="004547B1">
        <w:t>Quality control</w:t>
      </w:r>
    </w:p>
    <w:p w14:paraId="333408D8" w14:textId="6A2B4B1D" w:rsidR="005648FC" w:rsidRDefault="005648FC">
      <w:r>
        <w:t xml:space="preserve">Detailed in </w:t>
      </w:r>
      <w:sdt>
        <w:sdtPr>
          <w:alias w:val="SmartCite Citation"/>
          <w:tag w:val="4ea73449-e9ca-4b00-91c6-c01d846766c3:e83908bb-9401-43bc-9a3a-961677a4b6e0+"/>
          <w:id w:val="-313182890"/>
          <w:placeholder>
            <w:docPart w:val="AF8237FF9AF56441821910761D3595F0"/>
          </w:placeholder>
        </w:sdtPr>
        <w:sdtContent>
          <w:r w:rsidR="000D4310" w:rsidRPr="000D4310">
            <w:rPr>
              <w:rFonts w:ascii="Calibri" w:eastAsia="Times New Roman" w:hAnsi="Calibri" w:cs="Calibri"/>
              <w:color w:val="000000"/>
            </w:rPr>
            <w:t>(Sparks et al., 2021)</w:t>
          </w:r>
        </w:sdtContent>
      </w:sdt>
      <w:r>
        <w:t>: “</w:t>
      </w:r>
      <w:r w:rsidRPr="005648FC">
        <w:t xml:space="preserve">Within-plate repeatability was 0.74 (95% confidence intervals [CI] =0.74–0.75) and 0.73 (95% CI =0.71– 0.74) for the GAPDH and telomere </w:t>
      </w:r>
      <w:proofErr w:type="spellStart"/>
      <w:r w:rsidRPr="005648FC">
        <w:t>cq</w:t>
      </w:r>
      <w:proofErr w:type="spellEnd"/>
      <w:r w:rsidRPr="005648FC">
        <w:t xml:space="preserve"> values, respectively (</w:t>
      </w:r>
      <w:proofErr w:type="spellStart"/>
      <w:r w:rsidRPr="005648FC">
        <w:t>Spurgin</w:t>
      </w:r>
      <w:proofErr w:type="spellEnd"/>
      <w:r w:rsidRPr="005648FC">
        <w:t xml:space="preserve"> et al., 2018). Between-plate repeatability of RTL, based on 422 samples measured at least twice at different time points (the different time points being a key point to replicate the actual technical error across normal samples), was 0.68 (95% CI =0.65–0.70) (</w:t>
      </w:r>
      <w:proofErr w:type="spellStart"/>
      <w:r w:rsidRPr="005648FC">
        <w:t>Spurgin</w:t>
      </w:r>
      <w:proofErr w:type="spellEnd"/>
      <w:r w:rsidRPr="005648FC">
        <w:t xml:space="preserve"> et al., 2018). All repeatability estimates were calculated on RTL measurements from the same DNA extraction and may be lower if DNA extractions were also repeated. There were no storage time effects (of the blood samples) on telomere length (</w:t>
      </w:r>
      <w:proofErr w:type="spellStart"/>
      <w:r w:rsidRPr="005648FC">
        <w:t>Spurgin</w:t>
      </w:r>
      <w:proofErr w:type="spellEnd"/>
      <w:r w:rsidRPr="005648FC">
        <w:t xml:space="preserve"> et al., 2018). Our cleaned data set included 2,664 samples from 1,318 individuals that passed quality control (Bebbington et al., 2016) and filtering steps (sample removal criteria: telomere </w:t>
      </w:r>
      <w:proofErr w:type="spellStart"/>
      <w:r w:rsidRPr="005648FC">
        <w:t>cq</w:t>
      </w:r>
      <w:proofErr w:type="spellEnd"/>
      <w:r w:rsidRPr="005648FC">
        <w:t xml:space="preserve"> ≥25 or </w:t>
      </w:r>
      <w:proofErr w:type="spellStart"/>
      <w:r w:rsidRPr="005648FC">
        <w:t>cq</w:t>
      </w:r>
      <w:proofErr w:type="spellEnd"/>
      <w:r w:rsidRPr="005648FC">
        <w:t xml:space="preserve"> replicate difference</w:t>
      </w:r>
      <w:r w:rsidR="007E5359">
        <w:t xml:space="preserve">  </w:t>
      </w:r>
      <w:r w:rsidRPr="005648FC">
        <w:t xml:space="preserve">≥0.5; GADPH </w:t>
      </w:r>
      <w:proofErr w:type="spellStart"/>
      <w:r w:rsidRPr="005648FC">
        <w:t>cq</w:t>
      </w:r>
      <w:proofErr w:type="spellEnd"/>
      <w:r w:rsidRPr="005648FC">
        <w:t xml:space="preserve"> ≤21 or ≥26 or </w:t>
      </w:r>
      <w:proofErr w:type="spellStart"/>
      <w:r w:rsidRPr="005648FC">
        <w:t>cq</w:t>
      </w:r>
      <w:proofErr w:type="spellEnd"/>
      <w:r w:rsidRPr="005648FC">
        <w:t xml:space="preserve"> replicate difference ≥0.5; RTL values ≥3).</w:t>
      </w:r>
      <w:r w:rsidR="007E5359" w:rsidRPr="007E5359">
        <w:rPr>
          <w:rFonts w:cstheme="minorHAnsi"/>
        </w:rPr>
        <w:t xml:space="preserve"> </w:t>
      </w:r>
      <w:r w:rsidR="007E5359" w:rsidRPr="00622BE5">
        <w:rPr>
          <w:rFonts w:cstheme="minorHAnsi"/>
          <w:color w:val="1C1D1E"/>
          <w:shd w:val="clear" w:color="auto" w:fill="FFFFFF"/>
        </w:rPr>
        <w:t>To investigate plate variance (by including qPCR plate as a random effect in our statistical models), where samples had replicates across plates (</w:t>
      </w:r>
      <w:r w:rsidR="007E5359" w:rsidRPr="00622BE5">
        <w:rPr>
          <w:rFonts w:cstheme="minorHAnsi"/>
          <w:i/>
          <w:iCs/>
          <w:color w:val="1C1D1E"/>
          <w:shd w:val="clear" w:color="auto" w:fill="FFFFFF"/>
        </w:rPr>
        <w:t>n</w:t>
      </w:r>
      <w:r w:rsidR="007E5359" w:rsidRPr="00622BE5">
        <w:rPr>
          <w:rFonts w:cstheme="minorHAnsi"/>
          <w:color w:val="1C1D1E"/>
          <w:shd w:val="clear" w:color="auto" w:fill="FFFFFF"/>
        </w:rPr>
        <w:t> = 388), an RTL value for a given blood sample was taken at random.</w:t>
      </w:r>
      <w:r w:rsidRPr="007E5359">
        <w:rPr>
          <w:rFonts w:cstheme="minorHAnsi"/>
        </w:rPr>
        <w:t>”</w:t>
      </w:r>
    </w:p>
    <w:p w14:paraId="1BC8FA08" w14:textId="77777777" w:rsidR="000C4167" w:rsidRDefault="000C4167"/>
    <w:p w14:paraId="160FD483" w14:textId="43DE7D8F" w:rsidR="000C4167" w:rsidRDefault="000C4167" w:rsidP="000C4167">
      <w:r>
        <w:t>From</w:t>
      </w:r>
      <w:sdt>
        <w:sdtPr>
          <w:alias w:val="SmartCite Citation"/>
          <w:tag w:val="4ea73449-e9ca-4b00-91c6-c01d846766c3:1f749e3b-ea3e-4ece-a685-d70b94aa2e25+"/>
          <w:id w:val="-1108354305"/>
          <w:placeholder>
            <w:docPart w:val="DefaultPlaceholder_-1854013440"/>
          </w:placeholder>
        </w:sdtPr>
        <w:sdtContent>
          <w:r w:rsidR="000D4310" w:rsidRPr="000D4310">
            <w:rPr>
              <w:rFonts w:ascii="Calibri" w:eastAsia="Times New Roman" w:hAnsi="Calibri" w:cs="Calibri"/>
              <w:color w:val="000000"/>
            </w:rPr>
            <w:t>(</w:t>
          </w:r>
          <w:proofErr w:type="spellStart"/>
          <w:r w:rsidR="000D4310" w:rsidRPr="000D4310">
            <w:rPr>
              <w:rFonts w:ascii="Calibri" w:eastAsia="Times New Roman" w:hAnsi="Calibri" w:cs="Calibri"/>
              <w:color w:val="000000"/>
            </w:rPr>
            <w:t>Spurgin</w:t>
          </w:r>
          <w:proofErr w:type="spellEnd"/>
          <w:r w:rsidR="000D4310" w:rsidRPr="000D4310">
            <w:rPr>
              <w:rFonts w:ascii="Calibri" w:eastAsia="Times New Roman" w:hAnsi="Calibri" w:cs="Calibri"/>
              <w:color w:val="000000"/>
            </w:rPr>
            <w:t xml:space="preserve"> et al., 2018)</w:t>
          </w:r>
        </w:sdtContent>
      </w:sdt>
      <w:r>
        <w:t>: “</w:t>
      </w:r>
      <w:r w:rsidRPr="000C4167">
        <w:t>The</w:t>
      </w:r>
      <w:r w:rsidR="007E5359">
        <w:t xml:space="preserve">  </w:t>
      </w:r>
      <w:r w:rsidRPr="000C4167">
        <w:t>following thresholds were applied before samples were</w:t>
      </w:r>
      <w:r w:rsidR="007E5359">
        <w:t xml:space="preserve">  </w:t>
      </w:r>
      <w:r w:rsidRPr="000C4167">
        <w:t>included for further analysis: (1) DNA concentration must be at least 15 ng/</w:t>
      </w:r>
      <w:proofErr w:type="spellStart"/>
      <w:r w:rsidRPr="000C4167">
        <w:t>μl</w:t>
      </w:r>
      <w:proofErr w:type="spellEnd"/>
      <w:r w:rsidR="007E5359">
        <w:t xml:space="preserve"> </w:t>
      </w:r>
      <w:r w:rsidRPr="000C4167">
        <w:t>(based</w:t>
      </w:r>
      <w:r w:rsidR="007E5359">
        <w:t xml:space="preserve"> </w:t>
      </w:r>
      <w:r w:rsidRPr="000C4167">
        <w:t>on</w:t>
      </w:r>
      <w:r w:rsidR="007E5359">
        <w:t xml:space="preserve"> </w:t>
      </w:r>
      <w:r w:rsidRPr="000C4167">
        <w:t>a</w:t>
      </w:r>
      <w:r w:rsidR="007E5359">
        <w:t xml:space="preserve"> </w:t>
      </w:r>
      <w:r w:rsidRPr="000C4167">
        <w:t>mean</w:t>
      </w:r>
      <w:r w:rsidR="007E5359">
        <w:t xml:space="preserve"> </w:t>
      </w:r>
      <w:r w:rsidRPr="000C4167">
        <w:t>of</w:t>
      </w:r>
      <w:r w:rsidR="007E5359">
        <w:t xml:space="preserve"> </w:t>
      </w:r>
      <w:r w:rsidRPr="000C4167">
        <w:t>three</w:t>
      </w:r>
      <w:r w:rsidR="007E5359">
        <w:t xml:space="preserve">  </w:t>
      </w:r>
      <w:r w:rsidRPr="000C4167">
        <w:t>measurements), (2)</w:t>
      </w:r>
      <w:r w:rsidR="007E5359">
        <w:t xml:space="preserve"> </w:t>
      </w:r>
      <w:r w:rsidRPr="000C4167">
        <w:t>the</w:t>
      </w:r>
      <w:r w:rsidR="007E5359">
        <w:t xml:space="preserve"> </w:t>
      </w:r>
      <w:r w:rsidRPr="000C4167">
        <w:t>260/280 absorbance ratio has to be between</w:t>
      </w:r>
      <w:r w:rsidR="007E5359">
        <w:t xml:space="preserve">  </w:t>
      </w:r>
      <w:r w:rsidRPr="000C4167">
        <w:t>1.8 and 2.0 for acceptable DNA purity, and (3) the 260/230 absorbance ratio must be higher</w:t>
      </w:r>
      <w:r w:rsidR="007E5359">
        <w:t xml:space="preserve">  </w:t>
      </w:r>
      <w:r w:rsidRPr="000C4167">
        <w:t>than 1.8. DNA integrity was further validated by visualisation with</w:t>
      </w:r>
      <w:r w:rsidR="007E5359">
        <w:t xml:space="preserve">  </w:t>
      </w:r>
      <w:r w:rsidRPr="000C4167">
        <w:t>ethidium bromide after</w:t>
      </w:r>
      <w:r w:rsidR="007E5359">
        <w:t xml:space="preserve">  </w:t>
      </w:r>
      <w:r w:rsidRPr="000C4167">
        <w:t>electrophoresis</w:t>
      </w:r>
      <w:r w:rsidR="007E5359">
        <w:t xml:space="preserve">  </w:t>
      </w:r>
      <w:r w:rsidRPr="000C4167">
        <w:t>on</w:t>
      </w:r>
      <w:r w:rsidR="007E5359">
        <w:t xml:space="preserve"> </w:t>
      </w:r>
      <w:r w:rsidRPr="000C4167">
        <w:t>a</w:t>
      </w:r>
      <w:r w:rsidR="007E5359">
        <w:t xml:space="preserve"> </w:t>
      </w:r>
      <w:r w:rsidRPr="000C4167">
        <w:t>1.2%</w:t>
      </w:r>
      <w:r w:rsidR="007E5359">
        <w:t xml:space="preserve">  </w:t>
      </w:r>
      <w:r w:rsidRPr="000C4167">
        <w:t>agarose gel,</w:t>
      </w:r>
      <w:r w:rsidR="007E5359">
        <w:t xml:space="preserve"> </w:t>
      </w:r>
      <w:r w:rsidRPr="000C4167">
        <w:t>and</w:t>
      </w:r>
      <w:r w:rsidR="007E5359">
        <w:t xml:space="preserve"> </w:t>
      </w:r>
      <w:r w:rsidRPr="000C4167">
        <w:t>all</w:t>
      </w:r>
      <w:r w:rsidR="007E5359">
        <w:t xml:space="preserve"> </w:t>
      </w:r>
      <w:r w:rsidRPr="000C4167">
        <w:t>samples with</w:t>
      </w:r>
      <w:r w:rsidR="007E5359">
        <w:t xml:space="preserve">  </w:t>
      </w:r>
      <w:r w:rsidRPr="000C4167">
        <w:t>evidence of</w:t>
      </w:r>
      <w:r w:rsidR="007E5359">
        <w:t xml:space="preserve"> </w:t>
      </w:r>
      <w:r w:rsidRPr="000C4167">
        <w:t>DNA degradation were</w:t>
      </w:r>
      <w:r w:rsidR="007E5359">
        <w:t xml:space="preserve">  </w:t>
      </w:r>
      <w:r w:rsidRPr="000C4167">
        <w:t>re-extracted or</w:t>
      </w:r>
      <w:r w:rsidR="007E5359">
        <w:t xml:space="preserve"> </w:t>
      </w:r>
      <w:r w:rsidRPr="000C4167">
        <w:t>excluded.</w:t>
      </w:r>
      <w:r>
        <w:t xml:space="preserve"> </w:t>
      </w:r>
      <w:r w:rsidRPr="000C4167">
        <w:t>We found no eviden</w:t>
      </w:r>
      <w:r>
        <w:t>ce</w:t>
      </w:r>
      <w:r w:rsidRPr="000C4167">
        <w:t xml:space="preserve"> of DNA degradation in older samples (Figure S1). All DNA extractions that passed the above criteria were diluted to 3.3 ng/</w:t>
      </w:r>
      <w:proofErr w:type="spellStart"/>
      <w:r w:rsidRPr="000C4167">
        <w:t>μl</w:t>
      </w:r>
      <w:proofErr w:type="spellEnd"/>
      <w:r w:rsidRPr="000C4167">
        <w:t xml:space="preserve"> before telomere measure</w:t>
      </w:r>
      <w:r>
        <w:t>”; “</w:t>
      </w:r>
      <w:r w:rsidRPr="000C4167">
        <w:t xml:space="preserve">Prior to qPCR, we used a random number generator to assign samples to qPCR plates, to ensure that no systematic bias could occur with regard to age, sex, cohort or ecological environment. Based on the distribution of observed </w:t>
      </w:r>
      <w:proofErr w:type="spellStart"/>
      <w:r w:rsidRPr="000C4167">
        <w:t>cq</w:t>
      </w:r>
      <w:proofErr w:type="spellEnd"/>
      <w:r w:rsidRPr="000C4167">
        <w:t xml:space="preserve"> values, we excluded outlier samples with extremely large </w:t>
      </w:r>
      <w:proofErr w:type="spellStart"/>
      <w:r w:rsidRPr="000C4167">
        <w:t>cq</w:t>
      </w:r>
      <w:proofErr w:type="spellEnd"/>
      <w:r w:rsidRPr="000C4167">
        <w:t xml:space="preserve"> values (</w:t>
      </w:r>
      <w:proofErr w:type="spellStart"/>
      <w:r w:rsidRPr="000C4167">
        <w:t>cq</w:t>
      </w:r>
      <w:proofErr w:type="spellEnd"/>
      <w:r w:rsidRPr="000C4167">
        <w:t xml:space="preserve"> values &gt;25 and 26 were </w:t>
      </w:r>
      <w:r w:rsidRPr="000C4167">
        <w:lastRenderedPageBreak/>
        <w:t>excluded for the telomere and GAPDH reactions respectively), which were assumed to be failed reactions.</w:t>
      </w:r>
      <w:r>
        <w:t>”</w:t>
      </w:r>
    </w:p>
    <w:p w14:paraId="00C18A43" w14:textId="69EBCC77" w:rsidR="000C4167" w:rsidRDefault="000C4167" w:rsidP="000C4167"/>
    <w:p w14:paraId="39C2C9B9" w14:textId="77777777" w:rsidR="000C4167" w:rsidRDefault="000C4167"/>
    <w:p w14:paraId="33330DB1" w14:textId="48A11A57" w:rsidR="005648FC" w:rsidRDefault="005648FC"/>
    <w:p w14:paraId="26237C64" w14:textId="77777777" w:rsidR="005648FC" w:rsidRPr="004547B1" w:rsidRDefault="005648FC" w:rsidP="005648FC">
      <w:pPr>
        <w:pStyle w:val="ListParagraph"/>
        <w:numPr>
          <w:ilvl w:val="0"/>
          <w:numId w:val="1"/>
        </w:numPr>
      </w:pPr>
      <w:r w:rsidRPr="004547B1">
        <w:t>Details of data structure</w:t>
      </w:r>
    </w:p>
    <w:tbl>
      <w:tblPr>
        <w:tblW w:w="9020" w:type="dxa"/>
        <w:tblCellMar>
          <w:left w:w="0" w:type="dxa"/>
          <w:right w:w="0" w:type="dxa"/>
        </w:tblCellMar>
        <w:tblLook w:val="04A0" w:firstRow="1" w:lastRow="0" w:firstColumn="1" w:lastColumn="0" w:noHBand="0" w:noVBand="1"/>
      </w:tblPr>
      <w:tblGrid>
        <w:gridCol w:w="1849"/>
        <w:gridCol w:w="7171"/>
      </w:tblGrid>
      <w:tr w:rsidR="00BD73E3" w14:paraId="66F7F1EE" w14:textId="77777777" w:rsidTr="0060070D">
        <w:trPr>
          <w:trHeight w:val="300"/>
        </w:trPr>
        <w:tc>
          <w:tcPr>
            <w:tcW w:w="902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353F558" w14:textId="3D9D2E85" w:rsidR="00BD73E3" w:rsidRDefault="00BD73E3">
            <w:pPr>
              <w:rPr>
                <w:sz w:val="20"/>
                <w:szCs w:val="20"/>
              </w:rPr>
            </w:pPr>
            <w:r w:rsidRPr="00622BE5">
              <w:rPr>
                <w:rFonts w:ascii="Calibri" w:hAnsi="Calibri" w:cs="Calibri"/>
                <w:b/>
                <w:bCs/>
                <w:color w:val="000000"/>
                <w:sz w:val="22"/>
                <w:szCs w:val="22"/>
              </w:rPr>
              <w:t>Column descriptions</w:t>
            </w:r>
          </w:p>
        </w:tc>
      </w:tr>
      <w:tr w:rsidR="00BD73E3" w14:paraId="6B5F1CC4"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36F183EF"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BirdID</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531F1B17" w14:textId="57B192C6" w:rsidR="00BD73E3" w:rsidRDefault="00BD73E3">
            <w:pPr>
              <w:rPr>
                <w:sz w:val="20"/>
                <w:szCs w:val="20"/>
              </w:rPr>
            </w:pPr>
            <w:r>
              <w:rPr>
                <w:rFonts w:ascii="Calibri" w:hAnsi="Calibri" w:cs="Calibri"/>
                <w:color w:val="000000"/>
                <w:sz w:val="22"/>
                <w:szCs w:val="22"/>
              </w:rPr>
              <w:t>Individual bird identifier</w:t>
            </w:r>
          </w:p>
        </w:tc>
      </w:tr>
      <w:tr w:rsidR="005648FC" w14:paraId="43C347B5"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3ADF7C1F" w14:textId="77777777" w:rsidR="005648FC" w:rsidRDefault="005648FC" w:rsidP="00352B21">
            <w:pPr>
              <w:rPr>
                <w:rFonts w:ascii="Calibri" w:hAnsi="Calibri" w:cs="Calibri"/>
                <w:color w:val="000000"/>
                <w:sz w:val="22"/>
                <w:szCs w:val="22"/>
              </w:rPr>
            </w:pPr>
            <w:r>
              <w:rPr>
                <w:rFonts w:ascii="Calibri" w:hAnsi="Calibri" w:cs="Calibri"/>
                <w:color w:val="000000"/>
                <w:sz w:val="22"/>
                <w:szCs w:val="22"/>
              </w:rPr>
              <w:t>Sex</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2AA980EA" w14:textId="77777777" w:rsidR="005648FC" w:rsidRDefault="005648FC">
            <w:pPr>
              <w:rPr>
                <w:rFonts w:ascii="Calibri" w:hAnsi="Calibri" w:cs="Calibri"/>
                <w:color w:val="000000"/>
                <w:sz w:val="22"/>
                <w:szCs w:val="22"/>
              </w:rPr>
            </w:pPr>
            <w:r>
              <w:rPr>
                <w:rFonts w:ascii="Calibri" w:hAnsi="Calibri" w:cs="Calibri"/>
                <w:color w:val="000000"/>
                <w:sz w:val="22"/>
                <w:szCs w:val="22"/>
              </w:rPr>
              <w:t>Sex of the individual where 0 is female and 1 is male</w:t>
            </w:r>
          </w:p>
        </w:tc>
      </w:tr>
      <w:tr w:rsidR="00BD73E3" w14:paraId="30E2A8C8"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35A2B529" w14:textId="77777777" w:rsidR="00BD73E3" w:rsidRDefault="00BD73E3" w:rsidP="00352B21">
            <w:pPr>
              <w:rPr>
                <w:rFonts w:ascii="Calibri" w:hAnsi="Calibri" w:cs="Calibri"/>
                <w:color w:val="000000"/>
                <w:sz w:val="22"/>
                <w:szCs w:val="22"/>
              </w:rPr>
            </w:pPr>
            <w:proofErr w:type="spellStart"/>
            <w:r>
              <w:rPr>
                <w:rFonts w:ascii="Calibri" w:hAnsi="Calibri" w:cs="Calibri"/>
                <w:color w:val="000000"/>
                <w:sz w:val="22"/>
                <w:szCs w:val="22"/>
              </w:rPr>
              <w:t>AgeY</w:t>
            </w:r>
            <w:proofErr w:type="spellEnd"/>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0DD148CD" w14:textId="311A8119" w:rsidR="00BD73E3" w:rsidRDefault="00BD73E3">
            <w:pPr>
              <w:rPr>
                <w:sz w:val="20"/>
                <w:szCs w:val="20"/>
              </w:rPr>
            </w:pPr>
            <w:r>
              <w:rPr>
                <w:rFonts w:ascii="Calibri" w:hAnsi="Calibri" w:cs="Calibri"/>
                <w:color w:val="000000"/>
                <w:sz w:val="22"/>
                <w:szCs w:val="22"/>
              </w:rPr>
              <w:t xml:space="preserve">Age of bird at catch in years </w:t>
            </w:r>
          </w:p>
        </w:tc>
      </w:tr>
      <w:tr w:rsidR="005648FC" w14:paraId="38580FB8"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0271BF00" w14:textId="77777777" w:rsidR="005648FC" w:rsidRDefault="005648FC" w:rsidP="00352B21">
            <w:pPr>
              <w:rPr>
                <w:rFonts w:ascii="Calibri" w:hAnsi="Calibri" w:cs="Calibri"/>
                <w:color w:val="000000"/>
                <w:sz w:val="22"/>
                <w:szCs w:val="22"/>
              </w:rPr>
            </w:pPr>
            <w:proofErr w:type="spellStart"/>
            <w:r>
              <w:rPr>
                <w:rFonts w:ascii="Calibri" w:hAnsi="Calibri" w:cs="Calibri"/>
                <w:color w:val="000000"/>
                <w:sz w:val="22"/>
                <w:szCs w:val="22"/>
              </w:rPr>
              <w:t>AgeClass</w:t>
            </w:r>
            <w:proofErr w:type="spellEnd"/>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60B91B45" w14:textId="77777777" w:rsidR="005648FC" w:rsidRDefault="005648FC">
            <w:pPr>
              <w:rPr>
                <w:rFonts w:ascii="Calibri" w:hAnsi="Calibri" w:cs="Calibri"/>
                <w:color w:val="000000"/>
                <w:sz w:val="22"/>
                <w:szCs w:val="22"/>
              </w:rPr>
            </w:pPr>
            <w:r>
              <w:rPr>
                <w:rFonts w:ascii="Calibri" w:hAnsi="Calibri" w:cs="Calibri"/>
                <w:color w:val="000000"/>
                <w:sz w:val="22"/>
                <w:szCs w:val="22"/>
              </w:rPr>
              <w:t>Age class of the bird (A - adult, CH - chick, FL - fledgling, J - juvenile, OFL - old fledgling, SA - subadult)</w:t>
            </w:r>
          </w:p>
        </w:tc>
      </w:tr>
      <w:tr w:rsidR="005648FC" w14:paraId="72619259"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255FD4AC" w14:textId="77777777" w:rsidR="005648FC" w:rsidRDefault="005648FC" w:rsidP="00352B21">
            <w:pPr>
              <w:rPr>
                <w:rFonts w:ascii="Calibri" w:hAnsi="Calibri" w:cs="Calibri"/>
                <w:color w:val="000000"/>
                <w:sz w:val="22"/>
                <w:szCs w:val="22"/>
              </w:rPr>
            </w:pPr>
            <w:proofErr w:type="spellStart"/>
            <w:r>
              <w:rPr>
                <w:rFonts w:ascii="Calibri" w:hAnsi="Calibri" w:cs="Calibri"/>
                <w:color w:val="000000"/>
                <w:sz w:val="22"/>
                <w:szCs w:val="22"/>
              </w:rPr>
              <w:t>BirthFPID</w:t>
            </w:r>
            <w:proofErr w:type="spellEnd"/>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686E8141" w14:textId="77777777" w:rsidR="005648FC" w:rsidRDefault="005648FC">
            <w:pPr>
              <w:rPr>
                <w:rFonts w:ascii="Calibri" w:hAnsi="Calibri" w:cs="Calibri"/>
                <w:color w:val="000000"/>
                <w:sz w:val="22"/>
                <w:szCs w:val="22"/>
              </w:rPr>
            </w:pPr>
            <w:r>
              <w:rPr>
                <w:rFonts w:ascii="Calibri" w:hAnsi="Calibri" w:cs="Calibri"/>
                <w:color w:val="000000"/>
                <w:sz w:val="22"/>
                <w:szCs w:val="22"/>
              </w:rPr>
              <w:t>Birth fieldwork period ID (where fieldwork periods are usually in the minor and major breeding season each year)</w:t>
            </w:r>
          </w:p>
        </w:tc>
      </w:tr>
      <w:tr w:rsidR="00BD73E3" w14:paraId="23352386"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24384437" w14:textId="77777777" w:rsidR="00BD73E3" w:rsidRDefault="00BD73E3" w:rsidP="00352B21">
            <w:pPr>
              <w:rPr>
                <w:rFonts w:ascii="Calibri" w:hAnsi="Calibri" w:cs="Calibri"/>
                <w:color w:val="000000"/>
                <w:sz w:val="22"/>
                <w:szCs w:val="22"/>
              </w:rPr>
            </w:pPr>
            <w:proofErr w:type="spellStart"/>
            <w:r>
              <w:rPr>
                <w:rFonts w:ascii="Calibri" w:hAnsi="Calibri" w:cs="Calibri"/>
                <w:color w:val="000000"/>
                <w:sz w:val="22"/>
                <w:szCs w:val="22"/>
              </w:rPr>
              <w:t>U_PlateID</w:t>
            </w:r>
            <w:proofErr w:type="spellEnd"/>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449F02A4" w14:textId="626F7715" w:rsidR="00BD73E3" w:rsidRDefault="00BD73E3">
            <w:pPr>
              <w:rPr>
                <w:rFonts w:ascii="Calibri" w:hAnsi="Calibri" w:cs="Calibri"/>
                <w:color w:val="000000"/>
                <w:sz w:val="22"/>
                <w:szCs w:val="22"/>
              </w:rPr>
            </w:pPr>
            <w:r>
              <w:rPr>
                <w:rFonts w:ascii="Calibri" w:hAnsi="Calibri" w:cs="Calibri"/>
                <w:color w:val="000000"/>
                <w:sz w:val="22"/>
                <w:szCs w:val="22"/>
              </w:rPr>
              <w:t>qPCR plate ID for RTL measurements</w:t>
            </w:r>
          </w:p>
        </w:tc>
      </w:tr>
      <w:tr w:rsidR="00BD73E3" w14:paraId="3F786FEE"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48A08C45"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RTL</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13C9CADE" w14:textId="272C64B1" w:rsidR="00BD73E3" w:rsidRDefault="00BD73E3">
            <w:pPr>
              <w:rPr>
                <w:sz w:val="20"/>
                <w:szCs w:val="20"/>
              </w:rPr>
            </w:pPr>
            <w:r>
              <w:rPr>
                <w:rFonts w:ascii="Calibri" w:hAnsi="Calibri" w:cs="Calibri"/>
                <w:color w:val="000000"/>
                <w:sz w:val="22"/>
                <w:szCs w:val="22"/>
              </w:rPr>
              <w:t>Relative telomere length</w:t>
            </w:r>
          </w:p>
        </w:tc>
      </w:tr>
      <w:tr w:rsidR="00BD73E3" w14:paraId="3AAD9334"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0A6AC9AB"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Technician</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220F293B" w14:textId="093B4507" w:rsidR="00BD73E3" w:rsidRDefault="00BD73E3">
            <w:pPr>
              <w:rPr>
                <w:rFonts w:ascii="Calibri" w:hAnsi="Calibri" w:cs="Calibri"/>
                <w:color w:val="000000"/>
                <w:sz w:val="22"/>
                <w:szCs w:val="22"/>
              </w:rPr>
            </w:pPr>
            <w:r>
              <w:rPr>
                <w:rFonts w:ascii="Calibri" w:hAnsi="Calibri" w:cs="Calibri"/>
                <w:color w:val="000000"/>
                <w:sz w:val="22"/>
                <w:szCs w:val="22"/>
              </w:rPr>
              <w:t>Technician who carried out the qPCR (2 levels)</w:t>
            </w:r>
          </w:p>
        </w:tc>
      </w:tr>
      <w:tr w:rsidR="005648FC" w14:paraId="357102A8"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2FF4F268" w14:textId="77777777" w:rsidR="005648FC" w:rsidRDefault="005648FC" w:rsidP="00352B21">
            <w:pPr>
              <w:rPr>
                <w:rFonts w:ascii="Calibri" w:hAnsi="Calibri" w:cs="Calibri"/>
                <w:color w:val="000000"/>
                <w:sz w:val="22"/>
                <w:szCs w:val="22"/>
              </w:rPr>
            </w:pPr>
            <w:r>
              <w:rPr>
                <w:rFonts w:ascii="Calibri" w:hAnsi="Calibri" w:cs="Calibri"/>
                <w:color w:val="000000"/>
                <w:sz w:val="22"/>
                <w:szCs w:val="22"/>
              </w:rPr>
              <w:t>Terr</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63044251" w14:textId="77777777" w:rsidR="005648FC" w:rsidRDefault="005648FC">
            <w:pPr>
              <w:rPr>
                <w:rFonts w:ascii="Calibri" w:hAnsi="Calibri" w:cs="Calibri"/>
                <w:color w:val="000000"/>
                <w:sz w:val="22"/>
                <w:szCs w:val="22"/>
              </w:rPr>
            </w:pPr>
            <w:r>
              <w:rPr>
                <w:rFonts w:ascii="Calibri" w:hAnsi="Calibri" w:cs="Calibri"/>
                <w:color w:val="000000"/>
                <w:sz w:val="22"/>
                <w:szCs w:val="22"/>
              </w:rPr>
              <w:t>Territory in which the bird was living during the catch FPID</w:t>
            </w:r>
          </w:p>
        </w:tc>
      </w:tr>
      <w:tr w:rsidR="00BD73E3" w14:paraId="0F0A694E"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4B7FA9B8"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FPID</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14EACEC0" w14:textId="2B969B66" w:rsidR="00BD73E3" w:rsidRDefault="00BD73E3">
            <w:pPr>
              <w:rPr>
                <w:rFonts w:ascii="Calibri" w:hAnsi="Calibri" w:cs="Calibri"/>
                <w:color w:val="000000"/>
                <w:sz w:val="22"/>
                <w:szCs w:val="22"/>
              </w:rPr>
            </w:pPr>
            <w:r>
              <w:rPr>
                <w:rFonts w:ascii="Calibri" w:hAnsi="Calibri" w:cs="Calibri"/>
                <w:color w:val="000000"/>
                <w:sz w:val="22"/>
                <w:szCs w:val="22"/>
              </w:rPr>
              <w:t>Fieldwork period ID when the bird was caught</w:t>
            </w:r>
          </w:p>
        </w:tc>
      </w:tr>
      <w:tr w:rsidR="00BD73E3" w14:paraId="5A84D924"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1D7688BD"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mum</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04841777" w14:textId="4ED8B575" w:rsidR="00BD73E3" w:rsidRDefault="00BD73E3">
            <w:pPr>
              <w:rPr>
                <w:sz w:val="20"/>
                <w:szCs w:val="20"/>
              </w:rPr>
            </w:pPr>
            <w:r>
              <w:rPr>
                <w:rFonts w:ascii="Calibri" w:hAnsi="Calibri" w:cs="Calibri"/>
                <w:color w:val="000000"/>
                <w:sz w:val="22"/>
                <w:szCs w:val="22"/>
              </w:rPr>
              <w:t>Mum ID from genetic pedigree</w:t>
            </w:r>
          </w:p>
        </w:tc>
      </w:tr>
      <w:tr w:rsidR="00BD73E3" w14:paraId="1B4ED5C4"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358B1AA9"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dad</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20F96971" w14:textId="450E9645" w:rsidR="00BD73E3" w:rsidRDefault="00BD73E3">
            <w:pPr>
              <w:rPr>
                <w:sz w:val="20"/>
                <w:szCs w:val="20"/>
              </w:rPr>
            </w:pPr>
            <w:r>
              <w:rPr>
                <w:rFonts w:ascii="Calibri" w:hAnsi="Calibri" w:cs="Calibri"/>
                <w:color w:val="000000"/>
                <w:sz w:val="22"/>
                <w:szCs w:val="22"/>
              </w:rPr>
              <w:t>Dad ID from genetic pedigree</w:t>
            </w:r>
          </w:p>
        </w:tc>
      </w:tr>
      <w:tr w:rsidR="00BD73E3" w14:paraId="20797936"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3A6B7F25"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MAC</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65AC5D05" w14:textId="5CC79F8A" w:rsidR="00BD73E3" w:rsidRDefault="00BD73E3">
            <w:pPr>
              <w:rPr>
                <w:sz w:val="20"/>
                <w:szCs w:val="20"/>
              </w:rPr>
            </w:pPr>
            <w:r>
              <w:rPr>
                <w:rFonts w:ascii="Calibri" w:hAnsi="Calibri" w:cs="Calibri"/>
                <w:color w:val="000000"/>
                <w:sz w:val="22"/>
                <w:szCs w:val="22"/>
              </w:rPr>
              <w:t>Maternal age at conception (years)</w:t>
            </w:r>
          </w:p>
        </w:tc>
      </w:tr>
      <w:tr w:rsidR="00BD73E3" w14:paraId="452C0907"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6F2BD1C6"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PAC</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2E426BBD" w14:textId="3B972519" w:rsidR="00BD73E3" w:rsidRDefault="00BD73E3">
            <w:pPr>
              <w:rPr>
                <w:sz w:val="20"/>
                <w:szCs w:val="20"/>
              </w:rPr>
            </w:pPr>
            <w:r>
              <w:rPr>
                <w:rFonts w:ascii="Calibri" w:hAnsi="Calibri" w:cs="Calibri"/>
                <w:color w:val="000000"/>
                <w:sz w:val="22"/>
                <w:szCs w:val="22"/>
              </w:rPr>
              <w:t>Paternal age at conception (years)</w:t>
            </w:r>
          </w:p>
        </w:tc>
      </w:tr>
      <w:tr w:rsidR="00BD73E3" w14:paraId="272E6F06"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45632371"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BrF</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26AF1E69" w14:textId="000A01CE" w:rsidR="00BD73E3" w:rsidRDefault="00BD73E3">
            <w:pPr>
              <w:rPr>
                <w:rFonts w:ascii="Calibri" w:hAnsi="Calibri" w:cs="Calibri"/>
                <w:color w:val="000000"/>
                <w:sz w:val="22"/>
                <w:szCs w:val="22"/>
              </w:rPr>
            </w:pPr>
            <w:r>
              <w:rPr>
                <w:rFonts w:ascii="Calibri" w:hAnsi="Calibri" w:cs="Calibri"/>
                <w:color w:val="000000"/>
                <w:sz w:val="22"/>
                <w:szCs w:val="22"/>
              </w:rPr>
              <w:t>Dominant female in the natal territory</w:t>
            </w:r>
          </w:p>
        </w:tc>
      </w:tr>
      <w:tr w:rsidR="00BD73E3" w14:paraId="73F86098" w14:textId="77777777" w:rsidTr="00622BE5">
        <w:trPr>
          <w:trHeight w:val="300"/>
        </w:trPr>
        <w:tc>
          <w:tcPr>
            <w:tcW w:w="1849" w:type="dxa"/>
            <w:tcBorders>
              <w:top w:val="nil"/>
              <w:left w:val="nil"/>
              <w:bottom w:val="nil"/>
              <w:right w:val="nil"/>
            </w:tcBorders>
            <w:shd w:val="clear" w:color="auto" w:fill="auto"/>
            <w:noWrap/>
            <w:tcMar>
              <w:top w:w="15" w:type="dxa"/>
              <w:left w:w="15" w:type="dxa"/>
              <w:bottom w:w="0" w:type="dxa"/>
              <w:right w:w="15" w:type="dxa"/>
            </w:tcMar>
            <w:hideMark/>
          </w:tcPr>
          <w:p w14:paraId="3B65FA98" w14:textId="77777777" w:rsidR="00BD73E3" w:rsidRDefault="00BD73E3" w:rsidP="00352B21">
            <w:pPr>
              <w:rPr>
                <w:rFonts w:ascii="Calibri" w:hAnsi="Calibri" w:cs="Calibri"/>
                <w:color w:val="000000"/>
                <w:sz w:val="22"/>
                <w:szCs w:val="22"/>
              </w:rPr>
            </w:pPr>
            <w:r>
              <w:rPr>
                <w:rFonts w:ascii="Calibri" w:hAnsi="Calibri" w:cs="Calibri"/>
                <w:color w:val="000000"/>
                <w:sz w:val="22"/>
                <w:szCs w:val="22"/>
              </w:rPr>
              <w:t>BrM</w:t>
            </w:r>
          </w:p>
        </w:tc>
        <w:tc>
          <w:tcPr>
            <w:tcW w:w="7171" w:type="dxa"/>
            <w:tcBorders>
              <w:top w:val="nil"/>
              <w:left w:val="nil"/>
              <w:bottom w:val="nil"/>
              <w:right w:val="nil"/>
            </w:tcBorders>
            <w:shd w:val="clear" w:color="auto" w:fill="auto"/>
            <w:noWrap/>
            <w:tcMar>
              <w:top w:w="15" w:type="dxa"/>
              <w:left w:w="15" w:type="dxa"/>
              <w:bottom w:w="0" w:type="dxa"/>
              <w:right w:w="15" w:type="dxa"/>
            </w:tcMar>
            <w:vAlign w:val="bottom"/>
            <w:hideMark/>
          </w:tcPr>
          <w:p w14:paraId="31145472" w14:textId="228C9C08" w:rsidR="00BD73E3" w:rsidRDefault="00BD73E3">
            <w:pPr>
              <w:rPr>
                <w:rFonts w:ascii="Calibri" w:hAnsi="Calibri" w:cs="Calibri"/>
                <w:color w:val="000000"/>
                <w:sz w:val="22"/>
                <w:szCs w:val="22"/>
              </w:rPr>
            </w:pPr>
            <w:r>
              <w:rPr>
                <w:rFonts w:ascii="Calibri" w:hAnsi="Calibri" w:cs="Calibri"/>
                <w:color w:val="000000"/>
                <w:sz w:val="22"/>
                <w:szCs w:val="22"/>
              </w:rPr>
              <w:t>Dominant male in the natal territory</w:t>
            </w:r>
          </w:p>
        </w:tc>
      </w:tr>
    </w:tbl>
    <w:p w14:paraId="677C49AE" w14:textId="30B9187F" w:rsidR="005648FC" w:rsidRDefault="005648FC"/>
    <w:p w14:paraId="47ED9195" w14:textId="7FF6EBF9" w:rsidR="000C4167" w:rsidRDefault="000C4167"/>
    <w:p w14:paraId="1E21FB5E" w14:textId="17FEE3A5" w:rsidR="000C4167" w:rsidRDefault="000C4167" w:rsidP="000C4167">
      <w:pPr>
        <w:pStyle w:val="ListParagraph"/>
        <w:numPr>
          <w:ilvl w:val="0"/>
          <w:numId w:val="1"/>
        </w:numPr>
      </w:pPr>
      <w:r w:rsidRPr="004547B1">
        <w:t>Experimental design/Sampling regime</w:t>
      </w:r>
    </w:p>
    <w:p w14:paraId="286FF0DB" w14:textId="7C7416A0" w:rsidR="000C4167" w:rsidRPr="004547B1" w:rsidRDefault="000C4167" w:rsidP="000C4167">
      <w:r>
        <w:t xml:space="preserve">Detailed in </w:t>
      </w:r>
      <w:sdt>
        <w:sdtPr>
          <w:alias w:val="SmartCite Citation"/>
          <w:tag w:val="4ea73449-e9ca-4b00-91c6-c01d846766c3:e83908bb-9401-43bc-9a3a-961677a4b6e0+"/>
          <w:id w:val="1822072659"/>
          <w:placeholder>
            <w:docPart w:val="782E7013F928864DBF0FFC4220E15D40"/>
          </w:placeholder>
        </w:sdtPr>
        <w:sdtContent>
          <w:r w:rsidR="000D4310" w:rsidRPr="000D4310">
            <w:rPr>
              <w:rFonts w:ascii="Calibri" w:eastAsia="Times New Roman" w:hAnsi="Calibri" w:cs="Calibri"/>
              <w:color w:val="000000"/>
            </w:rPr>
            <w:t>(Sparks et al., 2021)</w:t>
          </w:r>
        </w:sdtContent>
      </w:sdt>
      <w:r>
        <w:t>: “T</w:t>
      </w:r>
      <w:r w:rsidRPr="000C4167">
        <w:t xml:space="preserve">he major breeding season runs from June to September, although some pairs also breed in the minor breeding season between January and March (Komdeur et al., 1991; Komdeur &amp; </w:t>
      </w:r>
      <w:proofErr w:type="spellStart"/>
      <w:r w:rsidRPr="000C4167">
        <w:t>Daan</w:t>
      </w:r>
      <w:proofErr w:type="spellEnd"/>
      <w:r w:rsidRPr="000C4167">
        <w:t>, 2005).</w:t>
      </w:r>
      <w:r>
        <w:t>” “E</w:t>
      </w:r>
      <w:r w:rsidRPr="000C4167">
        <w:t>ach breeding season as many birds as possible are caught using mist nets</w:t>
      </w:r>
      <w:r>
        <w:t>”</w:t>
      </w:r>
    </w:p>
    <w:p w14:paraId="3EC7B069" w14:textId="50E154E5" w:rsidR="000C4167" w:rsidRDefault="000C4167"/>
    <w:p w14:paraId="72701193" w14:textId="77777777" w:rsidR="000C4167" w:rsidRPr="004547B1" w:rsidRDefault="000C4167" w:rsidP="000C4167">
      <w:pPr>
        <w:pStyle w:val="ListParagraph"/>
        <w:numPr>
          <w:ilvl w:val="0"/>
          <w:numId w:val="1"/>
        </w:numPr>
      </w:pPr>
      <w:r w:rsidRPr="004547B1">
        <w:t>Fieldwork and laboratory instrumentation</w:t>
      </w:r>
    </w:p>
    <w:p w14:paraId="45B4BE09" w14:textId="2A3ED8B0" w:rsidR="000C4167" w:rsidRDefault="000D4310" w:rsidP="000C4167">
      <w:r>
        <w:t xml:space="preserve">Detailed in </w:t>
      </w:r>
      <w:sdt>
        <w:sdtPr>
          <w:alias w:val="SmartCite Citation"/>
          <w:tag w:val="4ea73449-e9ca-4b00-91c6-c01d846766c3:d352ed36-4379-4e10-9a8e-3d46aa3bb9ef+"/>
          <w:id w:val="-1677177165"/>
          <w:placeholder>
            <w:docPart w:val="DefaultPlaceholder_-1854013440"/>
          </w:placeholder>
        </w:sdtPr>
        <w:sdtContent>
          <w:r w:rsidRPr="000D4310">
            <w:rPr>
              <w:rFonts w:ascii="Calibri" w:eastAsia="Times New Roman" w:hAnsi="Calibri" w:cs="Calibri"/>
              <w:color w:val="000000"/>
            </w:rPr>
            <w:t>(Bebbington et al., 2016)</w:t>
          </w:r>
        </w:sdtContent>
      </w:sdt>
      <w:r>
        <w:t>: “</w:t>
      </w:r>
      <w:r w:rsidR="000C4167" w:rsidRPr="000C4167">
        <w:t xml:space="preserve">DNA was extracted using a </w:t>
      </w:r>
      <w:proofErr w:type="spellStart"/>
      <w:r w:rsidR="000C4167" w:rsidRPr="000C4167">
        <w:t>DNeasy</w:t>
      </w:r>
      <w:proofErr w:type="spellEnd"/>
      <w:r w:rsidR="000C4167" w:rsidRPr="000C4167">
        <w:t xml:space="preserve"> blood and tissue kit (Qiagen) according to the manufacturer’s instructions with modiﬁcation of overnight lysis at 37 °C and a ﬁnal DNA elution volume of 80 </w:t>
      </w:r>
      <w:r w:rsidR="000C4167">
        <w:t>micro-</w:t>
      </w:r>
      <w:r w:rsidR="000C4167" w:rsidRPr="000C4167">
        <w:t>L</w:t>
      </w:r>
      <w:r w:rsidR="000C4167">
        <w:t>.</w:t>
      </w:r>
      <w:r>
        <w:t xml:space="preserve"> </w:t>
      </w:r>
      <w:r w:rsidRPr="000D4310">
        <w:t xml:space="preserve">DNA integrity was veriﬁed visually using electrophoresis on a 1.2% agarose gel, and the concentration was quantiﬁed using a </w:t>
      </w:r>
      <w:proofErr w:type="spellStart"/>
      <w:r w:rsidRPr="000D4310">
        <w:t>NanoDrop</w:t>
      </w:r>
      <w:proofErr w:type="spellEnd"/>
      <w:r w:rsidRPr="000D4310">
        <w:t xml:space="preserve"> 8000 Spectrophotometer (</w:t>
      </w:r>
      <w:proofErr w:type="spellStart"/>
      <w:r w:rsidRPr="000D4310">
        <w:t>ThermoScientiﬁc</w:t>
      </w:r>
      <w:proofErr w:type="spellEnd"/>
      <w:r w:rsidRPr="000D4310">
        <w:t>)</w:t>
      </w:r>
      <w:r>
        <w:t>”</w:t>
      </w:r>
    </w:p>
    <w:p w14:paraId="101F0C9D" w14:textId="575AEFE4" w:rsidR="000C4167" w:rsidRDefault="000C4167" w:rsidP="000C4167"/>
    <w:p w14:paraId="56B1EBBF" w14:textId="28E8B0B6" w:rsidR="00622BE5" w:rsidRDefault="00622BE5" w:rsidP="000C4167"/>
    <w:p w14:paraId="01CFEEB1" w14:textId="302073EE" w:rsidR="00622BE5" w:rsidRDefault="00622BE5" w:rsidP="000C4167"/>
    <w:p w14:paraId="680C338C" w14:textId="77777777" w:rsidR="00622BE5" w:rsidRDefault="00622BE5" w:rsidP="000C4167">
      <w:bookmarkStart w:id="0" w:name="_GoBack"/>
      <w:bookmarkEnd w:id="0"/>
    </w:p>
    <w:sdt>
      <w:sdtPr>
        <w:alias w:val="SmartCite Bibliography"/>
        <w:tag w:val="Molecular Ecology"/>
        <w:id w:val="956765347"/>
        <w:placeholder>
          <w:docPart w:val="DefaultPlaceholder_-1854013440"/>
        </w:placeholder>
      </w:sdtPr>
      <w:sdtContent>
        <w:p w14:paraId="726D88A9" w14:textId="77777777" w:rsidR="000D4310" w:rsidRDefault="000D4310" w:rsidP="000D4310">
          <w:pPr>
            <w:divId w:val="203755897"/>
            <w:rPr>
              <w:rFonts w:ascii="Calibri" w:eastAsia="Times New Roman" w:hAnsi="Calibri" w:cs="Calibri"/>
              <w:b/>
            </w:rPr>
          </w:pPr>
          <w:r w:rsidRPr="000D4310">
            <w:rPr>
              <w:rFonts w:ascii="Calibri" w:eastAsia="Times New Roman" w:hAnsi="Calibri" w:cs="Calibri"/>
            </w:rPr>
            <w:br/>
          </w:r>
          <w:r>
            <w:rPr>
              <w:rFonts w:ascii="Calibri" w:eastAsia="Times New Roman" w:hAnsi="Calibri" w:cs="Calibri"/>
              <w:b/>
            </w:rPr>
            <w:t>References</w:t>
          </w:r>
        </w:p>
        <w:p w14:paraId="6B3B6715" w14:textId="17A00F09" w:rsidR="000D4310" w:rsidRPr="000D4310" w:rsidRDefault="000D4310" w:rsidP="000D4310">
          <w:pPr>
            <w:divId w:val="203755897"/>
            <w:rPr>
              <w:rFonts w:ascii="Calibri" w:eastAsiaTheme="minorEastAsia" w:hAnsi="Calibri" w:cs="Calibri"/>
            </w:rPr>
          </w:pPr>
          <w:r w:rsidRPr="000D4310">
            <w:rPr>
              <w:rFonts w:ascii="Calibri" w:hAnsi="Calibri" w:cs="Calibri"/>
            </w:rPr>
            <w:t xml:space="preserve">Bebbington, K., </w:t>
          </w:r>
          <w:proofErr w:type="spellStart"/>
          <w:r w:rsidRPr="000D4310">
            <w:rPr>
              <w:rFonts w:ascii="Calibri" w:hAnsi="Calibri" w:cs="Calibri"/>
            </w:rPr>
            <w:t>Spurgin</w:t>
          </w:r>
          <w:proofErr w:type="spellEnd"/>
          <w:r w:rsidRPr="000D4310">
            <w:rPr>
              <w:rFonts w:ascii="Calibri" w:hAnsi="Calibri" w:cs="Calibri"/>
            </w:rPr>
            <w:t xml:space="preserve">, L. G., Fairfield, E. A., Dugdale, H. L., Komdeur, J., Burke, T., &amp; Richardson, D. S. (2016). Telomere length reveals cumulative individual and transgenerational inbreeding effects in a passerine bird. </w:t>
          </w:r>
          <w:r w:rsidRPr="000D4310">
            <w:rPr>
              <w:rFonts w:ascii="Calibri" w:hAnsi="Calibri" w:cs="Calibri"/>
              <w:i/>
              <w:iCs/>
            </w:rPr>
            <w:t>Molecular Ecology</w:t>
          </w:r>
          <w:r w:rsidRPr="000D4310">
            <w:rPr>
              <w:rFonts w:ascii="Calibri" w:hAnsi="Calibri" w:cs="Calibri"/>
            </w:rPr>
            <w:t xml:space="preserve">, </w:t>
          </w:r>
          <w:r w:rsidRPr="000D4310">
            <w:rPr>
              <w:rFonts w:ascii="Calibri" w:hAnsi="Calibri" w:cs="Calibri"/>
              <w:i/>
              <w:iCs/>
            </w:rPr>
            <w:t>25</w:t>
          </w:r>
          <w:r w:rsidRPr="000D4310">
            <w:rPr>
              <w:rFonts w:ascii="Calibri" w:hAnsi="Calibri" w:cs="Calibri"/>
            </w:rPr>
            <w:t>(12), 2949–2960. doi: 10.1111/mec.13670</w:t>
          </w:r>
        </w:p>
        <w:p w14:paraId="60EE8C69" w14:textId="77777777" w:rsidR="000D4310" w:rsidRPr="000D4310" w:rsidRDefault="000D4310">
          <w:pPr>
            <w:pStyle w:val="csl-entry"/>
            <w:ind w:left="300" w:hanging="300"/>
            <w:divId w:val="203755897"/>
            <w:rPr>
              <w:rFonts w:ascii="Calibri" w:hAnsi="Calibri" w:cs="Calibri"/>
            </w:rPr>
          </w:pPr>
          <w:r w:rsidRPr="000D4310">
            <w:rPr>
              <w:rFonts w:ascii="Calibri" w:hAnsi="Calibri" w:cs="Calibri"/>
            </w:rPr>
            <w:t xml:space="preserve">Sparks, A. M., </w:t>
          </w:r>
          <w:proofErr w:type="spellStart"/>
          <w:r w:rsidRPr="000D4310">
            <w:rPr>
              <w:rFonts w:ascii="Calibri" w:hAnsi="Calibri" w:cs="Calibri"/>
            </w:rPr>
            <w:t>Spurgin</w:t>
          </w:r>
          <w:proofErr w:type="spellEnd"/>
          <w:r w:rsidRPr="000D4310">
            <w:rPr>
              <w:rFonts w:ascii="Calibri" w:hAnsi="Calibri" w:cs="Calibri"/>
            </w:rPr>
            <w:t xml:space="preserve">, L. G., Velde, M. van der, Fairfield, E. A., Komdeur, J., Burke, T., … Dugdale, H. L. (2021). Telomere heritability and parental age at conception effects in a wild avian population. </w:t>
          </w:r>
          <w:r w:rsidRPr="000D4310">
            <w:rPr>
              <w:rFonts w:ascii="Calibri" w:hAnsi="Calibri" w:cs="Calibri"/>
              <w:i/>
              <w:iCs/>
            </w:rPr>
            <w:t>Molecular Ecology</w:t>
          </w:r>
          <w:r w:rsidRPr="000D4310">
            <w:rPr>
              <w:rFonts w:ascii="Calibri" w:hAnsi="Calibri" w:cs="Calibri"/>
            </w:rPr>
            <w:t>. doi: 10.1111/mec.15804</w:t>
          </w:r>
        </w:p>
        <w:p w14:paraId="3A8D74AE" w14:textId="77777777" w:rsidR="000D4310" w:rsidRPr="000D4310" w:rsidRDefault="000D4310">
          <w:pPr>
            <w:pStyle w:val="csl-entry"/>
            <w:ind w:left="300" w:hanging="300"/>
            <w:divId w:val="203755897"/>
            <w:rPr>
              <w:rFonts w:ascii="Calibri" w:hAnsi="Calibri" w:cs="Calibri"/>
            </w:rPr>
          </w:pPr>
          <w:proofErr w:type="spellStart"/>
          <w:r w:rsidRPr="000D4310">
            <w:rPr>
              <w:rFonts w:ascii="Calibri" w:hAnsi="Calibri" w:cs="Calibri"/>
            </w:rPr>
            <w:t>Spurgin</w:t>
          </w:r>
          <w:proofErr w:type="spellEnd"/>
          <w:r w:rsidRPr="000D4310">
            <w:rPr>
              <w:rFonts w:ascii="Calibri" w:hAnsi="Calibri" w:cs="Calibri"/>
            </w:rPr>
            <w:t xml:space="preserve">, L. G., Bebbington, K., Fairfield, E. A., Burke, T., Dugdale, H. L., &amp; Richardson, D. S. (2018). </w:t>
          </w:r>
          <w:proofErr w:type="spellStart"/>
          <w:r w:rsidRPr="000D4310">
            <w:rPr>
              <w:rFonts w:ascii="Calibri" w:hAnsi="Calibri" w:cs="Calibri"/>
            </w:rPr>
            <w:t>Spatio</w:t>
          </w:r>
          <w:proofErr w:type="spellEnd"/>
          <w:r w:rsidRPr="000D4310">
            <w:rPr>
              <w:rFonts w:ascii="Calibri" w:hAnsi="Calibri" w:cs="Calibri"/>
            </w:rPr>
            <w:t xml:space="preserve">‐temporal variation in lifelong telomere dynamics in a long‐term ecological study. </w:t>
          </w:r>
          <w:r w:rsidRPr="000D4310">
            <w:rPr>
              <w:rFonts w:ascii="Calibri" w:hAnsi="Calibri" w:cs="Calibri"/>
              <w:i/>
              <w:iCs/>
            </w:rPr>
            <w:t>Journal of Animal Ecology</w:t>
          </w:r>
          <w:r w:rsidRPr="000D4310">
            <w:rPr>
              <w:rFonts w:ascii="Calibri" w:hAnsi="Calibri" w:cs="Calibri"/>
            </w:rPr>
            <w:t xml:space="preserve">, </w:t>
          </w:r>
          <w:r w:rsidRPr="000D4310">
            <w:rPr>
              <w:rFonts w:ascii="Calibri" w:hAnsi="Calibri" w:cs="Calibri"/>
              <w:i/>
              <w:iCs/>
            </w:rPr>
            <w:t>87</w:t>
          </w:r>
          <w:r w:rsidRPr="000D4310">
            <w:rPr>
              <w:rFonts w:ascii="Calibri" w:hAnsi="Calibri" w:cs="Calibri"/>
            </w:rPr>
            <w:t>(1), 187–198. doi: 10.1111/1365-2656.12741</w:t>
          </w:r>
        </w:p>
        <w:p w14:paraId="60B48AAA" w14:textId="5FC21D90" w:rsidR="000C4167" w:rsidRPr="004547B1" w:rsidRDefault="000D4310" w:rsidP="000C4167">
          <w:r w:rsidRPr="000D4310">
            <w:rPr>
              <w:rFonts w:ascii="Calibri" w:eastAsia="Times New Roman" w:hAnsi="Calibri" w:cs="Calibri"/>
            </w:rPr>
            <w:t> </w:t>
          </w:r>
        </w:p>
      </w:sdtContent>
    </w:sdt>
    <w:sectPr w:rsidR="000C4167" w:rsidRPr="004547B1" w:rsidSect="00CD736F">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5109" w16cex:dateUtc="2021-07-07T15:12:00Z"/>
  <w16cex:commentExtensible w16cex:durableId="2490513F" w16cex:dateUtc="2021-07-07T15:13:00Z"/>
  <w16cex:commentExtensible w16cex:durableId="2490551B" w16cex:dateUtc="2021-07-07T15:3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55EB"/>
    <w:multiLevelType w:val="hybridMultilevel"/>
    <w:tmpl w:val="B6EC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FC"/>
    <w:rsid w:val="000C4167"/>
    <w:rsid w:val="000D4310"/>
    <w:rsid w:val="001A0C4D"/>
    <w:rsid w:val="00352B21"/>
    <w:rsid w:val="00377B10"/>
    <w:rsid w:val="00455E7C"/>
    <w:rsid w:val="00540F41"/>
    <w:rsid w:val="005648FC"/>
    <w:rsid w:val="005D6B9A"/>
    <w:rsid w:val="00622BE5"/>
    <w:rsid w:val="00720045"/>
    <w:rsid w:val="007317AF"/>
    <w:rsid w:val="0079231C"/>
    <w:rsid w:val="007E5359"/>
    <w:rsid w:val="00805ECF"/>
    <w:rsid w:val="00AA3AFB"/>
    <w:rsid w:val="00B65616"/>
    <w:rsid w:val="00BD73E3"/>
    <w:rsid w:val="00C352B5"/>
    <w:rsid w:val="00CD736F"/>
    <w:rsid w:val="00DB5E31"/>
    <w:rsid w:val="00E5382D"/>
    <w:rsid w:val="00F82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9307"/>
  <w15:chartTrackingRefBased/>
  <w15:docId w15:val="{19D2AEBF-A8E7-F340-9596-E700E01F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FC"/>
    <w:pPr>
      <w:widowControl w:val="0"/>
      <w:autoSpaceDN w:val="0"/>
      <w:adjustRightInd w:val="0"/>
      <w:spacing w:after="200" w:line="276" w:lineRule="auto"/>
      <w:ind w:left="720"/>
      <w:contextualSpacing/>
    </w:pPr>
    <w:rPr>
      <w:rFonts w:ascii="Calibri" w:eastAsia="Times New Roman" w:hAnsi="Calibri" w:cs="Times New Roman"/>
      <w:kern w:val="1"/>
      <w:sz w:val="20"/>
      <w:szCs w:val="20"/>
    </w:rPr>
  </w:style>
  <w:style w:type="paragraph" w:styleId="BalloonText">
    <w:name w:val="Balloon Text"/>
    <w:basedOn w:val="Normal"/>
    <w:link w:val="BalloonTextChar"/>
    <w:uiPriority w:val="99"/>
    <w:semiHidden/>
    <w:unhideWhenUsed/>
    <w:rsid w:val="007E53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359"/>
    <w:rPr>
      <w:rFonts w:ascii="Segoe UI" w:hAnsi="Segoe UI" w:cs="Segoe UI"/>
      <w:sz w:val="18"/>
      <w:szCs w:val="18"/>
    </w:rPr>
  </w:style>
  <w:style w:type="character" w:styleId="CommentReference">
    <w:name w:val="annotation reference"/>
    <w:basedOn w:val="DefaultParagraphFont"/>
    <w:uiPriority w:val="99"/>
    <w:semiHidden/>
    <w:unhideWhenUsed/>
    <w:rsid w:val="007E5359"/>
    <w:rPr>
      <w:sz w:val="16"/>
      <w:szCs w:val="16"/>
    </w:rPr>
  </w:style>
  <w:style w:type="paragraph" w:styleId="CommentText">
    <w:name w:val="annotation text"/>
    <w:basedOn w:val="Normal"/>
    <w:link w:val="CommentTextChar"/>
    <w:uiPriority w:val="99"/>
    <w:semiHidden/>
    <w:unhideWhenUsed/>
    <w:rsid w:val="007E5359"/>
    <w:rPr>
      <w:sz w:val="20"/>
      <w:szCs w:val="20"/>
    </w:rPr>
  </w:style>
  <w:style w:type="character" w:customStyle="1" w:styleId="CommentTextChar">
    <w:name w:val="Comment Text Char"/>
    <w:basedOn w:val="DefaultParagraphFont"/>
    <w:link w:val="CommentText"/>
    <w:uiPriority w:val="99"/>
    <w:semiHidden/>
    <w:rsid w:val="007E5359"/>
    <w:rPr>
      <w:sz w:val="20"/>
      <w:szCs w:val="20"/>
    </w:rPr>
  </w:style>
  <w:style w:type="paragraph" w:styleId="CommentSubject">
    <w:name w:val="annotation subject"/>
    <w:basedOn w:val="CommentText"/>
    <w:next w:val="CommentText"/>
    <w:link w:val="CommentSubjectChar"/>
    <w:uiPriority w:val="99"/>
    <w:semiHidden/>
    <w:unhideWhenUsed/>
    <w:rsid w:val="007E5359"/>
    <w:rPr>
      <w:b/>
      <w:bCs/>
    </w:rPr>
  </w:style>
  <w:style w:type="character" w:customStyle="1" w:styleId="CommentSubjectChar">
    <w:name w:val="Comment Subject Char"/>
    <w:basedOn w:val="CommentTextChar"/>
    <w:link w:val="CommentSubject"/>
    <w:uiPriority w:val="99"/>
    <w:semiHidden/>
    <w:rsid w:val="007E5359"/>
    <w:rPr>
      <w:b/>
      <w:bCs/>
      <w:sz w:val="20"/>
      <w:szCs w:val="20"/>
    </w:rPr>
  </w:style>
  <w:style w:type="paragraph" w:styleId="Revision">
    <w:name w:val="Revision"/>
    <w:hidden/>
    <w:uiPriority w:val="99"/>
    <w:semiHidden/>
    <w:rsid w:val="00BD73E3"/>
  </w:style>
  <w:style w:type="character" w:styleId="PlaceholderText">
    <w:name w:val="Placeholder Text"/>
    <w:basedOn w:val="DefaultParagraphFont"/>
    <w:uiPriority w:val="99"/>
    <w:semiHidden/>
    <w:rsid w:val="00622BE5"/>
    <w:rPr>
      <w:color w:val="808080"/>
    </w:rPr>
  </w:style>
  <w:style w:type="paragraph" w:customStyle="1" w:styleId="csl-entry">
    <w:name w:val="csl-entry"/>
    <w:basedOn w:val="Normal"/>
    <w:rsid w:val="00622BE5"/>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5997">
      <w:bodyDiv w:val="1"/>
      <w:marLeft w:val="0"/>
      <w:marRight w:val="0"/>
      <w:marTop w:val="0"/>
      <w:marBottom w:val="0"/>
      <w:divBdr>
        <w:top w:val="none" w:sz="0" w:space="0" w:color="auto"/>
        <w:left w:val="none" w:sz="0" w:space="0" w:color="auto"/>
        <w:bottom w:val="none" w:sz="0" w:space="0" w:color="auto"/>
        <w:right w:val="none" w:sz="0" w:space="0" w:color="auto"/>
      </w:divBdr>
    </w:div>
    <w:div w:id="203755897">
      <w:bodyDiv w:val="1"/>
      <w:marLeft w:val="0"/>
      <w:marRight w:val="0"/>
      <w:marTop w:val="0"/>
      <w:marBottom w:val="0"/>
      <w:divBdr>
        <w:top w:val="none" w:sz="0" w:space="0" w:color="auto"/>
        <w:left w:val="none" w:sz="0" w:space="0" w:color="auto"/>
        <w:bottom w:val="none" w:sz="0" w:space="0" w:color="auto"/>
        <w:right w:val="none" w:sz="0" w:space="0" w:color="auto"/>
      </w:divBdr>
    </w:div>
    <w:div w:id="211045084">
      <w:bodyDiv w:val="1"/>
      <w:marLeft w:val="0"/>
      <w:marRight w:val="0"/>
      <w:marTop w:val="0"/>
      <w:marBottom w:val="0"/>
      <w:divBdr>
        <w:top w:val="none" w:sz="0" w:space="0" w:color="auto"/>
        <w:left w:val="none" w:sz="0" w:space="0" w:color="auto"/>
        <w:bottom w:val="none" w:sz="0" w:space="0" w:color="auto"/>
        <w:right w:val="none" w:sz="0" w:space="0" w:color="auto"/>
      </w:divBdr>
    </w:div>
    <w:div w:id="373117780">
      <w:bodyDiv w:val="1"/>
      <w:marLeft w:val="0"/>
      <w:marRight w:val="0"/>
      <w:marTop w:val="0"/>
      <w:marBottom w:val="0"/>
      <w:divBdr>
        <w:top w:val="none" w:sz="0" w:space="0" w:color="auto"/>
        <w:left w:val="none" w:sz="0" w:space="0" w:color="auto"/>
        <w:bottom w:val="none" w:sz="0" w:space="0" w:color="auto"/>
        <w:right w:val="none" w:sz="0" w:space="0" w:color="auto"/>
      </w:divBdr>
    </w:div>
    <w:div w:id="391850528">
      <w:bodyDiv w:val="1"/>
      <w:marLeft w:val="0"/>
      <w:marRight w:val="0"/>
      <w:marTop w:val="0"/>
      <w:marBottom w:val="0"/>
      <w:divBdr>
        <w:top w:val="none" w:sz="0" w:space="0" w:color="auto"/>
        <w:left w:val="none" w:sz="0" w:space="0" w:color="auto"/>
        <w:bottom w:val="none" w:sz="0" w:space="0" w:color="auto"/>
        <w:right w:val="none" w:sz="0" w:space="0" w:color="auto"/>
      </w:divBdr>
    </w:div>
    <w:div w:id="434981686">
      <w:bodyDiv w:val="1"/>
      <w:marLeft w:val="0"/>
      <w:marRight w:val="0"/>
      <w:marTop w:val="0"/>
      <w:marBottom w:val="0"/>
      <w:divBdr>
        <w:top w:val="none" w:sz="0" w:space="0" w:color="auto"/>
        <w:left w:val="none" w:sz="0" w:space="0" w:color="auto"/>
        <w:bottom w:val="none" w:sz="0" w:space="0" w:color="auto"/>
        <w:right w:val="none" w:sz="0" w:space="0" w:color="auto"/>
      </w:divBdr>
    </w:div>
    <w:div w:id="755370925">
      <w:bodyDiv w:val="1"/>
      <w:marLeft w:val="0"/>
      <w:marRight w:val="0"/>
      <w:marTop w:val="0"/>
      <w:marBottom w:val="0"/>
      <w:divBdr>
        <w:top w:val="none" w:sz="0" w:space="0" w:color="auto"/>
        <w:left w:val="none" w:sz="0" w:space="0" w:color="auto"/>
        <w:bottom w:val="none" w:sz="0" w:space="0" w:color="auto"/>
        <w:right w:val="none" w:sz="0" w:space="0" w:color="auto"/>
      </w:divBdr>
    </w:div>
    <w:div w:id="1008824688">
      <w:bodyDiv w:val="1"/>
      <w:marLeft w:val="0"/>
      <w:marRight w:val="0"/>
      <w:marTop w:val="0"/>
      <w:marBottom w:val="0"/>
      <w:divBdr>
        <w:top w:val="none" w:sz="0" w:space="0" w:color="auto"/>
        <w:left w:val="none" w:sz="0" w:space="0" w:color="auto"/>
        <w:bottom w:val="none" w:sz="0" w:space="0" w:color="auto"/>
        <w:right w:val="none" w:sz="0" w:space="0" w:color="auto"/>
      </w:divBdr>
    </w:div>
    <w:div w:id="1061633784">
      <w:bodyDiv w:val="1"/>
      <w:marLeft w:val="0"/>
      <w:marRight w:val="0"/>
      <w:marTop w:val="0"/>
      <w:marBottom w:val="0"/>
      <w:divBdr>
        <w:top w:val="none" w:sz="0" w:space="0" w:color="auto"/>
        <w:left w:val="none" w:sz="0" w:space="0" w:color="auto"/>
        <w:bottom w:val="none" w:sz="0" w:space="0" w:color="auto"/>
        <w:right w:val="none" w:sz="0" w:space="0" w:color="auto"/>
      </w:divBdr>
    </w:div>
    <w:div w:id="1233345900">
      <w:bodyDiv w:val="1"/>
      <w:marLeft w:val="0"/>
      <w:marRight w:val="0"/>
      <w:marTop w:val="0"/>
      <w:marBottom w:val="0"/>
      <w:divBdr>
        <w:top w:val="none" w:sz="0" w:space="0" w:color="auto"/>
        <w:left w:val="none" w:sz="0" w:space="0" w:color="auto"/>
        <w:bottom w:val="none" w:sz="0" w:space="0" w:color="auto"/>
        <w:right w:val="none" w:sz="0" w:space="0" w:color="auto"/>
      </w:divBdr>
    </w:div>
    <w:div w:id="1333725338">
      <w:bodyDiv w:val="1"/>
      <w:marLeft w:val="0"/>
      <w:marRight w:val="0"/>
      <w:marTop w:val="0"/>
      <w:marBottom w:val="0"/>
      <w:divBdr>
        <w:top w:val="none" w:sz="0" w:space="0" w:color="auto"/>
        <w:left w:val="none" w:sz="0" w:space="0" w:color="auto"/>
        <w:bottom w:val="none" w:sz="0" w:space="0" w:color="auto"/>
        <w:right w:val="none" w:sz="0" w:space="0" w:color="auto"/>
      </w:divBdr>
    </w:div>
    <w:div w:id="1357080389">
      <w:bodyDiv w:val="1"/>
      <w:marLeft w:val="0"/>
      <w:marRight w:val="0"/>
      <w:marTop w:val="0"/>
      <w:marBottom w:val="0"/>
      <w:divBdr>
        <w:top w:val="none" w:sz="0" w:space="0" w:color="auto"/>
        <w:left w:val="none" w:sz="0" w:space="0" w:color="auto"/>
        <w:bottom w:val="none" w:sz="0" w:space="0" w:color="auto"/>
        <w:right w:val="none" w:sz="0" w:space="0" w:color="auto"/>
      </w:divBdr>
    </w:div>
    <w:div w:id="1485930449">
      <w:bodyDiv w:val="1"/>
      <w:marLeft w:val="0"/>
      <w:marRight w:val="0"/>
      <w:marTop w:val="0"/>
      <w:marBottom w:val="0"/>
      <w:divBdr>
        <w:top w:val="none" w:sz="0" w:space="0" w:color="auto"/>
        <w:left w:val="none" w:sz="0" w:space="0" w:color="auto"/>
        <w:bottom w:val="none" w:sz="0" w:space="0" w:color="auto"/>
        <w:right w:val="none" w:sz="0" w:space="0" w:color="auto"/>
      </w:divBdr>
    </w:div>
    <w:div w:id="1531257234">
      <w:bodyDiv w:val="1"/>
      <w:marLeft w:val="0"/>
      <w:marRight w:val="0"/>
      <w:marTop w:val="0"/>
      <w:marBottom w:val="0"/>
      <w:divBdr>
        <w:top w:val="none" w:sz="0" w:space="0" w:color="auto"/>
        <w:left w:val="none" w:sz="0" w:space="0" w:color="auto"/>
        <w:bottom w:val="none" w:sz="0" w:space="0" w:color="auto"/>
        <w:right w:val="none" w:sz="0" w:space="0" w:color="auto"/>
      </w:divBdr>
    </w:div>
    <w:div w:id="1929536891">
      <w:bodyDiv w:val="1"/>
      <w:marLeft w:val="0"/>
      <w:marRight w:val="0"/>
      <w:marTop w:val="0"/>
      <w:marBottom w:val="0"/>
      <w:divBdr>
        <w:top w:val="none" w:sz="0" w:space="0" w:color="auto"/>
        <w:left w:val="none" w:sz="0" w:space="0" w:color="auto"/>
        <w:bottom w:val="none" w:sz="0" w:space="0" w:color="auto"/>
        <w:right w:val="none" w:sz="0" w:space="0" w:color="auto"/>
      </w:divBdr>
    </w:div>
    <w:div w:id="204590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37F7FE6-FF09-A541-892A-189A12ADCBC3}"/>
      </w:docPartPr>
      <w:docPartBody>
        <w:p w:rsidR="00000000" w:rsidRDefault="00FD4F88">
          <w:r w:rsidRPr="002C7034">
            <w:rPr>
              <w:rStyle w:val="PlaceholderText"/>
            </w:rPr>
            <w:t>Click or tap here to enter text.</w:t>
          </w:r>
        </w:p>
      </w:docPartBody>
    </w:docPart>
    <w:docPart>
      <w:docPartPr>
        <w:name w:val="AF8237FF9AF56441821910761D3595F0"/>
        <w:category>
          <w:name w:val="General"/>
          <w:gallery w:val="placeholder"/>
        </w:category>
        <w:types>
          <w:type w:val="bbPlcHdr"/>
        </w:types>
        <w:behaviors>
          <w:behavior w:val="content"/>
        </w:behaviors>
        <w:guid w:val="{84A70E61-B93E-FF46-A62F-13DC0F057A16}"/>
      </w:docPartPr>
      <w:docPartBody>
        <w:p w:rsidR="00000000" w:rsidRDefault="00FD4F88" w:rsidP="00FD4F88">
          <w:pPr>
            <w:pStyle w:val="AF8237FF9AF56441821910761D3595F0"/>
          </w:pPr>
          <w:r w:rsidRPr="002C7034">
            <w:rPr>
              <w:rStyle w:val="PlaceholderText"/>
            </w:rPr>
            <w:t>Click or tap here to enter text.</w:t>
          </w:r>
        </w:p>
      </w:docPartBody>
    </w:docPart>
    <w:docPart>
      <w:docPartPr>
        <w:name w:val="782E7013F928864DBF0FFC4220E15D40"/>
        <w:category>
          <w:name w:val="General"/>
          <w:gallery w:val="placeholder"/>
        </w:category>
        <w:types>
          <w:type w:val="bbPlcHdr"/>
        </w:types>
        <w:behaviors>
          <w:behavior w:val="content"/>
        </w:behaviors>
        <w:guid w:val="{7C4958AD-B595-D647-9379-200B1D5DEC62}"/>
      </w:docPartPr>
      <w:docPartBody>
        <w:p w:rsidR="00000000" w:rsidRDefault="00FD4F88" w:rsidP="00FD4F88">
          <w:pPr>
            <w:pStyle w:val="782E7013F928864DBF0FFC4220E15D40"/>
          </w:pPr>
          <w:r w:rsidRPr="002C70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88"/>
    <w:rsid w:val="008568D2"/>
    <w:rsid w:val="00FD4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88"/>
    <w:rPr>
      <w:color w:val="808080"/>
    </w:rPr>
  </w:style>
  <w:style w:type="paragraph" w:customStyle="1" w:styleId="AF8237FF9AF56441821910761D3595F0">
    <w:name w:val="AF8237FF9AF56441821910761D3595F0"/>
    <w:rsid w:val="00FD4F88"/>
  </w:style>
  <w:style w:type="paragraph" w:customStyle="1" w:styleId="782E7013F928864DBF0FFC4220E15D40">
    <w:name w:val="782E7013F928864DBF0FFC4220E15D40"/>
    <w:rsid w:val="00FD4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0BD216-EEDA-704E-BC1D-E5D7C2773A8C}">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7B060-9BC2-114E-8CA3-0ADBACB7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Dugdale</dc:creator>
  <cp:keywords/>
  <dc:description/>
  <cp:lastModifiedBy>Hannah Dugdale</cp:lastModifiedBy>
  <cp:revision>4</cp:revision>
  <dcterms:created xsi:type="dcterms:W3CDTF">2021-07-08T06:58:00Z</dcterms:created>
  <dcterms:modified xsi:type="dcterms:W3CDTF">2021-07-08T08:42:00Z</dcterms:modified>
</cp:coreProperties>
</file>