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A6" w:rsidRPr="00253C8B" w:rsidRDefault="001B301F">
      <w:pPr>
        <w:rPr>
          <w:rFonts w:ascii="Agency FB" w:hAnsi="Agency FB"/>
          <w:b/>
          <w:bCs/>
          <w:color w:val="000000" w:themeColor="text1"/>
          <w:sz w:val="96"/>
          <w:szCs w:val="50"/>
        </w:rPr>
      </w:pPr>
      <w:bookmarkStart w:id="0" w:name="_GoBack"/>
      <w:bookmarkEnd w:id="0"/>
      <w:r>
        <w:rPr>
          <w:b/>
          <w:bCs/>
          <w:color w:val="000000"/>
          <w:sz w:val="96"/>
          <w:szCs w:val="50"/>
        </w:rPr>
        <w:t xml:space="preserve"> </w:t>
      </w:r>
      <w:r w:rsidR="00253C8B">
        <w:rPr>
          <w:b/>
          <w:bCs/>
          <w:color w:val="000000"/>
          <w:sz w:val="96"/>
          <w:szCs w:val="50"/>
        </w:rPr>
        <w:t xml:space="preserve">       </w:t>
      </w:r>
      <w:r w:rsidR="00253C8B">
        <w:rPr>
          <w:rFonts w:ascii="Agency FB" w:hAnsi="Agency FB"/>
          <w:b/>
          <w:bCs/>
          <w:color w:val="000000" w:themeColor="text1"/>
          <w:sz w:val="96"/>
          <w:szCs w:val="50"/>
        </w:rPr>
        <w:t xml:space="preserve">                 </w:t>
      </w:r>
      <w:r w:rsidRPr="00253C8B">
        <w:rPr>
          <w:rFonts w:ascii="Agency FB" w:hAnsi="Agency FB"/>
          <w:b/>
          <w:bCs/>
          <w:color w:val="000000" w:themeColor="text1"/>
          <w:sz w:val="96"/>
          <w:szCs w:val="50"/>
        </w:rPr>
        <w:t>Analysis of Voter Behavior in U.S. Elections</w:t>
      </w:r>
    </w:p>
    <w:p w:rsidR="001B301F" w:rsidRPr="00BD6EC8" w:rsidRDefault="001B301F">
      <w:pPr>
        <w:rPr>
          <w:rFonts w:ascii="Blackadder ITC" w:hAnsi="Blackadder ITC"/>
          <w:b/>
          <w:bCs/>
          <w:color w:val="FF0000"/>
          <w:sz w:val="96"/>
          <w:szCs w:val="50"/>
        </w:rPr>
        <w:sectPr w:rsidR="001B301F" w:rsidRPr="00BD6EC8" w:rsidSect="001B301F">
          <w:pgSz w:w="25920" w:h="158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B301F" w:rsidRPr="00253C8B" w:rsidRDefault="001B301F" w:rsidP="001B301F">
      <w:pPr>
        <w:pStyle w:val="NormalWeb"/>
        <w:spacing w:before="0" w:beforeAutospacing="0" w:after="160" w:afterAutospacing="0"/>
        <w:rPr>
          <w:rFonts w:ascii="Algerian" w:hAnsi="Algerian"/>
          <w:color w:val="70AD47" w:themeColor="accent6"/>
          <w:sz w:val="32"/>
        </w:rPr>
      </w:pPr>
      <w:r w:rsidRPr="00253C8B">
        <w:rPr>
          <w:rFonts w:ascii="Algerian" w:hAnsi="Algerian"/>
          <w:b/>
          <w:bCs/>
          <w:color w:val="70AD47" w:themeColor="accent6"/>
          <w:sz w:val="44"/>
          <w:szCs w:val="36"/>
        </w:rPr>
        <w:t>Introduction</w:t>
      </w:r>
    </w:p>
    <w:p w:rsidR="001B301F" w:rsidRPr="00BD6EC8" w:rsidRDefault="001B301F" w:rsidP="001B301F">
      <w:pPr>
        <w:pStyle w:val="NormalWeb"/>
        <w:spacing w:before="0" w:beforeAutospacing="0" w:after="160" w:afterAutospacing="0"/>
        <w:rPr>
          <w:rFonts w:ascii="Bradley Hand ITC" w:hAnsi="Bradley Hand ITC"/>
          <w:b/>
          <w:color w:val="385623" w:themeColor="accent6" w:themeShade="80"/>
          <w:sz w:val="36"/>
          <w:szCs w:val="28"/>
        </w:rPr>
      </w:pPr>
      <w:r w:rsidRPr="00BD6EC8">
        <w:rPr>
          <w:rFonts w:ascii="Bradley Hand ITC" w:hAnsi="Bradley Hand ITC"/>
          <w:b/>
          <w:color w:val="385623" w:themeColor="accent6" w:themeShade="80"/>
          <w:sz w:val="36"/>
          <w:szCs w:val="28"/>
        </w:rPr>
        <w:t xml:space="preserve">This report analyzes voter behavior in the U.S. elections of 2020 and 2024 using a dataset that captures various demographic factors, political affiliations, and voting outcomes. </w:t>
      </w:r>
    </w:p>
    <w:p w:rsidR="001B301F" w:rsidRPr="00126D10" w:rsidRDefault="001B301F" w:rsidP="001B301F">
      <w:pPr>
        <w:pStyle w:val="NormalWeb"/>
        <w:spacing w:before="0" w:beforeAutospacing="0" w:after="160" w:afterAutospacing="0"/>
        <w:rPr>
          <w:rFonts w:ascii="Algerian" w:hAnsi="Algerian"/>
          <w:color w:val="4472C4" w:themeColor="accent5"/>
          <w:sz w:val="32"/>
        </w:rPr>
      </w:pPr>
      <w:r w:rsidRPr="00253C8B">
        <w:rPr>
          <w:rFonts w:ascii="Algerian" w:hAnsi="Algerian"/>
          <w:b/>
          <w:bCs/>
          <w:color w:val="70AD47" w:themeColor="accent6"/>
          <w:sz w:val="44"/>
          <w:szCs w:val="36"/>
        </w:rPr>
        <w:t>Dataset Overview</w:t>
      </w:r>
    </w:p>
    <w:p w:rsidR="001B301F" w:rsidRPr="00253C8B" w:rsidRDefault="001B301F" w:rsidP="001B301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Bradley Hand ITC" w:hAnsi="Bradley Hand ITC"/>
          <w:b/>
          <w:color w:val="385623" w:themeColor="accent6" w:themeShade="80"/>
          <w:sz w:val="32"/>
          <w:szCs w:val="32"/>
        </w:rPr>
      </w:pPr>
      <w:r w:rsidRPr="00253C8B">
        <w:rPr>
          <w:rFonts w:ascii="Bradley Hand ITC" w:hAnsi="Bradley Hand ITC"/>
          <w:b/>
          <w:bCs/>
          <w:color w:val="385623" w:themeColor="accent6" w:themeShade="80"/>
          <w:sz w:val="32"/>
          <w:szCs w:val="32"/>
        </w:rPr>
        <w:t>Voter ID</w:t>
      </w:r>
      <w:r w:rsidRPr="00253C8B">
        <w:rPr>
          <w:rFonts w:ascii="Bradley Hand ITC" w:hAnsi="Bradley Hand ITC"/>
          <w:b/>
          <w:color w:val="385623" w:themeColor="accent6" w:themeShade="80"/>
          <w:sz w:val="32"/>
          <w:szCs w:val="32"/>
        </w:rPr>
        <w:t>: Unique identifier for each voter.</w:t>
      </w:r>
    </w:p>
    <w:p w:rsidR="001B301F" w:rsidRPr="00253C8B" w:rsidRDefault="001B301F" w:rsidP="001B301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Bradley Hand ITC" w:hAnsi="Bradley Hand ITC"/>
          <w:b/>
          <w:color w:val="385623" w:themeColor="accent6" w:themeShade="80"/>
          <w:sz w:val="32"/>
          <w:szCs w:val="32"/>
        </w:rPr>
      </w:pPr>
      <w:r w:rsidRPr="00253C8B">
        <w:rPr>
          <w:rFonts w:ascii="Bradley Hand ITC" w:hAnsi="Bradley Hand ITC"/>
          <w:b/>
          <w:bCs/>
          <w:color w:val="385623" w:themeColor="accent6" w:themeShade="80"/>
          <w:sz w:val="32"/>
          <w:szCs w:val="32"/>
        </w:rPr>
        <w:t>Election Year</w:t>
      </w:r>
      <w:r w:rsidRPr="00253C8B">
        <w:rPr>
          <w:rFonts w:ascii="Bradley Hand ITC" w:hAnsi="Bradley Hand ITC"/>
          <w:b/>
          <w:color w:val="385623" w:themeColor="accent6" w:themeShade="80"/>
          <w:sz w:val="32"/>
          <w:szCs w:val="32"/>
        </w:rPr>
        <w:t>: The year of the election (2020, 2024).</w:t>
      </w:r>
    </w:p>
    <w:p w:rsidR="001B301F" w:rsidRPr="00253C8B" w:rsidRDefault="001B301F" w:rsidP="001B301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Bradley Hand ITC" w:hAnsi="Bradley Hand ITC"/>
          <w:b/>
          <w:color w:val="385623" w:themeColor="accent6" w:themeShade="80"/>
          <w:sz w:val="32"/>
          <w:szCs w:val="32"/>
        </w:rPr>
      </w:pPr>
      <w:r w:rsidRPr="00253C8B">
        <w:rPr>
          <w:rFonts w:ascii="Bradley Hand ITC" w:hAnsi="Bradley Hand ITC"/>
          <w:b/>
          <w:bCs/>
          <w:color w:val="385623" w:themeColor="accent6" w:themeShade="80"/>
          <w:sz w:val="32"/>
          <w:szCs w:val="32"/>
        </w:rPr>
        <w:t>Age Group</w:t>
      </w:r>
      <w:r w:rsidRPr="00253C8B">
        <w:rPr>
          <w:rFonts w:ascii="Bradley Hand ITC" w:hAnsi="Bradley Hand ITC"/>
          <w:b/>
          <w:color w:val="385623" w:themeColor="accent6" w:themeShade="80"/>
          <w:sz w:val="32"/>
          <w:szCs w:val="32"/>
        </w:rPr>
        <w:t>: Age range of the voter (e.g., 18-24, 25-34).</w:t>
      </w:r>
    </w:p>
    <w:p w:rsidR="001B301F" w:rsidRPr="00253C8B" w:rsidRDefault="001B301F" w:rsidP="001B301F">
      <w:pPr>
        <w:pStyle w:val="NormalWeb"/>
        <w:spacing w:before="0" w:beforeAutospacing="0" w:after="160" w:afterAutospacing="0"/>
        <w:rPr>
          <w:rFonts w:ascii="Algerian" w:hAnsi="Algerian"/>
          <w:color w:val="70AD47" w:themeColor="accent6"/>
          <w:sz w:val="32"/>
        </w:rPr>
      </w:pPr>
      <w:r w:rsidRPr="00253C8B">
        <w:rPr>
          <w:rFonts w:ascii="Algerian" w:hAnsi="Algerian"/>
          <w:b/>
          <w:bCs/>
          <w:color w:val="70AD47" w:themeColor="accent6"/>
          <w:sz w:val="44"/>
          <w:szCs w:val="36"/>
        </w:rPr>
        <w:t>Analysis Questions and Findings</w:t>
      </w:r>
    </w:p>
    <w:p w:rsidR="001B301F" w:rsidRPr="00BD6EC8" w:rsidRDefault="00DE74EB" w:rsidP="00DE74EB">
      <w:pPr>
        <w:pStyle w:val="NormalWeb"/>
        <w:spacing w:before="0" w:beforeAutospacing="0" w:after="160" w:afterAutospacing="0"/>
        <w:textAlignment w:val="baseline"/>
        <w:rPr>
          <w:rFonts w:ascii="Lucida Handwriting" w:hAnsi="Lucida Handwriting"/>
          <w:b/>
          <w:bCs/>
          <w:color w:val="4472C4" w:themeColor="accent5"/>
          <w:sz w:val="36"/>
          <w:szCs w:val="32"/>
        </w:rPr>
      </w:pPr>
      <w:r w:rsidRPr="00BD6EC8">
        <w:rPr>
          <w:rFonts w:ascii="Lucida Handwriting" w:hAnsi="Lucida Handwriting"/>
          <w:b/>
          <w:bCs/>
          <w:color w:val="4472C4" w:themeColor="accent5"/>
          <w:sz w:val="36"/>
          <w:szCs w:val="32"/>
        </w:rPr>
        <w:t xml:space="preserve">1. </w:t>
      </w:r>
      <w:r w:rsidR="001B301F" w:rsidRPr="00BD6EC8">
        <w:rPr>
          <w:rFonts w:ascii="Lucida Handwriting" w:hAnsi="Lucida Handwriting"/>
          <w:b/>
          <w:bCs/>
          <w:color w:val="4472C4" w:themeColor="accent5"/>
          <w:sz w:val="36"/>
          <w:szCs w:val="32"/>
        </w:rPr>
        <w:t>Voter Preference by Age Group </w:t>
      </w:r>
    </w:p>
    <w:p w:rsidR="001B301F" w:rsidRPr="00BD6EC8" w:rsidRDefault="001B301F" w:rsidP="00DE74EB">
      <w:pPr>
        <w:spacing w:line="240" w:lineRule="auto"/>
        <w:rPr>
          <w:rFonts w:ascii="Bradley Hand ITC" w:eastAsia="Times New Roman" w:hAnsi="Bradley Hand ITC" w:cs="Times New Roman"/>
          <w:b/>
          <w:color w:val="000000"/>
          <w:sz w:val="32"/>
          <w:szCs w:val="28"/>
        </w:rPr>
      </w:pPr>
      <w:r w:rsidRPr="00253C8B"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36"/>
          <w:szCs w:val="32"/>
        </w:rPr>
        <w:t>Analysis Method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32"/>
        </w:rPr>
        <w:t>: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2"/>
          <w:szCs w:val="28"/>
        </w:rPr>
        <w:t xml:space="preserve"> A pivot table was created with age groups as rows and election years as columns, counting the vote outcomes</w:t>
      </w:r>
      <w:r w:rsidRPr="00BD6EC8">
        <w:rPr>
          <w:rFonts w:ascii="Bradley Hand ITC" w:eastAsia="Times New Roman" w:hAnsi="Bradley Hand ITC" w:cs="Times New Roman"/>
          <w:b/>
          <w:color w:val="000000"/>
          <w:sz w:val="32"/>
          <w:szCs w:val="28"/>
        </w:rPr>
        <w:t>.</w:t>
      </w:r>
    </w:p>
    <w:p w:rsidR="00BD6EC8" w:rsidRPr="001B301F" w:rsidRDefault="00BD6EC8" w:rsidP="00DE74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382770" cy="991518"/>
            <wp:effectExtent l="0" t="0" r="0" b="0"/>
            <wp:docPr id="1" name="Picture 1" descr="https://lh7-rt.googleusercontent.com/docsz/AD_4nXf0LRfmGtlFvS5Mx3wR7mYrYEZeGploFIckJLgIt0-Avr0L_jSXhVMhrO6jW94rM46_XcTr60KoMA8mVUQS9vpDvF_SqXvk78AZm1LEppxqJKxK0aFy9aPLG0Q8Ef6xOZjWCFvv0gSOq2PGlJ36fXM?key=vZ7Q-Ld4ynwGAwhxWEXKpX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0LRfmGtlFvS5Mx3wR7mYrYEZeGploFIckJLgIt0-Avr0L_jSXhVMhrO6jW94rM46_XcTr60KoMA8mVUQS9vpDvF_SqXvk78AZm1LEppxqJKxK0aFy9aPLG0Q8Ef6xOZjWCFvv0gSOq2PGlJ36fXM?key=vZ7Q-Ld4ynwGAwhxWEXKpXV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44" cy="101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1F" w:rsidRPr="00BD6EC8" w:rsidRDefault="001B301F" w:rsidP="00DE74EB">
      <w:pPr>
        <w:spacing w:after="0" w:line="240" w:lineRule="auto"/>
        <w:rPr>
          <w:rFonts w:ascii="Lucida Handwriting" w:eastAsia="Times New Roman" w:hAnsi="Lucida Handwriting" w:cs="Times New Roman"/>
          <w:color w:val="4472C4" w:themeColor="accent5"/>
          <w:sz w:val="32"/>
          <w:szCs w:val="24"/>
        </w:rPr>
      </w:pPr>
      <w:r w:rsidRPr="00BD6EC8">
        <w:rPr>
          <w:rFonts w:ascii="Lucida Handwriting" w:eastAsia="Times New Roman" w:hAnsi="Lucida Handwriting" w:cs="Times New Roman"/>
          <w:b/>
          <w:bCs/>
          <w:color w:val="4472C4" w:themeColor="accent5"/>
          <w:sz w:val="40"/>
          <w:szCs w:val="32"/>
        </w:rPr>
        <w:t>2. Impact of Education Level on Voting</w:t>
      </w:r>
    </w:p>
    <w:p w:rsidR="001B301F" w:rsidRPr="00253C8B" w:rsidRDefault="001B301F" w:rsidP="00DE74EB">
      <w:pPr>
        <w:spacing w:line="240" w:lineRule="auto"/>
        <w:rPr>
          <w:rFonts w:ascii="Bradley Hand ITC" w:eastAsia="Times New Roman" w:hAnsi="Bradley Hand ITC" w:cs="Times New Roman"/>
          <w:b/>
          <w:color w:val="385623" w:themeColor="accent6" w:themeShade="80"/>
          <w:sz w:val="32"/>
          <w:szCs w:val="28"/>
        </w:rPr>
      </w:pPr>
      <w:r w:rsidRPr="00253C8B"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36"/>
          <w:szCs w:val="32"/>
        </w:rPr>
        <w:t>Analysis Method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32"/>
        </w:rPr>
        <w:t>: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24"/>
        </w:rPr>
        <w:t xml:space="preserve"> 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2"/>
          <w:szCs w:val="28"/>
        </w:rPr>
        <w:t>A pivot table was set up with education levels as rows and political parties as columns, counting the vote outcomes.</w:t>
      </w:r>
    </w:p>
    <w:p w:rsidR="00126D10" w:rsidRPr="00BD6EC8" w:rsidRDefault="00126D10" w:rsidP="00DE74EB">
      <w:pPr>
        <w:spacing w:line="240" w:lineRule="auto"/>
        <w:rPr>
          <w:rFonts w:ascii="Bradley Hand ITC" w:eastAsia="Times New Roman" w:hAnsi="Bradley Hand ITC" w:cs="Times New Roman"/>
          <w:b/>
          <w:sz w:val="28"/>
          <w:szCs w:val="24"/>
        </w:rPr>
      </w:pPr>
      <w:r>
        <w:rPr>
          <w:rFonts w:ascii="Bradley Hand ITC" w:eastAsia="Times New Roman" w:hAnsi="Bradley Hand ITC" w:cs="Times New Roman"/>
          <w:b/>
          <w:color w:val="000000"/>
          <w:sz w:val="32"/>
          <w:szCs w:val="28"/>
        </w:rPr>
        <w:t xml:space="preserve">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638040" cy="1311008"/>
            <wp:effectExtent l="0" t="0" r="0" b="3810"/>
            <wp:docPr id="2" name="Picture 2" descr="https://lh7-rt.googleusercontent.com/docsz/AD_4nXem5otXXBbAYwt4l3qAcYz6BAgI5E4lYuPMm33O_Q_R3RnF8r81D1lNoOC1SRmt8KMf0GFdibVJ90iAmf_Sk9qR_vThhu3YPNhfNNNI3GNJITOsOoCn8KgHc3JJ1c8KFkDZqt4gtr0Y-SzIQZpGJbE?key=vZ7Q-Ld4ynwGAwhxWEXKpX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m5otXXBbAYwt4l3qAcYz6BAgI5E4lYuPMm33O_Q_R3RnF8r81D1lNoOC1SRmt8KMf0GFdibVJ90iAmf_Sk9qR_vThhu3YPNhfNNNI3GNJITOsOoCn8KgHc3JJ1c8KFkDZqt4gtr0Y-SzIQZpGJbE?key=vZ7Q-Ld4ynwGAwhxWEXKpXV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47" cy="13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1F" w:rsidRPr="00126D10" w:rsidRDefault="001B301F" w:rsidP="00DE74EB">
      <w:pPr>
        <w:spacing w:after="240" w:line="240" w:lineRule="auto"/>
        <w:rPr>
          <w:rFonts w:ascii="Lucida Handwriting" w:eastAsia="Times New Roman" w:hAnsi="Lucida Handwriting" w:cs="Times New Roman"/>
          <w:color w:val="4472C4" w:themeColor="accent5"/>
          <w:sz w:val="32"/>
          <w:szCs w:val="24"/>
        </w:rPr>
      </w:pPr>
      <w:r w:rsidRPr="00126D10">
        <w:rPr>
          <w:rFonts w:ascii="Lucida Handwriting" w:eastAsia="Times New Roman" w:hAnsi="Lucida Handwriting" w:cs="Times New Roman"/>
          <w:b/>
          <w:bCs/>
          <w:color w:val="4472C4" w:themeColor="accent5"/>
          <w:sz w:val="40"/>
          <w:szCs w:val="32"/>
        </w:rPr>
        <w:t>3. Gender Differences in Voting Outcomes</w:t>
      </w:r>
    </w:p>
    <w:p w:rsidR="001B301F" w:rsidRPr="00253C8B" w:rsidRDefault="001B301F" w:rsidP="00DE74EB">
      <w:pPr>
        <w:spacing w:line="240" w:lineRule="auto"/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28"/>
        </w:rPr>
      </w:pPr>
      <w:r w:rsidRPr="00253C8B"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40"/>
          <w:szCs w:val="32"/>
        </w:rPr>
        <w:t>Analysis Method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40"/>
          <w:szCs w:val="32"/>
        </w:rPr>
        <w:t xml:space="preserve">: 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28"/>
        </w:rPr>
        <w:t>A pivot table was created using gender as rows and political parties as columns, counting the vote outcomes.</w:t>
      </w:r>
    </w:p>
    <w:p w:rsidR="00126D10" w:rsidRPr="00126D10" w:rsidRDefault="00126D10" w:rsidP="00DE74EB">
      <w:pPr>
        <w:spacing w:line="240" w:lineRule="auto"/>
        <w:rPr>
          <w:rFonts w:ascii="Bradley Hand ITC" w:eastAsia="Times New Roman" w:hAnsi="Bradley Hand ITC" w:cs="Times New Roman"/>
          <w:b/>
          <w:sz w:val="32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988106" cy="1773555"/>
            <wp:effectExtent l="0" t="0" r="0" b="0"/>
            <wp:docPr id="3" name="Picture 3" descr="https://lh7-rt.googleusercontent.com/docsz/AD_4nXddS_N7Kw3t9CDzG8CVw5rqb24nrJ3SibBr5RlpfADOdq0olBRu_VxncTlD2UQpF8VOGbaD8m15oyN9lV9fZGV8aolVAVGAlGNKaigZ1xWjruhbp8k10QX3dTBxtxLAQw3DYQh-p49raQvKpwvXWsk?key=vZ7Q-Ld4ynwGAwhxWEXKpX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dS_N7Kw3t9CDzG8CVw5rqb24nrJ3SibBr5RlpfADOdq0olBRu_VxncTlD2UQpF8VOGbaD8m15oyN9lV9fZGV8aolVAVGAlGNKaigZ1xWjruhbp8k10QX3dTBxtxLAQw3DYQh-p49raQvKpwvXWsk?key=vZ7Q-Ld4ynwGAwhxWEXKpXV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74" cy="17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1F" w:rsidRPr="00126D10" w:rsidRDefault="001B301F" w:rsidP="00DE74EB">
      <w:pPr>
        <w:spacing w:after="0" w:line="240" w:lineRule="auto"/>
        <w:rPr>
          <w:rFonts w:ascii="Lucida Handwriting" w:eastAsia="Times New Roman" w:hAnsi="Lucida Handwriting" w:cs="Times New Roman"/>
          <w:color w:val="4472C4" w:themeColor="accent5"/>
          <w:sz w:val="40"/>
          <w:szCs w:val="24"/>
        </w:rPr>
      </w:pPr>
      <w:r w:rsidRPr="00126D10">
        <w:rPr>
          <w:rFonts w:ascii="Lucida Handwriting" w:eastAsia="Times New Roman" w:hAnsi="Lucida Handwriting" w:cs="Times New Roman"/>
          <w:b/>
          <w:bCs/>
          <w:color w:val="4472C4" w:themeColor="accent5"/>
          <w:sz w:val="48"/>
          <w:szCs w:val="32"/>
        </w:rPr>
        <w:t>4. Shifts in State Support</w:t>
      </w:r>
    </w:p>
    <w:p w:rsidR="001B301F" w:rsidRPr="00253C8B" w:rsidRDefault="001B301F" w:rsidP="00DE74EB">
      <w:pPr>
        <w:spacing w:line="240" w:lineRule="auto"/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28"/>
        </w:rPr>
      </w:pPr>
      <w:r w:rsidRPr="00253C8B"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40"/>
          <w:szCs w:val="32"/>
        </w:rPr>
        <w:t>Analysis Method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40"/>
          <w:szCs w:val="32"/>
        </w:rPr>
        <w:t>: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2"/>
          <w:szCs w:val="26"/>
        </w:rPr>
        <w:t xml:space="preserve"> </w:t>
      </w:r>
      <w:r w:rsidRPr="00253C8B"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28"/>
        </w:rPr>
        <w:t>A pivot table was established with states as rows and election years as columns, counting the vote outcomes.</w:t>
      </w:r>
    </w:p>
    <w:p w:rsidR="00126D10" w:rsidRPr="00126D10" w:rsidRDefault="00126D10" w:rsidP="00DE74EB">
      <w:pPr>
        <w:spacing w:line="240" w:lineRule="auto"/>
        <w:rPr>
          <w:rFonts w:ascii="Bradley Hand ITC" w:eastAsia="Times New Roman" w:hAnsi="Bradley Hand ITC" w:cs="Times New Roman"/>
          <w:b/>
          <w:sz w:val="32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384675" cy="1366092"/>
            <wp:effectExtent l="0" t="0" r="0" b="5715"/>
            <wp:docPr id="4" name="Picture 4" descr="https://lh7-rt.googleusercontent.com/docsz/AD_4nXejqr7696cyn4VG4_RosAJMupeBm0j4P1mDUG9u0jE9-WB6WFfOjmxFQ6xLCCJIReUAaV4WFCJWp-P6xHo6Iwik9J09UO7kl0-Z6-thUvQViEeDV1EW4DyIg4p8McyrBIVNLriLmKCHa_MJ19Bh0Hk?key=vZ7Q-Ld4ynwGAwhxWEXKpX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jqr7696cyn4VG4_RosAJMupeBm0j4P1mDUG9u0jE9-WB6WFfOjmxFQ6xLCCJIReUAaV4WFCJWp-P6xHo6Iwik9J09UO7kl0-Z6-thUvQViEeDV1EW4DyIg4p8McyrBIVNLriLmKCHa_MJ19Bh0Hk?key=vZ7Q-Ld4ynwGAwhxWEXKpXV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407" cy="13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1F" w:rsidRPr="001B301F" w:rsidRDefault="001B301F" w:rsidP="001B301F">
      <w:pPr>
        <w:spacing w:line="240" w:lineRule="auto"/>
        <w:rPr>
          <w:rFonts w:ascii="Algerian" w:eastAsia="Times New Roman" w:hAnsi="Algerian" w:cs="Times New Roman"/>
          <w:color w:val="00B050"/>
          <w:sz w:val="48"/>
          <w:szCs w:val="48"/>
        </w:rPr>
      </w:pPr>
      <w:r w:rsidRPr="001B301F">
        <w:rPr>
          <w:rFonts w:ascii="Algerian" w:eastAsia="Times New Roman" w:hAnsi="Algerian" w:cs="Times New Roman"/>
          <w:b/>
          <w:bCs/>
          <w:color w:val="00B050"/>
          <w:sz w:val="48"/>
          <w:szCs w:val="48"/>
        </w:rPr>
        <w:t>Challenges</w:t>
      </w:r>
    </w:p>
    <w:p w:rsidR="001B301F" w:rsidRPr="001B301F" w:rsidRDefault="001B301F" w:rsidP="001B301F">
      <w:pPr>
        <w:numPr>
          <w:ilvl w:val="0"/>
          <w:numId w:val="4"/>
        </w:numPr>
        <w:spacing w:line="240" w:lineRule="auto"/>
        <w:textAlignment w:val="baseline"/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36"/>
          <w:szCs w:val="32"/>
        </w:rPr>
      </w:pPr>
      <w:r w:rsidRPr="001B301F"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36"/>
          <w:szCs w:val="32"/>
        </w:rPr>
        <w:t>Data Limitations</w:t>
      </w:r>
      <w:r w:rsidRPr="001B301F">
        <w:rPr>
          <w:rFonts w:ascii="Bradley Hand ITC" w:eastAsia="Times New Roman" w:hAnsi="Bradley Hand ITC" w:cs="Times New Roman"/>
          <w:b/>
          <w:color w:val="385623" w:themeColor="accent6" w:themeShade="80"/>
          <w:sz w:val="24"/>
        </w:rPr>
        <w:t xml:space="preserve">: </w:t>
      </w:r>
      <w:r w:rsidRPr="001B301F">
        <w:rPr>
          <w:rFonts w:ascii="Bradley Hand ITC" w:eastAsia="Times New Roman" w:hAnsi="Bradley Hand ITC" w:cs="Times New Roman"/>
          <w:b/>
          <w:color w:val="385623" w:themeColor="accent6" w:themeShade="80"/>
          <w:sz w:val="32"/>
          <w:szCs w:val="28"/>
        </w:rPr>
        <w:t xml:space="preserve">The dataset may not capture all relevant factors influencing voter behavior, </w:t>
      </w:r>
    </w:p>
    <w:p w:rsidR="001B301F" w:rsidRPr="001B301F" w:rsidRDefault="001B301F" w:rsidP="001B301F">
      <w:pPr>
        <w:numPr>
          <w:ilvl w:val="0"/>
          <w:numId w:val="4"/>
        </w:numPr>
        <w:spacing w:line="240" w:lineRule="auto"/>
        <w:textAlignment w:val="baseline"/>
        <w:rPr>
          <w:rFonts w:ascii="Bradley Hand ITC" w:eastAsia="Times New Roman" w:hAnsi="Bradley Hand ITC" w:cs="Times New Roman"/>
          <w:b/>
          <w:bCs/>
          <w:color w:val="000000"/>
          <w:sz w:val="36"/>
          <w:szCs w:val="32"/>
        </w:rPr>
      </w:pPr>
      <w:r w:rsidRPr="001B301F">
        <w:rPr>
          <w:rFonts w:ascii="Bradley Hand ITC" w:eastAsia="Times New Roman" w:hAnsi="Bradley Hand ITC" w:cs="Times New Roman"/>
          <w:b/>
          <w:bCs/>
          <w:color w:val="385623" w:themeColor="accent6" w:themeShade="80"/>
          <w:sz w:val="36"/>
          <w:szCs w:val="32"/>
        </w:rPr>
        <w:t>Changing Political Landscape</w:t>
      </w:r>
      <w:r w:rsidRPr="001B301F"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32"/>
        </w:rPr>
        <w:t>:</w:t>
      </w:r>
      <w:r w:rsidRPr="001B301F">
        <w:rPr>
          <w:rFonts w:ascii="Bradley Hand ITC" w:eastAsia="Times New Roman" w:hAnsi="Bradley Hand ITC" w:cs="Times New Roman"/>
          <w:b/>
          <w:color w:val="385623" w:themeColor="accent6" w:themeShade="80"/>
          <w:sz w:val="24"/>
        </w:rPr>
        <w:t xml:space="preserve"> </w:t>
      </w:r>
      <w:r w:rsidRPr="001B301F">
        <w:rPr>
          <w:rFonts w:ascii="Bradley Hand ITC" w:eastAsia="Times New Roman" w:hAnsi="Bradley Hand ITC" w:cs="Times New Roman"/>
          <w:b/>
          <w:color w:val="385623" w:themeColor="accent6" w:themeShade="80"/>
          <w:sz w:val="32"/>
          <w:szCs w:val="28"/>
        </w:rPr>
        <w:t xml:space="preserve">Voter preferences can shift rapidly due to emerging issues, </w:t>
      </w:r>
    </w:p>
    <w:p w:rsidR="001B301F" w:rsidRPr="001B301F" w:rsidRDefault="001B301F" w:rsidP="00126D10">
      <w:pPr>
        <w:spacing w:line="240" w:lineRule="auto"/>
        <w:textAlignment w:val="baseline"/>
        <w:rPr>
          <w:rFonts w:ascii="Algerian" w:eastAsia="Times New Roman" w:hAnsi="Algerian" w:cs="Times New Roman"/>
          <w:color w:val="00B050"/>
          <w:sz w:val="36"/>
          <w:szCs w:val="24"/>
        </w:rPr>
      </w:pPr>
      <w:r w:rsidRPr="001B301F">
        <w:rPr>
          <w:rFonts w:ascii="Algerian" w:eastAsia="Times New Roman" w:hAnsi="Algerian" w:cs="Times New Roman"/>
          <w:b/>
          <w:bCs/>
          <w:color w:val="00B050"/>
          <w:sz w:val="48"/>
          <w:szCs w:val="36"/>
        </w:rPr>
        <w:t>Conclusion</w:t>
      </w:r>
    </w:p>
    <w:p w:rsidR="001B301F" w:rsidRPr="001B301F" w:rsidRDefault="001B301F" w:rsidP="001B301F">
      <w:pPr>
        <w:spacing w:line="240" w:lineRule="auto"/>
        <w:rPr>
          <w:rFonts w:ascii="Bradley Hand ITC" w:eastAsia="Times New Roman" w:hAnsi="Bradley Hand ITC" w:cs="Times New Roman"/>
          <w:b/>
          <w:sz w:val="32"/>
          <w:szCs w:val="24"/>
        </w:rPr>
      </w:pPr>
      <w:r w:rsidRPr="001B301F">
        <w:rPr>
          <w:rFonts w:ascii="Bradley Hand ITC" w:eastAsia="Times New Roman" w:hAnsi="Bradley Hand ITC" w:cs="Times New Roman"/>
          <w:b/>
          <w:color w:val="385623" w:themeColor="accent6" w:themeShade="80"/>
          <w:sz w:val="36"/>
          <w:szCs w:val="28"/>
        </w:rPr>
        <w:t xml:space="preserve">The analysis reveals important trends in voter behavior in the 2020 and 2024 elections. Key insights include shifts in preferences among different age groups, </w:t>
      </w:r>
    </w:p>
    <w:p w:rsidR="001B301F" w:rsidRPr="001B301F" w:rsidRDefault="001B301F" w:rsidP="001B301F">
      <w:pPr>
        <w:spacing w:before="360" w:after="80" w:line="240" w:lineRule="auto"/>
        <w:outlineLvl w:val="1"/>
        <w:rPr>
          <w:rFonts w:ascii="Algerian" w:eastAsia="Times New Roman" w:hAnsi="Algerian" w:cs="Times New Roman"/>
          <w:b/>
          <w:bCs/>
          <w:color w:val="00B050"/>
          <w:sz w:val="44"/>
          <w:szCs w:val="36"/>
        </w:rPr>
      </w:pPr>
      <w:r w:rsidRPr="001B301F">
        <w:rPr>
          <w:rFonts w:ascii="Algerian" w:eastAsia="Times New Roman" w:hAnsi="Algerian" w:cs="Times New Roman"/>
          <w:b/>
          <w:bCs/>
          <w:color w:val="00B050"/>
          <w:sz w:val="44"/>
          <w:szCs w:val="36"/>
        </w:rPr>
        <w:t>References</w:t>
      </w:r>
    </w:p>
    <w:p w:rsidR="001B301F" w:rsidRPr="001B301F" w:rsidRDefault="001B301F" w:rsidP="001B301F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</w:pPr>
      <w:proofErr w:type="spellStart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>Abrajano</w:t>
      </w:r>
      <w:proofErr w:type="spellEnd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 xml:space="preserve">, M. A., &amp; Alvarez, R. M. (2010). Assessing the Causes and Effects of Political Trust </w:t>
      </w:r>
      <w:proofErr w:type="gramStart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>Among</w:t>
      </w:r>
      <w:proofErr w:type="gramEnd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 xml:space="preserve"> U.S. Latinos. American Politics Research, 38(1), 110–141.</w:t>
      </w:r>
    </w:p>
    <w:p w:rsidR="001B301F" w:rsidRPr="00253C8B" w:rsidRDefault="001B301F" w:rsidP="00126D10">
      <w:pPr>
        <w:numPr>
          <w:ilvl w:val="0"/>
          <w:numId w:val="6"/>
        </w:numPr>
        <w:spacing w:after="0" w:line="240" w:lineRule="auto"/>
        <w:textAlignment w:val="baseline"/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sectPr w:rsidR="001B301F" w:rsidRPr="00253C8B" w:rsidSect="001B301F">
          <w:type w:val="continuous"/>
          <w:pgSz w:w="25920" w:h="15840" w:orient="landscape"/>
          <w:pgMar w:top="720" w:right="720" w:bottom="720" w:left="720" w:header="720" w:footer="720" w:gutter="0"/>
          <w:cols w:num="3" w:space="720"/>
          <w:docGrid w:linePitch="360"/>
        </w:sectPr>
      </w:pPr>
      <w:proofErr w:type="spellStart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>Adona</w:t>
      </w:r>
      <w:proofErr w:type="spellEnd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 xml:space="preserve">, N., &amp; </w:t>
      </w:r>
      <w:proofErr w:type="spellStart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>Gronke</w:t>
      </w:r>
      <w:proofErr w:type="spellEnd"/>
      <w:r w:rsidRPr="001B301F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>, P. (2018). Understanding the Voter Experience: The Public’s View of Election Administration and Reform. Retrieved from</w:t>
      </w:r>
      <w:r w:rsidRPr="00253C8B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</w:rPr>
        <w:t xml:space="preserve"> </w:t>
      </w:r>
      <w:r w:rsidR="00253C8B" w:rsidRPr="00253C8B">
        <w:rPr>
          <w:rFonts w:ascii="Bradley Hand ITC" w:eastAsia="Times New Roman" w:hAnsi="Bradley Hand ITC" w:cs="Times New Roman"/>
          <w:b/>
          <w:i/>
          <w:iCs/>
          <w:color w:val="385623" w:themeColor="accent6" w:themeShade="80"/>
          <w:sz w:val="32"/>
          <w:szCs w:val="28"/>
          <w:u w:val="single"/>
        </w:rPr>
        <w:t>Democracy Fun</w:t>
      </w:r>
    </w:p>
    <w:p w:rsidR="001B301F" w:rsidRPr="001B301F" w:rsidRDefault="001B301F">
      <w:pPr>
        <w:rPr>
          <w:sz w:val="40"/>
        </w:rPr>
      </w:pPr>
    </w:p>
    <w:sectPr w:rsidR="001B301F" w:rsidRPr="001B301F" w:rsidSect="001B301F">
      <w:type w:val="continuous"/>
      <w:pgSz w:w="25920" w:h="158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1DF"/>
    <w:multiLevelType w:val="multilevel"/>
    <w:tmpl w:val="F8D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746EA"/>
    <w:multiLevelType w:val="multilevel"/>
    <w:tmpl w:val="6EE6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B22D9"/>
    <w:multiLevelType w:val="multilevel"/>
    <w:tmpl w:val="4D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441EB"/>
    <w:multiLevelType w:val="multilevel"/>
    <w:tmpl w:val="397A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B943A3"/>
    <w:multiLevelType w:val="multilevel"/>
    <w:tmpl w:val="EF2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972C6"/>
    <w:multiLevelType w:val="multilevel"/>
    <w:tmpl w:val="4B28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1F"/>
    <w:rsid w:val="00126D10"/>
    <w:rsid w:val="001B301F"/>
    <w:rsid w:val="00253C8B"/>
    <w:rsid w:val="008011D8"/>
    <w:rsid w:val="00A174A6"/>
    <w:rsid w:val="00BD1380"/>
    <w:rsid w:val="00BD6EC8"/>
    <w:rsid w:val="00D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B2D7C-6430-4F57-8BB5-11621BB6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3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30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0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B3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2024-12-10T18:25:00Z</dcterms:created>
  <dcterms:modified xsi:type="dcterms:W3CDTF">2024-12-10T18:25:00Z</dcterms:modified>
</cp:coreProperties>
</file>