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4A4A" w14:textId="1D06246B" w:rsidR="005709BD" w:rsidRPr="00C868E9" w:rsidRDefault="005709BD" w:rsidP="005709BD">
      <w:pPr>
        <w:jc w:val="center"/>
        <w:rPr>
          <w:b/>
          <w:bCs/>
          <w:sz w:val="40"/>
          <w:szCs w:val="40"/>
        </w:rPr>
      </w:pPr>
      <w:r w:rsidRPr="00C868E9">
        <w:rPr>
          <w:b/>
          <w:bCs/>
          <w:sz w:val="40"/>
          <w:szCs w:val="40"/>
        </w:rPr>
        <w:t>Global Energy Consumption Analysis</w:t>
      </w:r>
    </w:p>
    <w:p w14:paraId="44D1DACD" w14:textId="77777777" w:rsidR="00C868E9" w:rsidRPr="00C4160F" w:rsidRDefault="00C868E9" w:rsidP="00C868E9">
      <w:r w:rsidRPr="00C4160F">
        <w:rPr>
          <w:b/>
          <w:bCs/>
        </w:rPr>
        <w:t>Author:</w:t>
      </w:r>
      <w:r w:rsidRPr="00C4160F">
        <w:t xml:space="preserve"> Muzamil Tariq</w:t>
      </w:r>
      <w:r>
        <w:tab/>
      </w:r>
      <w:r>
        <w:tab/>
      </w:r>
      <w:r>
        <w:tab/>
      </w:r>
      <w:r>
        <w:tab/>
      </w:r>
      <w:r>
        <w:tab/>
      </w:r>
      <w:r>
        <w:tab/>
      </w:r>
      <w:r>
        <w:tab/>
        <w:t xml:space="preserve">     </w:t>
      </w:r>
      <w:r w:rsidRPr="00C4160F">
        <w:rPr>
          <w:b/>
          <w:bCs/>
        </w:rPr>
        <w:t>Role:</w:t>
      </w:r>
      <w:r w:rsidRPr="00C4160F">
        <w:t xml:space="preserve"> Data Scientist</w:t>
      </w:r>
    </w:p>
    <w:p w14:paraId="714F03A7" w14:textId="62866ABE" w:rsidR="00C868E9" w:rsidRPr="00C868E9" w:rsidRDefault="00000000" w:rsidP="00C868E9">
      <w:r>
        <w:pict w14:anchorId="56777C79">
          <v:rect id="_x0000_i1025" style="width:0;height:1.5pt" o:hralign="center" o:hrstd="t" o:hr="t" fillcolor="#a0a0a0" stroked="f"/>
        </w:pict>
      </w:r>
    </w:p>
    <w:p w14:paraId="122DA44F" w14:textId="77777777" w:rsidR="00C868E9" w:rsidRPr="00C868E9" w:rsidRDefault="00C868E9" w:rsidP="00C868E9">
      <w:pPr>
        <w:rPr>
          <w:b/>
          <w:bCs/>
          <w:sz w:val="28"/>
          <w:szCs w:val="28"/>
        </w:rPr>
      </w:pPr>
      <w:r w:rsidRPr="00C868E9">
        <w:rPr>
          <w:b/>
          <w:bCs/>
          <w:sz w:val="28"/>
          <w:szCs w:val="28"/>
        </w:rPr>
        <w:t>1. Introduction</w:t>
      </w:r>
    </w:p>
    <w:p w14:paraId="7C053806" w14:textId="77777777" w:rsidR="00C868E9" w:rsidRPr="00C868E9" w:rsidRDefault="00C868E9" w:rsidP="00C868E9">
      <w:pPr>
        <w:jc w:val="both"/>
      </w:pPr>
      <w:r w:rsidRPr="00C868E9">
        <w:t>Global energy consumption has increased significantly over the past decades, driven by population growth, industrialization, and economic development. At the same time, rising carbon emissions and climate change concerns have made it essential to understand how energy is produced, distributed, and consumed across different countries.</w:t>
      </w:r>
    </w:p>
    <w:p w14:paraId="7E982B8E" w14:textId="77439C85" w:rsidR="00C868E9" w:rsidRPr="00C868E9" w:rsidRDefault="00C868E9" w:rsidP="00C868E9">
      <w:pPr>
        <w:jc w:val="both"/>
      </w:pPr>
      <w:r w:rsidRPr="00C868E9">
        <w:t>The objective is to explore long-term energy trends, compare renewable and fossil fuel usage, and assess the environmental impact of energy systems across countries.</w:t>
      </w:r>
    </w:p>
    <w:p w14:paraId="2ECBF061" w14:textId="77777777" w:rsidR="00C868E9" w:rsidRPr="00C868E9" w:rsidRDefault="00C868E9" w:rsidP="00C868E9">
      <w:pPr>
        <w:jc w:val="both"/>
      </w:pPr>
      <w:r w:rsidRPr="00C868E9">
        <w:t>In addition to basic analysis, the project incorporates feature engineering techniques to derive meaningful indicators such as carbon intensity, energy mix balance, and sectoral distribution. These metrics provide deeper insights into the efficiency and sustainability of national energy systems.</w:t>
      </w:r>
    </w:p>
    <w:p w14:paraId="61E33823" w14:textId="270FADD5" w:rsidR="00C868E9" w:rsidRDefault="005342EE" w:rsidP="003A37BE">
      <w:pPr>
        <w:jc w:val="both"/>
      </w:pPr>
      <w:r>
        <w:t>A</w:t>
      </w:r>
      <w:r w:rsidR="00C868E9" w:rsidRPr="00C868E9">
        <w:t xml:space="preserve">nalytical querying and interactive visualization </w:t>
      </w:r>
      <w:proofErr w:type="gramStart"/>
      <w:r w:rsidR="00C868E9" w:rsidRPr="00C868E9">
        <w:t>aims</w:t>
      </w:r>
      <w:proofErr w:type="gramEnd"/>
      <w:r w:rsidR="00C868E9" w:rsidRPr="00C868E9">
        <w:t xml:space="preserve"> to deliver clear, interpretable insights that support understanding of global energy trends and the ongoing transition toward cleaner and more sustainable energy sources.</w:t>
      </w:r>
    </w:p>
    <w:p w14:paraId="44C0D4F0" w14:textId="40C8478C" w:rsidR="00166585" w:rsidRDefault="00166585" w:rsidP="003A37BE">
      <w:pPr>
        <w:jc w:val="both"/>
      </w:pPr>
      <w:r>
        <w:pict w14:anchorId="34B5E2BD">
          <v:rect id="_x0000_i1041" style="width:0;height:1.5pt" o:hralign="center" o:hrstd="t" o:hr="t" fillcolor="#a0a0a0" stroked="f"/>
        </w:pict>
      </w:r>
    </w:p>
    <w:p w14:paraId="042C8C40" w14:textId="06CBF39B" w:rsidR="005342EE" w:rsidRDefault="00166585" w:rsidP="003A37BE">
      <w:pPr>
        <w:jc w:val="both"/>
        <w:rPr>
          <w:b/>
          <w:bCs/>
          <w:sz w:val="28"/>
          <w:szCs w:val="28"/>
        </w:rPr>
      </w:pPr>
      <w:r>
        <w:rPr>
          <w:b/>
          <w:bCs/>
          <w:sz w:val="28"/>
          <w:szCs w:val="28"/>
        </w:rPr>
        <w:t xml:space="preserve">2. </w:t>
      </w:r>
      <w:r w:rsidR="005342EE" w:rsidRPr="005342EE">
        <w:rPr>
          <w:b/>
          <w:bCs/>
          <w:sz w:val="28"/>
          <w:szCs w:val="28"/>
        </w:rPr>
        <w:t xml:space="preserve">Dashboards: </w:t>
      </w:r>
    </w:p>
    <w:p w14:paraId="37D47367" w14:textId="50E6FEE9" w:rsidR="005342EE" w:rsidRPr="005342EE" w:rsidRDefault="005342EE" w:rsidP="003A37BE">
      <w:pPr>
        <w:jc w:val="both"/>
        <w:rPr>
          <w:b/>
          <w:bCs/>
          <w:sz w:val="28"/>
          <w:szCs w:val="28"/>
        </w:rPr>
      </w:pPr>
      <w:r w:rsidRPr="00166585">
        <w:rPr>
          <w:sz w:val="28"/>
          <w:szCs w:val="28"/>
        </w:rPr>
        <w:t>1</w:t>
      </w:r>
      <w:r w:rsidR="00166585" w:rsidRPr="00166585">
        <w:rPr>
          <w:sz w:val="28"/>
          <w:szCs w:val="28"/>
        </w:rPr>
        <w:t>.</w:t>
      </w:r>
      <w:r>
        <w:rPr>
          <w:b/>
          <w:bCs/>
          <w:sz w:val="28"/>
          <w:szCs w:val="28"/>
        </w:rPr>
        <w:t xml:space="preserve"> </w:t>
      </w:r>
      <w:r w:rsidRPr="00166585">
        <w:rPr>
          <w:sz w:val="28"/>
          <w:szCs w:val="28"/>
        </w:rPr>
        <w:t>Global Energy Trends</w:t>
      </w:r>
      <w:r w:rsidRPr="00166585">
        <w:rPr>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166585">
        <w:rPr>
          <w:sz w:val="28"/>
          <w:szCs w:val="28"/>
        </w:rPr>
        <w:t>2.</w:t>
      </w:r>
      <w:r>
        <w:rPr>
          <w:b/>
          <w:bCs/>
          <w:sz w:val="28"/>
          <w:szCs w:val="28"/>
        </w:rPr>
        <w:t xml:space="preserve"> </w:t>
      </w:r>
      <w:r w:rsidRPr="00166585">
        <w:rPr>
          <w:sz w:val="28"/>
          <w:szCs w:val="28"/>
        </w:rPr>
        <w:t>Country Level Insights</w:t>
      </w:r>
    </w:p>
    <w:p w14:paraId="4C7FC06C" w14:textId="6527EDC3" w:rsidR="00370DEF" w:rsidRPr="00C868E9" w:rsidRDefault="00000000" w:rsidP="00370DEF">
      <w:r>
        <w:pict w14:anchorId="5C05CA1F">
          <v:rect id="_x0000_i1027" style="width:0;height:1.5pt" o:hralign="center" o:hrstd="t" o:hr="t" fillcolor="#a0a0a0" stroked="f"/>
        </w:pict>
      </w:r>
    </w:p>
    <w:p w14:paraId="2D7CC9E4" w14:textId="77777777" w:rsidR="00370DEF" w:rsidRPr="00370DEF" w:rsidRDefault="00370DEF" w:rsidP="00370DEF">
      <w:pPr>
        <w:rPr>
          <w:b/>
          <w:bCs/>
          <w:sz w:val="28"/>
          <w:szCs w:val="28"/>
        </w:rPr>
      </w:pPr>
      <w:r w:rsidRPr="00370DEF">
        <w:rPr>
          <w:b/>
          <w:bCs/>
          <w:sz w:val="28"/>
          <w:szCs w:val="28"/>
        </w:rPr>
        <w:t>3. Key Findings</w:t>
      </w:r>
    </w:p>
    <w:p w14:paraId="2759F597" w14:textId="77777777" w:rsidR="00370DEF" w:rsidRPr="00370DEF" w:rsidRDefault="00370DEF" w:rsidP="00647526">
      <w:pPr>
        <w:jc w:val="both"/>
        <w:rPr>
          <w:b/>
          <w:bCs/>
        </w:rPr>
      </w:pPr>
      <w:r w:rsidRPr="00370DEF">
        <w:rPr>
          <w:b/>
          <w:bCs/>
        </w:rPr>
        <w:t>3.1 Global Consumption &amp; Emissions Trends</w:t>
      </w:r>
    </w:p>
    <w:p w14:paraId="412F5974" w14:textId="77777777" w:rsidR="00370DEF" w:rsidRPr="00370DEF" w:rsidRDefault="00370DEF" w:rsidP="00647526">
      <w:pPr>
        <w:jc w:val="both"/>
      </w:pPr>
      <w:r w:rsidRPr="00370DEF">
        <w:t>The world has seen a consistent, albeit non-linear, increase in energy demand.</w:t>
      </w:r>
    </w:p>
    <w:p w14:paraId="50878870" w14:textId="77777777" w:rsidR="00370DEF" w:rsidRPr="00370DEF" w:rsidRDefault="00370DEF" w:rsidP="00647526">
      <w:pPr>
        <w:numPr>
          <w:ilvl w:val="0"/>
          <w:numId w:val="22"/>
        </w:numPr>
        <w:jc w:val="both"/>
      </w:pPr>
      <w:r w:rsidRPr="00370DEF">
        <w:rPr>
          <w:b/>
          <w:bCs/>
        </w:rPr>
        <w:t>Historical Growth:</w:t>
      </w:r>
      <w:r w:rsidRPr="00370DEF">
        <w:t xml:space="preserve"> Total energy consumption rose from ~55,271 TWh (2000) to ~72,230 TWh (2024).</w:t>
      </w:r>
    </w:p>
    <w:p w14:paraId="7A8A0D98" w14:textId="77777777" w:rsidR="00370DEF" w:rsidRPr="00370DEF" w:rsidRDefault="00370DEF" w:rsidP="00647526">
      <w:pPr>
        <w:numPr>
          <w:ilvl w:val="0"/>
          <w:numId w:val="22"/>
        </w:numPr>
        <w:jc w:val="both"/>
      </w:pPr>
      <w:r w:rsidRPr="00370DEF">
        <w:rPr>
          <w:b/>
          <w:bCs/>
        </w:rPr>
        <w:t>The 2020 Surge:</w:t>
      </w:r>
      <w:r w:rsidRPr="00370DEF">
        <w:t xml:space="preserve"> In a major departure from general global expectations, this dataset reveals a significant energy spike in 2020, reaching 88,645.23 TWh with emissions peaking at 42,502.41 MT.</w:t>
      </w:r>
    </w:p>
    <w:p w14:paraId="1D38896A" w14:textId="77777777" w:rsidR="00370DEF" w:rsidRDefault="00370DEF" w:rsidP="00647526">
      <w:pPr>
        <w:numPr>
          <w:ilvl w:val="0"/>
          <w:numId w:val="22"/>
        </w:numPr>
        <w:jc w:val="both"/>
      </w:pPr>
      <w:r w:rsidRPr="00370DEF">
        <w:rPr>
          <w:b/>
          <w:bCs/>
        </w:rPr>
        <w:lastRenderedPageBreak/>
        <w:t>Post-Peak Stabilization:</w:t>
      </w:r>
      <w:r w:rsidRPr="00370DEF">
        <w:t xml:space="preserve"> Following the 2020 peak, consumption levels moderated toward 82,508 TWh in 2021, suggesting that 2020 was a year of unique energy intensity for the nations in this study, potentially driven by a massive pivot in residential demand or industrial reorganization during the pandemic.</w:t>
      </w:r>
    </w:p>
    <w:p w14:paraId="743663CF" w14:textId="77777777" w:rsidR="00370DEF" w:rsidRPr="00370DEF" w:rsidRDefault="00370DEF" w:rsidP="00647526">
      <w:pPr>
        <w:ind w:left="720"/>
        <w:jc w:val="both"/>
      </w:pPr>
    </w:p>
    <w:p w14:paraId="1CFC7177" w14:textId="77777777" w:rsidR="00370DEF" w:rsidRPr="00370DEF" w:rsidRDefault="00370DEF" w:rsidP="00647526">
      <w:pPr>
        <w:jc w:val="both"/>
        <w:rPr>
          <w:b/>
          <w:bCs/>
        </w:rPr>
      </w:pPr>
      <w:r w:rsidRPr="00370DEF">
        <w:rPr>
          <w:b/>
          <w:bCs/>
        </w:rPr>
        <w:t>3.2 The Efficiency Leaders (Pollution Score)</w:t>
      </w:r>
    </w:p>
    <w:p w14:paraId="1B99A06C" w14:textId="77777777" w:rsidR="00370DEF" w:rsidRPr="00370DEF" w:rsidRDefault="00370DEF" w:rsidP="00647526">
      <w:pPr>
        <w:jc w:val="both"/>
      </w:pPr>
      <w:r w:rsidRPr="00370DEF">
        <w:t>Surprisingly, the countries with the highest total energy use are not necessarily the most "polluting" per unit of power.</w:t>
      </w:r>
    </w:p>
    <w:p w14:paraId="6FAC1FEE" w14:textId="77777777" w:rsidR="00370DEF" w:rsidRPr="00370DEF" w:rsidRDefault="00370DEF" w:rsidP="00647526">
      <w:pPr>
        <w:numPr>
          <w:ilvl w:val="0"/>
          <w:numId w:val="23"/>
        </w:numPr>
        <w:jc w:val="both"/>
      </w:pPr>
      <w:r w:rsidRPr="00370DEF">
        <w:rPr>
          <w:b/>
          <w:bCs/>
        </w:rPr>
        <w:t>Highest Intensity:</w:t>
      </w:r>
      <w:r w:rsidRPr="00370DEF">
        <w:t xml:space="preserve"> Canada (1.45) and the UK (1.40) show the highest pollution scores, suggesting their current energy infrastructure produces more CO2 per TWh compared to their peers.</w:t>
      </w:r>
    </w:p>
    <w:p w14:paraId="3951DF5A" w14:textId="77777777" w:rsidR="00370DEF" w:rsidRDefault="00370DEF" w:rsidP="00647526">
      <w:pPr>
        <w:numPr>
          <w:ilvl w:val="0"/>
          <w:numId w:val="23"/>
        </w:numPr>
        <w:jc w:val="both"/>
      </w:pPr>
      <w:r w:rsidRPr="00370DEF">
        <w:rPr>
          <w:b/>
          <w:bCs/>
        </w:rPr>
        <w:t>Efficiency Leader:</w:t>
      </w:r>
      <w:r w:rsidRPr="00370DEF">
        <w:t xml:space="preserve"> Japan (0.98) emerged as the most carbon-efficient nation among the top 10, producing significantly less carbon per unit of energy generated.</w:t>
      </w:r>
    </w:p>
    <w:p w14:paraId="41E2B85C" w14:textId="77777777" w:rsidR="00370DEF" w:rsidRPr="00370DEF" w:rsidRDefault="00370DEF" w:rsidP="00647526">
      <w:pPr>
        <w:ind w:left="720"/>
        <w:jc w:val="both"/>
      </w:pPr>
    </w:p>
    <w:p w14:paraId="14F25D22" w14:textId="77777777" w:rsidR="00370DEF" w:rsidRPr="00370DEF" w:rsidRDefault="00370DEF" w:rsidP="00647526">
      <w:pPr>
        <w:jc w:val="both"/>
        <w:rPr>
          <w:b/>
          <w:bCs/>
        </w:rPr>
      </w:pPr>
      <w:r w:rsidRPr="00370DEF">
        <w:rPr>
          <w:b/>
          <w:bCs/>
        </w:rPr>
        <w:t>3.3 The "Green Dominance" Breakthrough</w:t>
      </w:r>
    </w:p>
    <w:p w14:paraId="30EBA83C" w14:textId="77777777" w:rsidR="00370DEF" w:rsidRPr="00370DEF" w:rsidRDefault="00370DEF" w:rsidP="00647526">
      <w:pPr>
        <w:jc w:val="both"/>
      </w:pPr>
      <w:r w:rsidRPr="00370DEF">
        <w:t>The most significant finding of this study is the Green Dominance Ratio—a custom KPI comparing renewable adoption to fossil fuel reliance.</w:t>
      </w:r>
    </w:p>
    <w:p w14:paraId="5BA1D931" w14:textId="77777777" w:rsidR="00370DEF" w:rsidRPr="00370DEF" w:rsidRDefault="00370DEF" w:rsidP="00647526">
      <w:pPr>
        <w:numPr>
          <w:ilvl w:val="0"/>
          <w:numId w:val="24"/>
        </w:numPr>
        <w:jc w:val="both"/>
      </w:pPr>
      <w:r w:rsidRPr="00370DEF">
        <w:rPr>
          <w:b/>
          <w:bCs/>
        </w:rPr>
        <w:t>Total Transition:</w:t>
      </w:r>
      <w:r w:rsidRPr="00370DEF">
        <w:t xml:space="preserve"> Every country in the analyzed dataset yielded an average Green Score &gt; 1.0.</w:t>
      </w:r>
    </w:p>
    <w:p w14:paraId="6B160D02" w14:textId="77777777" w:rsidR="00370DEF" w:rsidRDefault="00370DEF" w:rsidP="00647526">
      <w:pPr>
        <w:numPr>
          <w:ilvl w:val="0"/>
          <w:numId w:val="24"/>
        </w:numPr>
        <w:jc w:val="both"/>
      </w:pPr>
      <w:r w:rsidRPr="00370DEF">
        <w:rPr>
          <w:b/>
          <w:bCs/>
        </w:rPr>
        <w:t>Top Performers:</w:t>
      </w:r>
      <w:r w:rsidRPr="00370DEF">
        <w:t xml:space="preserve"> Russia (1.45), the USA (1.43), and Australia (1.41) lead the index. This suggests that in these nations, the transition toward renewable integration is now mathematically outpacing fossil fuel growth.</w:t>
      </w:r>
    </w:p>
    <w:p w14:paraId="4D1867C7" w14:textId="77777777" w:rsidR="00370DEF" w:rsidRPr="00370DEF" w:rsidRDefault="00370DEF" w:rsidP="00647526">
      <w:pPr>
        <w:ind w:left="720"/>
        <w:jc w:val="both"/>
      </w:pPr>
    </w:p>
    <w:p w14:paraId="47FDE842" w14:textId="77777777" w:rsidR="00370DEF" w:rsidRPr="00370DEF" w:rsidRDefault="00370DEF" w:rsidP="00647526">
      <w:pPr>
        <w:jc w:val="both"/>
        <w:rPr>
          <w:b/>
          <w:bCs/>
        </w:rPr>
      </w:pPr>
      <w:r w:rsidRPr="00370DEF">
        <w:rPr>
          <w:b/>
          <w:bCs/>
        </w:rPr>
        <w:t>3.4 Sectoral Insights (Where the Energy Goes)</w:t>
      </w:r>
    </w:p>
    <w:p w14:paraId="72C4006B" w14:textId="196EE472" w:rsidR="00370DEF" w:rsidRPr="00370DEF" w:rsidRDefault="00370DEF" w:rsidP="00647526">
      <w:pPr>
        <w:jc w:val="both"/>
      </w:pPr>
      <w:r w:rsidRPr="00370DEF">
        <w:t xml:space="preserve">By engineering the </w:t>
      </w:r>
      <w:r w:rsidR="00647526">
        <w:t>‘</w:t>
      </w:r>
      <w:proofErr w:type="spellStart"/>
      <w:r w:rsidRPr="00370DEF">
        <w:t>other_sector_pct</w:t>
      </w:r>
      <w:proofErr w:type="spellEnd"/>
      <w:r w:rsidR="00647526">
        <w:t>’</w:t>
      </w:r>
      <w:r w:rsidRPr="00370DEF">
        <w:t xml:space="preserve"> column, we uncovered energy usage patterns that go beyond standard household and industrial labels.</w:t>
      </w:r>
    </w:p>
    <w:p w14:paraId="6450FDE8" w14:textId="77777777" w:rsidR="00370DEF" w:rsidRPr="00370DEF" w:rsidRDefault="00370DEF" w:rsidP="00647526">
      <w:pPr>
        <w:numPr>
          <w:ilvl w:val="0"/>
          <w:numId w:val="25"/>
        </w:numPr>
        <w:jc w:val="both"/>
      </w:pPr>
      <w:r w:rsidRPr="00370DEF">
        <w:rPr>
          <w:b/>
          <w:bCs/>
        </w:rPr>
        <w:t>Hidden Demand:</w:t>
      </w:r>
      <w:r w:rsidRPr="00370DEF">
        <w:t xml:space="preserve"> In Australia (35.75%) and China (35.60%), over a third of energy is consumed by "Other" sectors, likely representing transport and public infrastructure.</w:t>
      </w:r>
    </w:p>
    <w:p w14:paraId="1229A2FF" w14:textId="77777777" w:rsidR="00370DEF" w:rsidRDefault="00370DEF" w:rsidP="00647526">
      <w:pPr>
        <w:numPr>
          <w:ilvl w:val="0"/>
          <w:numId w:val="25"/>
        </w:numPr>
        <w:jc w:val="both"/>
      </w:pPr>
      <w:r w:rsidRPr="00370DEF">
        <w:rPr>
          <w:b/>
          <w:bCs/>
        </w:rPr>
        <w:t>Industrial Giants:</w:t>
      </w:r>
      <w:r w:rsidRPr="00370DEF">
        <w:t xml:space="preserve"> Brazil (41.44%) leads the world in industrial energy concentration.</w:t>
      </w:r>
    </w:p>
    <w:p w14:paraId="360BD0FB" w14:textId="77777777" w:rsidR="00370DEF" w:rsidRPr="00370DEF" w:rsidRDefault="00370DEF" w:rsidP="00647526">
      <w:pPr>
        <w:ind w:left="720"/>
        <w:jc w:val="both"/>
      </w:pPr>
    </w:p>
    <w:p w14:paraId="625ED1D3" w14:textId="77777777" w:rsidR="00370DEF" w:rsidRPr="00370DEF" w:rsidRDefault="00370DEF" w:rsidP="00647526">
      <w:pPr>
        <w:jc w:val="both"/>
        <w:rPr>
          <w:b/>
          <w:bCs/>
        </w:rPr>
      </w:pPr>
      <w:r w:rsidRPr="00370DEF">
        <w:rPr>
          <w:b/>
          <w:bCs/>
        </w:rPr>
        <w:t>3.5 Year-over-Year Energy Growth</w:t>
      </w:r>
    </w:p>
    <w:p w14:paraId="6AA4668A" w14:textId="77777777" w:rsidR="00370DEF" w:rsidRPr="00370DEF" w:rsidRDefault="00370DEF" w:rsidP="00647526">
      <w:pPr>
        <w:jc w:val="both"/>
      </w:pPr>
      <w:r w:rsidRPr="00370DEF">
        <w:t>Energy growth shows high volatility over time.</w:t>
      </w:r>
    </w:p>
    <w:p w14:paraId="3FFEA2A3" w14:textId="77777777" w:rsidR="00370DEF" w:rsidRPr="00370DEF" w:rsidRDefault="00370DEF" w:rsidP="00647526">
      <w:pPr>
        <w:numPr>
          <w:ilvl w:val="0"/>
          <w:numId w:val="26"/>
        </w:numPr>
        <w:jc w:val="both"/>
      </w:pPr>
      <w:r w:rsidRPr="00370DEF">
        <w:rPr>
          <w:b/>
          <w:bCs/>
        </w:rPr>
        <w:t>Significant growth years:</w:t>
      </w:r>
      <w:r w:rsidRPr="00370DEF">
        <w:t xml:space="preserve"> 2001 (~18.9%), 2007 (~16.5%), 2015 (~20.9%), and 2020 (~21.5%).</w:t>
      </w:r>
    </w:p>
    <w:p w14:paraId="26B20D46" w14:textId="77777777" w:rsidR="00370DEF" w:rsidRPr="00370DEF" w:rsidRDefault="00370DEF" w:rsidP="00647526">
      <w:pPr>
        <w:numPr>
          <w:ilvl w:val="0"/>
          <w:numId w:val="26"/>
        </w:numPr>
        <w:jc w:val="both"/>
      </w:pPr>
      <w:r w:rsidRPr="00370DEF">
        <w:rPr>
          <w:b/>
          <w:bCs/>
        </w:rPr>
        <w:t>Major declines observed:</w:t>
      </w:r>
      <w:r w:rsidRPr="00370DEF">
        <w:t xml:space="preserve"> 2008 (~−24.4%), 2010 (~−29.9%), 2013 (~−15.4%), and 2022 (~−15.6%).</w:t>
      </w:r>
    </w:p>
    <w:p w14:paraId="17B409E7" w14:textId="77777777" w:rsidR="00370DEF" w:rsidRDefault="00370DEF" w:rsidP="00647526">
      <w:pPr>
        <w:numPr>
          <w:ilvl w:val="0"/>
          <w:numId w:val="26"/>
        </w:numPr>
        <w:jc w:val="both"/>
      </w:pPr>
      <w:r w:rsidRPr="00370DEF">
        <w:rPr>
          <w:b/>
          <w:bCs/>
        </w:rPr>
        <w:t>Insight:</w:t>
      </w:r>
      <w:r w:rsidRPr="00370DEF">
        <w:t xml:space="preserve"> Global energy growth is unstable and sensitive to external factors. Sharp drops suggest economic crises or global disruptions, while recovery periods show strong rebound behavior.</w:t>
      </w:r>
    </w:p>
    <w:p w14:paraId="4E14CEB1" w14:textId="77777777" w:rsidR="00370DEF" w:rsidRPr="00370DEF" w:rsidRDefault="00370DEF" w:rsidP="00647526">
      <w:pPr>
        <w:ind w:left="720"/>
        <w:jc w:val="both"/>
      </w:pPr>
    </w:p>
    <w:p w14:paraId="70ECA3BA" w14:textId="77777777" w:rsidR="00370DEF" w:rsidRPr="00370DEF" w:rsidRDefault="00370DEF" w:rsidP="00647526">
      <w:pPr>
        <w:jc w:val="both"/>
        <w:rPr>
          <w:b/>
          <w:bCs/>
        </w:rPr>
      </w:pPr>
      <w:r w:rsidRPr="00370DEF">
        <w:rPr>
          <w:b/>
          <w:bCs/>
        </w:rPr>
        <w:t>3.6 Renewable Energy Growth Leaders</w:t>
      </w:r>
    </w:p>
    <w:p w14:paraId="41521B58" w14:textId="77777777" w:rsidR="00370DEF" w:rsidRPr="00370DEF" w:rsidRDefault="00370DEF" w:rsidP="00647526">
      <w:pPr>
        <w:numPr>
          <w:ilvl w:val="0"/>
          <w:numId w:val="27"/>
        </w:numPr>
        <w:jc w:val="both"/>
      </w:pPr>
      <w:r w:rsidRPr="00370DEF">
        <w:rPr>
          <w:b/>
          <w:bCs/>
        </w:rPr>
        <w:t>Top countries with the highest renewable growth:</w:t>
      </w:r>
      <w:r w:rsidRPr="00370DEF">
        <w:t xml:space="preserve"> Canada, USA, Brazil, UK, and Japan.</w:t>
      </w:r>
    </w:p>
    <w:p w14:paraId="05EFD3B7" w14:textId="77777777" w:rsidR="00370DEF" w:rsidRPr="00370DEF" w:rsidRDefault="00370DEF" w:rsidP="00647526">
      <w:pPr>
        <w:numPr>
          <w:ilvl w:val="0"/>
          <w:numId w:val="27"/>
        </w:numPr>
        <w:jc w:val="both"/>
      </w:pPr>
      <w:r w:rsidRPr="00370DEF">
        <w:rPr>
          <w:b/>
          <w:bCs/>
        </w:rPr>
        <w:t>Performance:</w:t>
      </w:r>
      <w:r w:rsidRPr="00370DEF">
        <w:t xml:space="preserve"> All top countries show very similar growth rates (~84%).</w:t>
      </w:r>
    </w:p>
    <w:p w14:paraId="5C99D7AA" w14:textId="77777777" w:rsidR="00370DEF" w:rsidRDefault="00370DEF" w:rsidP="00647526">
      <w:pPr>
        <w:numPr>
          <w:ilvl w:val="0"/>
          <w:numId w:val="27"/>
        </w:numPr>
        <w:jc w:val="both"/>
      </w:pPr>
      <w:r w:rsidRPr="00370DEF">
        <w:rPr>
          <w:b/>
          <w:bCs/>
        </w:rPr>
        <w:t>Insight:</w:t>
      </w:r>
      <w:r w:rsidRPr="00370DEF">
        <w:t xml:space="preserve"> Renewable energy growth is globally consistent. No single country dominates the transition, which indicates a uniform, worldwide shift toward renewables rather than isolated regional efforts.</w:t>
      </w:r>
    </w:p>
    <w:p w14:paraId="2F61B9DA" w14:textId="77777777" w:rsidR="00370DEF" w:rsidRPr="00370DEF" w:rsidRDefault="00370DEF" w:rsidP="00647526">
      <w:pPr>
        <w:ind w:left="720"/>
        <w:jc w:val="both"/>
      </w:pPr>
    </w:p>
    <w:p w14:paraId="14F379D7" w14:textId="77777777" w:rsidR="00370DEF" w:rsidRPr="00370DEF" w:rsidRDefault="00370DEF" w:rsidP="00647526">
      <w:pPr>
        <w:jc w:val="both"/>
        <w:rPr>
          <w:b/>
          <w:bCs/>
        </w:rPr>
      </w:pPr>
      <w:r w:rsidRPr="00370DEF">
        <w:rPr>
          <w:b/>
          <w:bCs/>
        </w:rPr>
        <w:t>3.7 Sector Dominance Analysis</w:t>
      </w:r>
    </w:p>
    <w:p w14:paraId="5B95E1DB" w14:textId="77777777" w:rsidR="00370DEF" w:rsidRPr="00370DEF" w:rsidRDefault="00370DEF" w:rsidP="00647526">
      <w:pPr>
        <w:numPr>
          <w:ilvl w:val="0"/>
          <w:numId w:val="28"/>
        </w:numPr>
        <w:jc w:val="both"/>
      </w:pPr>
      <w:r w:rsidRPr="00370DEF">
        <w:rPr>
          <w:b/>
          <w:bCs/>
        </w:rPr>
        <w:t>Classification:</w:t>
      </w:r>
      <w:r w:rsidRPr="00370DEF">
        <w:t xml:space="preserve"> All analyzed countries are classified as Industrial Dominant.</w:t>
      </w:r>
    </w:p>
    <w:p w14:paraId="2006639B" w14:textId="77777777" w:rsidR="00370DEF" w:rsidRDefault="00370DEF" w:rsidP="00647526">
      <w:pPr>
        <w:numPr>
          <w:ilvl w:val="0"/>
          <w:numId w:val="28"/>
        </w:numPr>
        <w:jc w:val="both"/>
      </w:pPr>
      <w:r w:rsidRPr="00370DEF">
        <w:rPr>
          <w:b/>
          <w:bCs/>
        </w:rPr>
        <w:t>Insight:</w:t>
      </w:r>
      <w:r w:rsidRPr="00370DEF">
        <w:t xml:space="preserve"> The industrial sector is the primary driver of energy consumption globally, with household and "other" sectors contributing comparatively less. This highlights the absolute importance of targeting industrial efficiency in global energy policy.</w:t>
      </w:r>
    </w:p>
    <w:p w14:paraId="1A99947B" w14:textId="77777777" w:rsidR="00370DEF" w:rsidRPr="00370DEF" w:rsidRDefault="00370DEF" w:rsidP="00647526">
      <w:pPr>
        <w:ind w:left="720"/>
        <w:jc w:val="both"/>
      </w:pPr>
    </w:p>
    <w:p w14:paraId="3027EB01" w14:textId="77777777" w:rsidR="00370DEF" w:rsidRPr="00370DEF" w:rsidRDefault="00370DEF" w:rsidP="00647526">
      <w:pPr>
        <w:jc w:val="both"/>
        <w:rPr>
          <w:b/>
          <w:bCs/>
        </w:rPr>
      </w:pPr>
      <w:r w:rsidRPr="00370DEF">
        <w:rPr>
          <w:b/>
          <w:bCs/>
        </w:rPr>
        <w:t>3.8 Economic Correlation: Price vs. Consumption</w:t>
      </w:r>
    </w:p>
    <w:p w14:paraId="066F59F6" w14:textId="77777777" w:rsidR="00370DEF" w:rsidRPr="00370DEF" w:rsidRDefault="00370DEF" w:rsidP="00647526">
      <w:pPr>
        <w:jc w:val="both"/>
      </w:pPr>
      <w:r w:rsidRPr="00370DEF">
        <w:t>The data suggests a "Premium for Greenery."</w:t>
      </w:r>
    </w:p>
    <w:p w14:paraId="78DAE89D" w14:textId="77777777" w:rsidR="00370DEF" w:rsidRPr="00370DEF" w:rsidRDefault="00370DEF" w:rsidP="00647526">
      <w:pPr>
        <w:numPr>
          <w:ilvl w:val="0"/>
          <w:numId w:val="29"/>
        </w:numPr>
        <w:jc w:val="both"/>
      </w:pPr>
      <w:r w:rsidRPr="00370DEF">
        <w:t>Countries like Canada and China maintain higher average energy prices (~$0.28/kWh) while managing the highest total energy volumes.</w:t>
      </w:r>
    </w:p>
    <w:p w14:paraId="011ABC5C" w14:textId="77777777" w:rsidR="00370DEF" w:rsidRDefault="00370DEF" w:rsidP="00647526">
      <w:pPr>
        <w:numPr>
          <w:ilvl w:val="0"/>
          <w:numId w:val="29"/>
        </w:numPr>
        <w:jc w:val="both"/>
      </w:pPr>
      <w:r w:rsidRPr="00370DEF">
        <w:t>Conversely, Germany offers the lowest average price in this group (~$0.25/kWh), while successfully maintaining a highly balanced sectoral distribution across industry and households.</w:t>
      </w:r>
    </w:p>
    <w:p w14:paraId="4860E0DF" w14:textId="77777777" w:rsidR="00370DEF" w:rsidRPr="00370DEF" w:rsidRDefault="00370DEF" w:rsidP="00647526">
      <w:pPr>
        <w:ind w:left="720"/>
        <w:jc w:val="both"/>
      </w:pPr>
    </w:p>
    <w:p w14:paraId="28097220" w14:textId="2F1213CE" w:rsidR="00370DEF" w:rsidRPr="00370DEF" w:rsidRDefault="00370DEF" w:rsidP="00647526">
      <w:pPr>
        <w:jc w:val="both"/>
        <w:rPr>
          <w:b/>
          <w:bCs/>
        </w:rPr>
      </w:pPr>
      <w:r>
        <w:rPr>
          <w:b/>
          <w:bCs/>
        </w:rPr>
        <w:t>3.9</w:t>
      </w:r>
      <w:r w:rsidRPr="00370DEF">
        <w:rPr>
          <w:b/>
          <w:bCs/>
        </w:rPr>
        <w:t xml:space="preserve"> Energy Volatility (Country Ranking)</w:t>
      </w:r>
    </w:p>
    <w:p w14:paraId="0D6C05CD" w14:textId="77777777" w:rsidR="00370DEF" w:rsidRPr="00370DEF" w:rsidRDefault="00370DEF" w:rsidP="00647526">
      <w:pPr>
        <w:jc w:val="both"/>
      </w:pPr>
      <w:r w:rsidRPr="00370DEF">
        <w:t>By measuring the variance in year-over-year consumption, we can identify which energy grids are the most and least stable.</w:t>
      </w:r>
    </w:p>
    <w:p w14:paraId="04274A97" w14:textId="77777777" w:rsidR="00370DEF" w:rsidRPr="00370DEF" w:rsidRDefault="00370DEF" w:rsidP="00647526">
      <w:pPr>
        <w:numPr>
          <w:ilvl w:val="0"/>
          <w:numId w:val="30"/>
        </w:numPr>
        <w:jc w:val="both"/>
      </w:pPr>
      <w:r w:rsidRPr="00370DEF">
        <w:rPr>
          <w:b/>
          <w:bCs/>
        </w:rPr>
        <w:t>Most Volatile Countries:</w:t>
      </w:r>
      <w:r w:rsidRPr="00370DEF">
        <w:t xml:space="preserve"> USA, Germany, India, Japan, and Russia.</w:t>
      </w:r>
    </w:p>
    <w:p w14:paraId="72653069" w14:textId="77777777" w:rsidR="00370DEF" w:rsidRPr="00370DEF" w:rsidRDefault="00370DEF" w:rsidP="00647526">
      <w:pPr>
        <w:numPr>
          <w:ilvl w:val="0"/>
          <w:numId w:val="30"/>
        </w:numPr>
        <w:jc w:val="both"/>
      </w:pPr>
      <w:r w:rsidRPr="00370DEF">
        <w:rPr>
          <w:b/>
          <w:bCs/>
        </w:rPr>
        <w:t>Least Volatile Countries:</w:t>
      </w:r>
      <w:r w:rsidRPr="00370DEF">
        <w:t xml:space="preserve"> Australia, Canada, and Brazil.</w:t>
      </w:r>
    </w:p>
    <w:p w14:paraId="2EFF16C5" w14:textId="77777777" w:rsidR="00370DEF" w:rsidRDefault="00370DEF" w:rsidP="00647526">
      <w:pPr>
        <w:numPr>
          <w:ilvl w:val="0"/>
          <w:numId w:val="30"/>
        </w:numPr>
        <w:jc w:val="both"/>
      </w:pPr>
      <w:r w:rsidRPr="00370DEF">
        <w:rPr>
          <w:b/>
          <w:bCs/>
        </w:rPr>
        <w:t>Insight:</w:t>
      </w:r>
      <w:r w:rsidRPr="00370DEF">
        <w:t xml:space="preserve"> Large, highly industrialized economies show higher fluctuations in energy consumption, making them more susceptible to global demand shocks. Smaller or more resource-stable economies exhibit much more consistent energy patterns.</w:t>
      </w:r>
    </w:p>
    <w:p w14:paraId="54783A5D" w14:textId="77777777" w:rsidR="00370DEF" w:rsidRPr="00370DEF" w:rsidRDefault="00370DEF" w:rsidP="00647526">
      <w:pPr>
        <w:ind w:left="720"/>
        <w:jc w:val="both"/>
      </w:pPr>
    </w:p>
    <w:p w14:paraId="0B194954" w14:textId="0518EFCF" w:rsidR="00370DEF" w:rsidRPr="00370DEF" w:rsidRDefault="00370DEF" w:rsidP="00647526">
      <w:pPr>
        <w:jc w:val="both"/>
        <w:rPr>
          <w:b/>
          <w:bCs/>
        </w:rPr>
      </w:pPr>
      <w:r>
        <w:rPr>
          <w:b/>
          <w:bCs/>
        </w:rPr>
        <w:t>3.10</w:t>
      </w:r>
      <w:r w:rsidRPr="00370DEF">
        <w:rPr>
          <w:b/>
          <w:bCs/>
        </w:rPr>
        <w:t xml:space="preserve"> Decoupling Index (Energy vs. Emissions)</w:t>
      </w:r>
    </w:p>
    <w:p w14:paraId="641ED31C" w14:textId="77777777" w:rsidR="00370DEF" w:rsidRPr="00370DEF" w:rsidRDefault="00370DEF" w:rsidP="00647526">
      <w:pPr>
        <w:jc w:val="both"/>
      </w:pPr>
      <w:r w:rsidRPr="00370DEF">
        <w:t>This index evaluates whether a country can grow its energy output without proportionally growing its carbon footprint.</w:t>
      </w:r>
    </w:p>
    <w:p w14:paraId="0D95D0D6" w14:textId="77777777" w:rsidR="00370DEF" w:rsidRPr="00370DEF" w:rsidRDefault="00370DEF" w:rsidP="00647526">
      <w:pPr>
        <w:numPr>
          <w:ilvl w:val="0"/>
          <w:numId w:val="31"/>
        </w:numPr>
        <w:jc w:val="both"/>
      </w:pPr>
      <w:r w:rsidRPr="00370DEF">
        <w:rPr>
          <w:b/>
          <w:bCs/>
        </w:rPr>
        <w:t>Positive Decoupling (Growth without proportional emissions):</w:t>
      </w:r>
      <w:r w:rsidRPr="00370DEF">
        <w:t xml:space="preserve"> 2001, 2004, 2009, 2011, 2012, 2018, 2021.</w:t>
      </w:r>
    </w:p>
    <w:p w14:paraId="4779584A" w14:textId="77777777" w:rsidR="00370DEF" w:rsidRPr="00370DEF" w:rsidRDefault="00370DEF" w:rsidP="00647526">
      <w:pPr>
        <w:numPr>
          <w:ilvl w:val="0"/>
          <w:numId w:val="31"/>
        </w:numPr>
        <w:jc w:val="both"/>
      </w:pPr>
      <w:r w:rsidRPr="00370DEF">
        <w:rPr>
          <w:b/>
          <w:bCs/>
        </w:rPr>
        <w:t>Negative Decoupling (Emissions outpacing energy growth):</w:t>
      </w:r>
      <w:r w:rsidRPr="00370DEF">
        <w:t xml:space="preserve"> 2003, 2005, 2015, 2017, 2023, 2024.</w:t>
      </w:r>
    </w:p>
    <w:p w14:paraId="6723CB08" w14:textId="2B2C9F94" w:rsidR="00166585" w:rsidRDefault="00370DEF" w:rsidP="00166585">
      <w:pPr>
        <w:numPr>
          <w:ilvl w:val="0"/>
          <w:numId w:val="31"/>
        </w:numPr>
        <w:jc w:val="both"/>
      </w:pPr>
      <w:r w:rsidRPr="00370DEF">
        <w:rPr>
          <w:b/>
          <w:bCs/>
        </w:rPr>
        <w:t>Insight:</w:t>
      </w:r>
      <w:r w:rsidRPr="00370DEF">
        <w:t xml:space="preserve"> Positive values are a strong indicator of successful green energy integration and grid efficiency. However, the negative decoupling observed in recent years (2023, 2024) suggests that recent spikes in global energy demand are heavily reliant on legacy fossil fuel infrastructure, temporarily reversing efficiency gains.</w:t>
      </w:r>
    </w:p>
    <w:p w14:paraId="209BA1C5" w14:textId="23289112" w:rsidR="00166585" w:rsidRPr="00F6384A" w:rsidRDefault="00F6384A" w:rsidP="00166585">
      <w:pPr>
        <w:jc w:val="both"/>
        <w:rPr>
          <w:b/>
          <w:bCs/>
        </w:rPr>
      </w:pPr>
      <w:r>
        <w:pict w14:anchorId="0A636BBB">
          <v:rect id="_x0000_i1042" style="width:0;height:1.5pt" o:hralign="center" o:hrstd="t" o:hr="t" fillcolor="#a0a0a0" stroked="f"/>
        </w:pict>
      </w:r>
    </w:p>
    <w:p w14:paraId="5F59599A" w14:textId="6226A0BE" w:rsidR="00166585" w:rsidRPr="00370DEF" w:rsidRDefault="00166585" w:rsidP="00166585">
      <w:pPr>
        <w:jc w:val="both"/>
      </w:pPr>
      <w:r w:rsidRPr="00166585">
        <w:t>In summary,</w:t>
      </w:r>
      <w:r w:rsidR="00F6384A">
        <w:t xml:space="preserve"> t</w:t>
      </w:r>
      <w:r w:rsidR="00F6384A" w:rsidRPr="00F6384A">
        <w:t>he analysis reveals that global energy demand continues to grow steadily, driven primarily by industrial activity and economic expansion. However, this growth is not linear and is highly sensitive to external disruptions, as seen in the sharp fluctuations and the exceptional spike in 2020</w:t>
      </w:r>
      <w:r w:rsidR="00F6384A">
        <w:t>.</w:t>
      </w:r>
      <w:r w:rsidRPr="00166585">
        <w:t xml:space="preserve"> </w:t>
      </w:r>
      <w:r w:rsidR="00F6384A">
        <w:t>T</w:t>
      </w:r>
      <w:r w:rsidRPr="00166585">
        <w:t>he global energy landscape is undergoing a transition toward sustainability, but this transition remains uneven and unstable. Continued progress will depend on sustained investment in renewable energy, improvements in industrial efficiency, and policies that reduce reliance on carbon-intensive energy sources.</w:t>
      </w:r>
    </w:p>
    <w:p w14:paraId="13B0EF23" w14:textId="1F8C97C7" w:rsidR="00062317" w:rsidRDefault="00062317" w:rsidP="00370DEF"/>
    <w:sectPr w:rsidR="00062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45B"/>
    <w:multiLevelType w:val="multilevel"/>
    <w:tmpl w:val="2AE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27D5D"/>
    <w:multiLevelType w:val="multilevel"/>
    <w:tmpl w:val="67AE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6019F"/>
    <w:multiLevelType w:val="multilevel"/>
    <w:tmpl w:val="C0C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429C"/>
    <w:multiLevelType w:val="multilevel"/>
    <w:tmpl w:val="2FE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56FF"/>
    <w:multiLevelType w:val="multilevel"/>
    <w:tmpl w:val="674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47B6"/>
    <w:multiLevelType w:val="multilevel"/>
    <w:tmpl w:val="C4E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40F68"/>
    <w:multiLevelType w:val="multilevel"/>
    <w:tmpl w:val="8C1E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27D0"/>
    <w:multiLevelType w:val="multilevel"/>
    <w:tmpl w:val="16D6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F2C1B"/>
    <w:multiLevelType w:val="multilevel"/>
    <w:tmpl w:val="A6C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B0702"/>
    <w:multiLevelType w:val="multilevel"/>
    <w:tmpl w:val="F74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D4FA8"/>
    <w:multiLevelType w:val="multilevel"/>
    <w:tmpl w:val="477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24B34"/>
    <w:multiLevelType w:val="multilevel"/>
    <w:tmpl w:val="783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2F5D"/>
    <w:multiLevelType w:val="multilevel"/>
    <w:tmpl w:val="6A88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95985"/>
    <w:multiLevelType w:val="multilevel"/>
    <w:tmpl w:val="317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06FB"/>
    <w:multiLevelType w:val="multilevel"/>
    <w:tmpl w:val="EB8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B198F"/>
    <w:multiLevelType w:val="multilevel"/>
    <w:tmpl w:val="6AE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B7054"/>
    <w:multiLevelType w:val="multilevel"/>
    <w:tmpl w:val="3EE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C00B0"/>
    <w:multiLevelType w:val="multilevel"/>
    <w:tmpl w:val="07E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E3761"/>
    <w:multiLevelType w:val="multilevel"/>
    <w:tmpl w:val="920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01403"/>
    <w:multiLevelType w:val="multilevel"/>
    <w:tmpl w:val="E598A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D25EE"/>
    <w:multiLevelType w:val="multilevel"/>
    <w:tmpl w:val="A7E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A45B0"/>
    <w:multiLevelType w:val="multilevel"/>
    <w:tmpl w:val="8C2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76B4E"/>
    <w:multiLevelType w:val="multilevel"/>
    <w:tmpl w:val="AD3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A0192"/>
    <w:multiLevelType w:val="multilevel"/>
    <w:tmpl w:val="EC0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35B3B"/>
    <w:multiLevelType w:val="multilevel"/>
    <w:tmpl w:val="846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53625"/>
    <w:multiLevelType w:val="multilevel"/>
    <w:tmpl w:val="C86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15CA9"/>
    <w:multiLevelType w:val="multilevel"/>
    <w:tmpl w:val="150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C34BF"/>
    <w:multiLevelType w:val="multilevel"/>
    <w:tmpl w:val="7D7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C2F0A"/>
    <w:multiLevelType w:val="multilevel"/>
    <w:tmpl w:val="9A1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21DC5"/>
    <w:multiLevelType w:val="multilevel"/>
    <w:tmpl w:val="7DE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B59C1"/>
    <w:multiLevelType w:val="multilevel"/>
    <w:tmpl w:val="FDC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79433">
    <w:abstractNumId w:val="6"/>
  </w:num>
  <w:num w:numId="2" w16cid:durableId="464275179">
    <w:abstractNumId w:val="1"/>
  </w:num>
  <w:num w:numId="3" w16cid:durableId="920218682">
    <w:abstractNumId w:val="30"/>
  </w:num>
  <w:num w:numId="4" w16cid:durableId="317660475">
    <w:abstractNumId w:val="13"/>
  </w:num>
  <w:num w:numId="5" w16cid:durableId="1368942708">
    <w:abstractNumId w:val="7"/>
  </w:num>
  <w:num w:numId="6" w16cid:durableId="1663000553">
    <w:abstractNumId w:val="12"/>
  </w:num>
  <w:num w:numId="7" w16cid:durableId="1106852203">
    <w:abstractNumId w:val="8"/>
  </w:num>
  <w:num w:numId="8" w16cid:durableId="23333158">
    <w:abstractNumId w:val="28"/>
  </w:num>
  <w:num w:numId="9" w16cid:durableId="220989954">
    <w:abstractNumId w:val="11"/>
  </w:num>
  <w:num w:numId="10" w16cid:durableId="1369918337">
    <w:abstractNumId w:val="2"/>
  </w:num>
  <w:num w:numId="11" w16cid:durableId="1291933733">
    <w:abstractNumId w:val="18"/>
  </w:num>
  <w:num w:numId="12" w16cid:durableId="73284917">
    <w:abstractNumId w:val="20"/>
  </w:num>
  <w:num w:numId="13" w16cid:durableId="1419983395">
    <w:abstractNumId w:val="19"/>
  </w:num>
  <w:num w:numId="14" w16cid:durableId="1113747988">
    <w:abstractNumId w:val="4"/>
  </w:num>
  <w:num w:numId="15" w16cid:durableId="1498886636">
    <w:abstractNumId w:val="9"/>
  </w:num>
  <w:num w:numId="16" w16cid:durableId="764156086">
    <w:abstractNumId w:val="25"/>
  </w:num>
  <w:num w:numId="17" w16cid:durableId="537591859">
    <w:abstractNumId w:val="10"/>
  </w:num>
  <w:num w:numId="18" w16cid:durableId="691105290">
    <w:abstractNumId w:val="16"/>
  </w:num>
  <w:num w:numId="19" w16cid:durableId="331376887">
    <w:abstractNumId w:val="17"/>
  </w:num>
  <w:num w:numId="20" w16cid:durableId="1810825254">
    <w:abstractNumId w:val="3"/>
  </w:num>
  <w:num w:numId="21" w16cid:durableId="672804871">
    <w:abstractNumId w:val="22"/>
  </w:num>
  <w:num w:numId="22" w16cid:durableId="191648569">
    <w:abstractNumId w:val="26"/>
  </w:num>
  <w:num w:numId="23" w16cid:durableId="1487432736">
    <w:abstractNumId w:val="27"/>
  </w:num>
  <w:num w:numId="24" w16cid:durableId="1006906487">
    <w:abstractNumId w:val="23"/>
  </w:num>
  <w:num w:numId="25" w16cid:durableId="6712313">
    <w:abstractNumId w:val="5"/>
  </w:num>
  <w:num w:numId="26" w16cid:durableId="1962877855">
    <w:abstractNumId w:val="29"/>
  </w:num>
  <w:num w:numId="27" w16cid:durableId="1277370014">
    <w:abstractNumId w:val="14"/>
  </w:num>
  <w:num w:numId="28" w16cid:durableId="1218128720">
    <w:abstractNumId w:val="15"/>
  </w:num>
  <w:num w:numId="29" w16cid:durableId="1472409138">
    <w:abstractNumId w:val="21"/>
  </w:num>
  <w:num w:numId="30" w16cid:durableId="600644048">
    <w:abstractNumId w:val="24"/>
  </w:num>
  <w:num w:numId="31" w16cid:durableId="102039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BD"/>
    <w:rsid w:val="00062317"/>
    <w:rsid w:val="00166585"/>
    <w:rsid w:val="00284B6F"/>
    <w:rsid w:val="002A763A"/>
    <w:rsid w:val="00317C75"/>
    <w:rsid w:val="003414AB"/>
    <w:rsid w:val="00370DEF"/>
    <w:rsid w:val="003A37BE"/>
    <w:rsid w:val="003D6CB7"/>
    <w:rsid w:val="004A4D30"/>
    <w:rsid w:val="005342EE"/>
    <w:rsid w:val="005430FF"/>
    <w:rsid w:val="005451FB"/>
    <w:rsid w:val="005709BD"/>
    <w:rsid w:val="00647526"/>
    <w:rsid w:val="00896D88"/>
    <w:rsid w:val="008C6E18"/>
    <w:rsid w:val="008C7C31"/>
    <w:rsid w:val="008E7E97"/>
    <w:rsid w:val="009A02AE"/>
    <w:rsid w:val="009C1C69"/>
    <w:rsid w:val="00A900DE"/>
    <w:rsid w:val="00A9065B"/>
    <w:rsid w:val="00AE27BA"/>
    <w:rsid w:val="00B35ACE"/>
    <w:rsid w:val="00B81B45"/>
    <w:rsid w:val="00BB1B77"/>
    <w:rsid w:val="00BE46B4"/>
    <w:rsid w:val="00C51C00"/>
    <w:rsid w:val="00C868E9"/>
    <w:rsid w:val="00DD0B5D"/>
    <w:rsid w:val="00E353E7"/>
    <w:rsid w:val="00E40C1A"/>
    <w:rsid w:val="00EC43A6"/>
    <w:rsid w:val="00F63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5E49"/>
  <w15:chartTrackingRefBased/>
  <w15:docId w15:val="{8452B696-652B-476B-BFBB-CCB53A68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9BD"/>
    <w:rPr>
      <w:rFonts w:eastAsiaTheme="majorEastAsia" w:cstheme="majorBidi"/>
      <w:color w:val="272727" w:themeColor="text1" w:themeTint="D8"/>
    </w:rPr>
  </w:style>
  <w:style w:type="paragraph" w:styleId="Title">
    <w:name w:val="Title"/>
    <w:basedOn w:val="Normal"/>
    <w:next w:val="Normal"/>
    <w:link w:val="TitleChar"/>
    <w:uiPriority w:val="10"/>
    <w:qFormat/>
    <w:rsid w:val="00570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9BD"/>
    <w:pPr>
      <w:spacing w:before="160"/>
      <w:jc w:val="center"/>
    </w:pPr>
    <w:rPr>
      <w:i/>
      <w:iCs/>
      <w:color w:val="404040" w:themeColor="text1" w:themeTint="BF"/>
    </w:rPr>
  </w:style>
  <w:style w:type="character" w:customStyle="1" w:styleId="QuoteChar">
    <w:name w:val="Quote Char"/>
    <w:basedOn w:val="DefaultParagraphFont"/>
    <w:link w:val="Quote"/>
    <w:uiPriority w:val="29"/>
    <w:rsid w:val="005709BD"/>
    <w:rPr>
      <w:i/>
      <w:iCs/>
      <w:color w:val="404040" w:themeColor="text1" w:themeTint="BF"/>
    </w:rPr>
  </w:style>
  <w:style w:type="paragraph" w:styleId="ListParagraph">
    <w:name w:val="List Paragraph"/>
    <w:basedOn w:val="Normal"/>
    <w:uiPriority w:val="34"/>
    <w:qFormat/>
    <w:rsid w:val="005709BD"/>
    <w:pPr>
      <w:ind w:left="720"/>
      <w:contextualSpacing/>
    </w:pPr>
  </w:style>
  <w:style w:type="character" w:styleId="IntenseEmphasis">
    <w:name w:val="Intense Emphasis"/>
    <w:basedOn w:val="DefaultParagraphFont"/>
    <w:uiPriority w:val="21"/>
    <w:qFormat/>
    <w:rsid w:val="005709BD"/>
    <w:rPr>
      <w:i/>
      <w:iCs/>
      <w:color w:val="2F5496" w:themeColor="accent1" w:themeShade="BF"/>
    </w:rPr>
  </w:style>
  <w:style w:type="paragraph" w:styleId="IntenseQuote">
    <w:name w:val="Intense Quote"/>
    <w:basedOn w:val="Normal"/>
    <w:next w:val="Normal"/>
    <w:link w:val="IntenseQuoteChar"/>
    <w:uiPriority w:val="30"/>
    <w:qFormat/>
    <w:rsid w:val="00570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9BD"/>
    <w:rPr>
      <w:i/>
      <w:iCs/>
      <w:color w:val="2F5496" w:themeColor="accent1" w:themeShade="BF"/>
    </w:rPr>
  </w:style>
  <w:style w:type="character" w:styleId="IntenseReference">
    <w:name w:val="Intense Reference"/>
    <w:basedOn w:val="DefaultParagraphFont"/>
    <w:uiPriority w:val="32"/>
    <w:qFormat/>
    <w:rsid w:val="005709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5</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 MT</dc:creator>
  <cp:keywords/>
  <dc:description/>
  <cp:lastModifiedBy>Crown MT</cp:lastModifiedBy>
  <cp:revision>77</cp:revision>
  <dcterms:created xsi:type="dcterms:W3CDTF">2026-03-25T18:14:00Z</dcterms:created>
  <dcterms:modified xsi:type="dcterms:W3CDTF">2026-03-29T14:50:00Z</dcterms:modified>
</cp:coreProperties>
</file>