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Analysis: Token Exchange vs Client Credentials for CSS-214</w:t>
      </w:r>
    </w:p>
    <w:p>
      <w:r>
        <w:t>User Story: CSS-214</w:t>
      </w:r>
    </w:p>
    <w:p>
      <w:r>
        <w:t>Topic: Applicability of SAML Token Exchange for backend job</w:t>
      </w:r>
    </w:p>
    <w:p>
      <w:pPr>
        <w:pStyle w:val="Heading1"/>
      </w:pPr>
      <w:r>
        <w:t>Background</w:t>
      </w:r>
    </w:p>
    <w:p>
      <w:r>
        <w:t>AIB’s identity management supports different flows for obtaining tokens:</w:t>
        <w:br/>
        <w:br/>
        <w:t>1. SAML/JWT Token Exchange Flow</w:t>
        <w:br/>
        <w:t xml:space="preserve">   - Used in user-facing scenarios (e.g., Jira, BFF applications).</w:t>
        <w:br/>
        <w:t xml:space="preserve">   - Starts with a subject token (JWT/SAML assertion from Ping Access).</w:t>
        <w:br/>
        <w:t xml:space="preserve">   - Exchanged with Ping Federate for a staff token enriched with business attributes (staff ID, CIF key, region).</w:t>
        <w:br/>
        <w:t xml:space="preserve">   - Required when APIs mandate user identity context.</w:t>
        <w:br/>
        <w:br/>
        <w:t>2. Client Credentials Flow</w:t>
        <w:br/>
        <w:t xml:space="preserve">   - Designed for service-to-service (machine-to-machine) integrations.</w:t>
        <w:br/>
        <w:t xml:space="preserve">   - A backend system presents its client ID and secret to Ping Federate.</w:t>
        <w:br/>
        <w:t xml:space="preserve">   - Ping Federate issues an access token representing the system identity.</w:t>
        <w:br/>
        <w:t xml:space="preserve">   - Downstream APIs validate the token against the system client configuration.</w:t>
      </w:r>
    </w:p>
    <w:p>
      <w:pPr>
        <w:pStyle w:val="Heading1"/>
      </w:pPr>
      <w:r>
        <w:t>Our Use Case (CSS-214)</w:t>
      </w:r>
    </w:p>
    <w:p>
      <w:r>
        <w:t>- The system in scope is a backend job with no interactive user login.</w:t>
        <w:br/>
        <w:t>- It must call Collate APIs, which are hosted on-prem.</w:t>
        <w:br/>
        <w:t>- Current setup: standard Client Credentials Flow.</w:t>
      </w:r>
    </w:p>
    <w:p>
      <w:pPr>
        <w:pStyle w:val="Heading1"/>
      </w:pPr>
      <w:r>
        <w:t>Observed Issues with Current Tokens</w:t>
      </w:r>
    </w:p>
    <w:p>
      <w:r>
        <w:t>Tokens obtained via the client credentials grant show two limitations when validated by Collate:</w:t>
        <w:br/>
        <w:br/>
        <w:t>1. No 'sub' claim</w:t>
        <w:br/>
        <w:t xml:space="preserve">   - The access token does not include a 'sub' (subject) field.</w:t>
        <w:br/>
        <w:t xml:space="preserve">   - Collate APIs enforce this as part of their validation standard.</w:t>
        <w:br/>
        <w:br/>
        <w:t>2. Issuer ('iss') value lacks 'https://'</w:t>
        <w:br/>
        <w:t xml:space="preserve">   - Example: token shows iss=authz-security-test.aib.pri instead of iss=https://authz-security-test.aib.pri.</w:t>
        <w:br/>
        <w:t xml:space="preserve">   - Collate requires issuer URIs to be properly prefixed with 'https://' as per OAuth 2.0 / OIDC conventions.</w:t>
        <w:br/>
        <w:br/>
        <w:t>Because of these two issues, tokens from the pure client credentials flow are rejected by Collate APIs during standard validation.</w:t>
      </w:r>
    </w:p>
    <w:p>
      <w:pPr>
        <w:pStyle w:val="Heading1"/>
      </w:pPr>
      <w:r>
        <w:t>Analysis</w:t>
      </w:r>
    </w:p>
    <w:p>
      <w:r>
        <w:t>- Token Exchange Flow is not inherently designed for backend jobs since no user identity is involved.</w:t>
        <w:br/>
        <w:t>- Client Credentials Flow is the correct flow for machine-to-machine scenarios.</w:t>
        <w:br/>
        <w:t>- However, the Collate product enforces stricter validation on tokens:</w:t>
        <w:br/>
        <w:t xml:space="preserve">  - 'sub' must be present.</w:t>
        <w:br/>
        <w:t xml:space="preserve">  - 'iss' must be in HTTPS URI format.</w:t>
        <w:br/>
        <w:br/>
        <w:t>Thus, while token exchange is not conceptually needed, the format of tokens from client credentials may not be compatible with Collate without configuration adjustments on the IdP (Ping Federate).</w:t>
      </w:r>
    </w:p>
    <w:p>
      <w:pPr>
        <w:pStyle w:val="Heading1"/>
      </w:pPr>
      <w:r>
        <w:t>Conclusion</w:t>
      </w:r>
    </w:p>
    <w:p>
      <w:r>
        <w:t>- For CSS-214, the backend system is machine-to-machine.</w:t>
        <w:br/>
        <w:t>- Client Credentials Flow remains the correct approach.</w:t>
        <w:br/>
        <w:t>- SAML Token Exchange is not required.</w:t>
        <w:br/>
        <w:t>- But: The current tokens from client credentials do not meet Collate’s validation rules due to missing 'sub' and non-HTTPS issuer.</w:t>
        <w:br/>
        <w:br/>
        <w:t>Recommendation: Engage with the Ping Federate / Identity team to update the client configuration so that:</w:t>
        <w:br/>
        <w:t>1. Tokens include a valid 'sub' claim (service identity).</w:t>
        <w:br/>
        <w:t>2. Issuer value follows HTTPS URI standard.</w:t>
        <w:br/>
        <w:br/>
        <w:t>Once addressed, the backend job can call Collate APIs directly with client credential tokens.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