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E64DE">
      <w:pPr>
        <w:jc w:val="center"/>
        <w:outlineLvl w:val="9"/>
      </w:pPr>
      <w:r>
        <w:rPr>
          <w:rFonts w:hint="eastAsia" w:ascii="黑体" w:eastAsia="黑体"/>
          <w:sz w:val="24"/>
        </w:rPr>
        <w:drawing>
          <wp:inline distT="0" distB="0" distL="0" distR="0">
            <wp:extent cx="5274310" cy="1750695"/>
            <wp:effectExtent l="0" t="0" r="8890" b="1905"/>
            <wp:docPr id="2" name="图片 5" descr="a3758d927ebc43374420d0555ef8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a3758d927ebc43374420d0555ef834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1750724"/>
                    </a:xfrm>
                    <a:prstGeom prst="rect">
                      <a:avLst/>
                    </a:prstGeom>
                    <a:noFill/>
                    <a:ln>
                      <a:noFill/>
                    </a:ln>
                  </pic:spPr>
                </pic:pic>
              </a:graphicData>
            </a:graphic>
          </wp:inline>
        </w:drawing>
      </w:r>
    </w:p>
    <w:p w14:paraId="628F34E3">
      <w:pPr>
        <w:jc w:val="center"/>
      </w:pPr>
    </w:p>
    <w:p w14:paraId="3FE085C0">
      <w:pPr>
        <w:jc w:val="center"/>
      </w:pPr>
    </w:p>
    <w:p w14:paraId="759EF0AD">
      <w:pPr>
        <w:jc w:val="center"/>
      </w:pPr>
    </w:p>
    <w:p w14:paraId="558A43D6"/>
    <w:p w14:paraId="5AC0FE52">
      <w:pPr>
        <w:jc w:val="center"/>
      </w:pPr>
    </w:p>
    <w:p w14:paraId="46931CDB">
      <w:pPr>
        <w:jc w:val="center"/>
        <w:rPr>
          <w:rFonts w:ascii="方正小标宋简体" w:hAnsi="方正小标宋简体" w:eastAsia="方正小标宋简体" w:cs="方正小标宋简体"/>
          <w:sz w:val="52"/>
          <w:szCs w:val="52"/>
        </w:rPr>
      </w:pPr>
      <w:r>
        <w:rPr>
          <w:rFonts w:hint="eastAsia" w:ascii="方正小标宋简体" w:hAnsi="方正小标宋简体" w:eastAsia="方正小标宋简体" w:cs="方正小标宋简体"/>
          <w:sz w:val="52"/>
          <w:szCs w:val="52"/>
        </w:rPr>
        <w:t>内蒙古大学创业学院期末考试论文</w:t>
      </w:r>
    </w:p>
    <w:p w14:paraId="638B3393">
      <w:pPr>
        <w:jc w:val="center"/>
        <w:rPr>
          <w:rFonts w:ascii="方正小标宋简体" w:hAnsi="方正小标宋简体" w:eastAsia="方正小标宋简体" w:cs="方正小标宋简体"/>
          <w:sz w:val="52"/>
          <w:szCs w:val="52"/>
        </w:rPr>
      </w:pPr>
      <w:r>
        <w:rPr>
          <w:rFonts w:hint="eastAsia" w:ascii="方正小标宋简体" w:hAnsi="方正小标宋简体" w:eastAsia="方正小标宋简体" w:cs="方正小标宋简体"/>
          <w:sz w:val="52"/>
          <w:szCs w:val="52"/>
        </w:rPr>
        <w:t>202</w:t>
      </w:r>
      <w:r>
        <w:rPr>
          <w:rFonts w:hint="eastAsia" w:ascii="方正小标宋简体" w:hAnsi="方正小标宋简体" w:eastAsia="方正小标宋简体" w:cs="方正小标宋简体"/>
          <w:sz w:val="52"/>
          <w:szCs w:val="52"/>
          <w:lang w:val="en-US" w:eastAsia="zh-CN"/>
        </w:rPr>
        <w:t>5</w:t>
      </w:r>
      <w:r>
        <w:rPr>
          <w:rFonts w:hint="eastAsia" w:ascii="方正小标宋简体" w:hAnsi="方正小标宋简体" w:eastAsia="方正小标宋简体" w:cs="方正小标宋简体"/>
          <w:sz w:val="52"/>
          <w:szCs w:val="52"/>
        </w:rPr>
        <w:t>-202</w:t>
      </w:r>
      <w:r>
        <w:rPr>
          <w:rFonts w:hint="eastAsia" w:ascii="方正小标宋简体" w:hAnsi="方正小标宋简体" w:eastAsia="方正小标宋简体" w:cs="方正小标宋简体"/>
          <w:sz w:val="52"/>
          <w:szCs w:val="52"/>
          <w:lang w:val="en-US" w:eastAsia="zh-CN"/>
        </w:rPr>
        <w:t>6</w:t>
      </w:r>
      <w:r>
        <w:rPr>
          <w:rFonts w:hint="eastAsia" w:ascii="方正小标宋简体" w:hAnsi="方正小标宋简体" w:eastAsia="方正小标宋简体" w:cs="方正小标宋简体"/>
          <w:sz w:val="52"/>
          <w:szCs w:val="52"/>
        </w:rPr>
        <w:t>学年（第</w:t>
      </w:r>
      <w:r>
        <w:rPr>
          <w:rFonts w:hint="eastAsia" w:ascii="方正小标宋简体" w:hAnsi="方正小标宋简体" w:eastAsia="方正小标宋简体" w:cs="方正小标宋简体"/>
          <w:sz w:val="52"/>
          <w:szCs w:val="52"/>
          <w:lang w:eastAsia="zh-CN"/>
        </w:rPr>
        <w:t>一</w:t>
      </w:r>
      <w:r>
        <w:rPr>
          <w:rFonts w:hint="eastAsia" w:ascii="方正小标宋简体" w:hAnsi="方正小标宋简体" w:eastAsia="方正小标宋简体" w:cs="方正小标宋简体"/>
          <w:sz w:val="52"/>
          <w:szCs w:val="52"/>
        </w:rPr>
        <w:t>学期）</w:t>
      </w:r>
    </w:p>
    <w:p w14:paraId="2A45439A">
      <w:pPr>
        <w:jc w:val="center"/>
        <w:rPr>
          <w:rFonts w:ascii="方正小标宋简体" w:hAnsi="方正小标宋简体" w:eastAsia="方正小标宋简体" w:cs="方正小标宋简体"/>
          <w:sz w:val="52"/>
          <w:szCs w:val="52"/>
        </w:rPr>
      </w:pPr>
    </w:p>
    <w:p w14:paraId="1EE245CC">
      <w:pPr>
        <w:jc w:val="center"/>
        <w:rPr>
          <w:rFonts w:ascii="方正小标宋简体" w:hAnsi="方正小标宋简体" w:eastAsia="方正小标宋简体" w:cs="方正小标宋简体"/>
          <w:sz w:val="52"/>
          <w:szCs w:val="52"/>
        </w:rPr>
      </w:pPr>
    </w:p>
    <w:p w14:paraId="12C31D49">
      <w:pPr>
        <w:jc w:val="center"/>
        <w:rPr>
          <w:rFonts w:ascii="方正小标宋简体" w:hAnsi="方正小标宋简体" w:eastAsia="方正小标宋简体" w:cs="方正小标宋简体"/>
          <w:sz w:val="52"/>
          <w:szCs w:val="52"/>
        </w:rPr>
      </w:pPr>
    </w:p>
    <w:p w14:paraId="099D847B">
      <w:pPr>
        <w:ind w:firstLine="1600" w:firstLineChars="500"/>
        <w:jc w:val="left"/>
        <w:rPr>
          <w:rFonts w:ascii="方正小标宋简体" w:hAnsi="方正小标宋简体" w:eastAsia="方正小标宋简体" w:cs="方正小标宋简体"/>
          <w:sz w:val="32"/>
          <w:szCs w:val="32"/>
          <w:u w:val="single"/>
        </w:rPr>
      </w:pPr>
      <w:r>
        <w:rPr>
          <w:rFonts w:hint="eastAsia" w:ascii="方正小标宋简体" w:hAnsi="方正小标宋简体" w:eastAsia="方正小标宋简体" w:cs="方正小标宋简体"/>
          <w:sz w:val="32"/>
          <w:szCs w:val="32"/>
        </w:rPr>
        <w:t>课程名称：</w:t>
      </w:r>
      <w:r>
        <w:rPr>
          <w:rFonts w:hint="eastAsia" w:ascii="方正小标宋简体" w:hAnsi="方正小标宋简体" w:eastAsia="方正小标宋简体" w:cs="方正小标宋简体"/>
          <w:sz w:val="32"/>
          <w:szCs w:val="32"/>
          <w:u w:val="single"/>
        </w:rPr>
        <w:t xml:space="preserve">      </w:t>
      </w:r>
      <w:r>
        <w:rPr>
          <w:rFonts w:hint="eastAsia" w:ascii="方正小标宋简体" w:hAnsi="方正小标宋简体" w:eastAsia="方正小标宋简体" w:cs="方正小标宋简体"/>
          <w:sz w:val="32"/>
          <w:szCs w:val="32"/>
          <w:u w:val="single"/>
          <w:lang w:val="en-US" w:eastAsia="zh-CN"/>
        </w:rPr>
        <w:t>大数据导论</w:t>
      </w:r>
      <w:r>
        <w:rPr>
          <w:rFonts w:hint="eastAsia" w:ascii="方正小标宋简体" w:hAnsi="方正小标宋简体" w:eastAsia="方正小标宋简体" w:cs="方正小标宋简体"/>
          <w:sz w:val="32"/>
          <w:szCs w:val="32"/>
          <w:u w:val="single"/>
        </w:rPr>
        <w:t xml:space="preserve">          </w:t>
      </w:r>
    </w:p>
    <w:p w14:paraId="1A702951">
      <w:pPr>
        <w:ind w:firstLine="1600" w:firstLineChars="500"/>
        <w:jc w:val="left"/>
        <w:rPr>
          <w:rFonts w:hint="eastAsia" w:ascii="方正小标宋简体" w:hAnsi="方正小标宋简体" w:eastAsia="方正小标宋简体" w:cs="方正小标宋简体"/>
          <w:sz w:val="32"/>
          <w:szCs w:val="32"/>
          <w:u w:val="single"/>
          <w:lang w:val="en-US" w:eastAsia="zh-CN"/>
        </w:rPr>
      </w:pPr>
      <w:r>
        <w:rPr>
          <w:rFonts w:hint="eastAsia" w:ascii="方正小标宋简体" w:hAnsi="方正小标宋简体" w:eastAsia="方正小标宋简体" w:cs="方正小标宋简体"/>
          <w:sz w:val="32"/>
          <w:szCs w:val="32"/>
        </w:rPr>
        <w:t>二级学院：</w:t>
      </w:r>
      <w:r>
        <w:rPr>
          <w:rFonts w:hint="eastAsia" w:ascii="方正小标宋简体" w:hAnsi="方正小标宋简体" w:eastAsia="方正小标宋简体" w:cs="方正小标宋简体"/>
          <w:sz w:val="32"/>
          <w:szCs w:val="32"/>
          <w:u w:val="single"/>
        </w:rPr>
        <w:t xml:space="preserve">     </w:t>
      </w:r>
      <w:r>
        <w:rPr>
          <w:rFonts w:hint="eastAsia" w:ascii="方正小标宋简体" w:hAnsi="方正小标宋简体" w:eastAsia="方正小标宋简体" w:cs="方正小标宋简体"/>
          <w:sz w:val="32"/>
          <w:szCs w:val="32"/>
          <w:u w:val="single"/>
          <w:lang w:val="en-US" w:eastAsia="zh-CN"/>
        </w:rPr>
        <w:t>信息工程学院</w:t>
      </w:r>
      <w:r>
        <w:rPr>
          <w:rFonts w:hint="eastAsia" w:ascii="方正小标宋简体" w:hAnsi="方正小标宋简体" w:eastAsia="方正小标宋简体" w:cs="方正小标宋简体"/>
          <w:sz w:val="32"/>
          <w:szCs w:val="32"/>
          <w:u w:val="single"/>
        </w:rPr>
        <w:t xml:space="preserve">         </w:t>
      </w:r>
    </w:p>
    <w:p w14:paraId="79895F39">
      <w:pPr>
        <w:ind w:firstLine="1600" w:firstLineChars="500"/>
        <w:jc w:val="left"/>
        <w:rPr>
          <w:rFonts w:hint="eastAsia" w:ascii="方正小标宋简体" w:hAnsi="方正小标宋简体" w:eastAsia="方正小标宋简体" w:cs="方正小标宋简体"/>
          <w:sz w:val="32"/>
          <w:szCs w:val="32"/>
          <w:u w:val="single"/>
          <w:lang w:val="en-US" w:eastAsia="zh-CN"/>
        </w:rPr>
      </w:pPr>
      <w:r>
        <w:rPr>
          <w:rFonts w:hint="eastAsia" w:ascii="方正小标宋简体" w:hAnsi="方正小标宋简体" w:eastAsia="方正小标宋简体" w:cs="方正小标宋简体"/>
          <w:sz w:val="32"/>
          <w:szCs w:val="32"/>
        </w:rPr>
        <w:t>年级/班级：</w:t>
      </w:r>
      <w:r>
        <w:rPr>
          <w:rFonts w:hint="eastAsia" w:ascii="方正小标宋简体" w:hAnsi="方正小标宋简体" w:eastAsia="方正小标宋简体" w:cs="方正小标宋简体"/>
          <w:sz w:val="32"/>
          <w:szCs w:val="32"/>
          <w:u w:val="single"/>
        </w:rPr>
        <w:t xml:space="preserve">    </w:t>
      </w:r>
      <w:r>
        <w:rPr>
          <w:rFonts w:hint="eastAsia" w:ascii="方正小标宋简体" w:hAnsi="方正小标宋简体" w:eastAsia="方正小标宋简体" w:cs="方正小标宋简体"/>
          <w:sz w:val="32"/>
          <w:szCs w:val="32"/>
          <w:u w:val="single"/>
          <w:lang w:val="en-US" w:eastAsia="zh-CN"/>
        </w:rPr>
        <w:t>22级软件工程</w:t>
      </w:r>
      <w:r>
        <w:rPr>
          <w:rFonts w:hint="eastAsia" w:ascii="方正小标宋简体" w:hAnsi="方正小标宋简体" w:eastAsia="方正小标宋简体" w:cs="方正小标宋简体"/>
          <w:sz w:val="32"/>
          <w:szCs w:val="32"/>
          <w:u w:val="single"/>
        </w:rPr>
        <w:t xml:space="preserve">        </w:t>
      </w:r>
      <w:r>
        <w:rPr>
          <w:rFonts w:hint="eastAsia" w:ascii="方正小标宋简体" w:hAnsi="方正小标宋简体" w:eastAsia="方正小标宋简体" w:cs="方正小标宋简体"/>
          <w:sz w:val="32"/>
          <w:szCs w:val="32"/>
          <w:u w:val="single"/>
          <w:lang w:val="en-US" w:eastAsia="zh-CN"/>
        </w:rPr>
        <w:t xml:space="preserve"> </w:t>
      </w:r>
    </w:p>
    <w:p w14:paraId="19811620">
      <w:pPr>
        <w:ind w:firstLine="1600" w:firstLineChars="500"/>
        <w:jc w:val="left"/>
        <w:rPr>
          <w:rFonts w:ascii="方正小标宋简体" w:hAnsi="方正小标宋简体" w:eastAsia="方正小标宋简体" w:cs="方正小标宋简体"/>
          <w:sz w:val="32"/>
          <w:szCs w:val="32"/>
        </w:rPr>
      </w:pPr>
      <w:r>
        <w:rPr>
          <w:rFonts w:hint="eastAsia" w:ascii="方正小标宋简体" w:hAnsi="方正小标宋简体" w:eastAsia="方正小标宋简体" w:cs="方正小标宋简体"/>
          <w:sz w:val="32"/>
          <w:szCs w:val="32"/>
        </w:rPr>
        <w:t xml:space="preserve">学 </w:t>
      </w:r>
      <w:r>
        <w:rPr>
          <w:rFonts w:ascii="方正小标宋简体" w:hAnsi="方正小标宋简体" w:eastAsia="方正小标宋简体" w:cs="方正小标宋简体"/>
          <w:sz w:val="32"/>
          <w:szCs w:val="32"/>
        </w:rPr>
        <w:t xml:space="preserve">  </w:t>
      </w:r>
      <w:r>
        <w:rPr>
          <w:rFonts w:hint="eastAsia" w:ascii="方正小标宋简体" w:hAnsi="方正小标宋简体" w:eastAsia="方正小标宋简体" w:cs="方正小标宋简体"/>
          <w:sz w:val="32"/>
          <w:szCs w:val="32"/>
          <w:lang w:val="en-US" w:eastAsia="zh-CN"/>
        </w:rPr>
        <w:t xml:space="preserve"> </w:t>
      </w:r>
      <w:r>
        <w:rPr>
          <w:rFonts w:hint="eastAsia" w:ascii="方正小标宋简体" w:hAnsi="方正小标宋简体" w:eastAsia="方正小标宋简体" w:cs="方正小标宋简体"/>
          <w:sz w:val="32"/>
          <w:szCs w:val="32"/>
        </w:rPr>
        <w:t>号：</w:t>
      </w:r>
      <w:r>
        <w:rPr>
          <w:rFonts w:hint="eastAsia" w:ascii="方正小标宋简体" w:hAnsi="方正小标宋简体" w:eastAsia="方正小标宋简体" w:cs="方正小标宋简体"/>
          <w:sz w:val="32"/>
          <w:szCs w:val="32"/>
          <w:u w:val="single"/>
        </w:rPr>
        <w:t xml:space="preserve">       </w:t>
      </w:r>
      <w:r>
        <w:rPr>
          <w:rFonts w:hint="eastAsia" w:ascii="方正小标宋简体" w:hAnsi="方正小标宋简体" w:eastAsia="方正小标宋简体" w:cs="方正小标宋简体"/>
          <w:sz w:val="32"/>
          <w:szCs w:val="32"/>
          <w:u w:val="single"/>
          <w:lang w:val="en-US" w:eastAsia="zh-CN"/>
        </w:rPr>
        <w:t>0222955</w:t>
      </w:r>
      <w:r>
        <w:rPr>
          <w:rFonts w:hint="eastAsia" w:ascii="方正小标宋简体" w:hAnsi="方正小标宋简体" w:eastAsia="方正小标宋简体" w:cs="方正小标宋简体"/>
          <w:sz w:val="32"/>
          <w:szCs w:val="32"/>
          <w:u w:val="single"/>
        </w:rPr>
        <w:t xml:space="preserve">           </w:t>
      </w:r>
    </w:p>
    <w:p w14:paraId="36B5F204">
      <w:pPr>
        <w:ind w:firstLine="1600" w:firstLineChars="500"/>
        <w:jc w:val="left"/>
        <w:rPr>
          <w:rFonts w:ascii="方正小标宋简体" w:hAnsi="方正小标宋简体" w:eastAsia="方正小标宋简体" w:cs="方正小标宋简体"/>
          <w:sz w:val="32"/>
          <w:szCs w:val="32"/>
        </w:rPr>
      </w:pPr>
      <w:r>
        <w:rPr>
          <w:rFonts w:hint="eastAsia" w:ascii="方正小标宋简体" w:hAnsi="方正小标宋简体" w:eastAsia="方正小标宋简体" w:cs="方正小标宋简体"/>
          <w:sz w:val="32"/>
          <w:szCs w:val="32"/>
        </w:rPr>
        <w:t>学生姓名：</w:t>
      </w:r>
      <w:r>
        <w:rPr>
          <w:rFonts w:hint="eastAsia" w:ascii="方正小标宋简体" w:hAnsi="方正小标宋简体" w:eastAsia="方正小标宋简体" w:cs="方正小标宋简体"/>
          <w:sz w:val="32"/>
          <w:szCs w:val="32"/>
          <w:u w:val="single"/>
        </w:rPr>
        <w:t xml:space="preserve">       </w:t>
      </w:r>
      <w:r>
        <w:rPr>
          <w:rFonts w:hint="eastAsia" w:ascii="方正小标宋简体" w:hAnsi="方正小标宋简体" w:eastAsia="方正小标宋简体" w:cs="方正小标宋简体"/>
          <w:sz w:val="32"/>
          <w:szCs w:val="32"/>
          <w:u w:val="single"/>
          <w:lang w:val="en-US" w:eastAsia="zh-CN"/>
        </w:rPr>
        <w:t xml:space="preserve"> 刘国轩</w:t>
      </w:r>
      <w:r>
        <w:rPr>
          <w:rFonts w:hint="eastAsia" w:ascii="方正小标宋简体" w:hAnsi="方正小标宋简体" w:eastAsia="方正小标宋简体" w:cs="方正小标宋简体"/>
          <w:sz w:val="32"/>
          <w:szCs w:val="32"/>
          <w:u w:val="single"/>
        </w:rPr>
        <w:t xml:space="preserve">            </w:t>
      </w:r>
    </w:p>
    <w:p w14:paraId="17527A1B">
      <w:pPr>
        <w:ind w:firstLine="1600" w:firstLineChars="500"/>
        <w:jc w:val="left"/>
        <w:rPr>
          <w:rFonts w:hint="eastAsia" w:ascii="方正小标宋简体" w:hAnsi="方正小标宋简体" w:eastAsia="方正小标宋简体" w:cs="方正小标宋简体"/>
          <w:sz w:val="32"/>
          <w:szCs w:val="32"/>
          <w:u w:val="single"/>
          <w:lang w:val="en-US" w:eastAsia="zh-CN"/>
        </w:rPr>
      </w:pPr>
      <w:r>
        <w:rPr>
          <w:rFonts w:hint="eastAsia" w:ascii="方正小标宋简体" w:hAnsi="方正小标宋简体" w:eastAsia="方正小标宋简体" w:cs="方正小标宋简体"/>
          <w:sz w:val="32"/>
          <w:szCs w:val="32"/>
        </w:rPr>
        <w:t>教师姓名：</w:t>
      </w:r>
      <w:r>
        <w:rPr>
          <w:rFonts w:hint="eastAsia" w:ascii="方正小标宋简体" w:hAnsi="方正小标宋简体" w:eastAsia="方正小标宋简体" w:cs="方正小标宋简体"/>
          <w:sz w:val="32"/>
          <w:szCs w:val="32"/>
          <w:u w:val="single"/>
        </w:rPr>
        <w:t xml:space="preserve">         </w:t>
      </w:r>
      <w:r>
        <w:rPr>
          <w:rFonts w:hint="eastAsia" w:ascii="方正小标宋简体" w:hAnsi="方正小标宋简体" w:eastAsia="方正小标宋简体" w:cs="方正小标宋简体"/>
          <w:sz w:val="32"/>
          <w:szCs w:val="32"/>
          <w:u w:val="single"/>
          <w:lang w:val="en-US" w:eastAsia="zh-CN"/>
        </w:rPr>
        <w:t>王强</w:t>
      </w:r>
      <w:r>
        <w:rPr>
          <w:rFonts w:hint="eastAsia" w:ascii="方正小标宋简体" w:hAnsi="方正小标宋简体" w:eastAsia="方正小标宋简体" w:cs="方正小标宋简体"/>
          <w:sz w:val="32"/>
          <w:szCs w:val="32"/>
          <w:u w:val="single"/>
        </w:rPr>
        <w:t xml:space="preserve">            </w:t>
      </w:r>
      <w:r>
        <w:rPr>
          <w:rFonts w:hint="eastAsia" w:ascii="方正小标宋简体" w:hAnsi="方正小标宋简体" w:eastAsia="方正小标宋简体" w:cs="方正小标宋简体"/>
          <w:sz w:val="32"/>
          <w:szCs w:val="32"/>
          <w:u w:val="single"/>
          <w:lang w:val="en-US" w:eastAsia="zh-CN"/>
        </w:rPr>
        <w:t xml:space="preserve"> </w:t>
      </w:r>
    </w:p>
    <w:p w14:paraId="0F962CF6"/>
    <w:p w14:paraId="4E612633"/>
    <w:p w14:paraId="652CFAD6"/>
    <w:p w14:paraId="06DD8D57">
      <w:pPr>
        <w:jc w:val="center"/>
        <w:rPr>
          <w:rFonts w:hint="eastAsia" w:ascii="黑体" w:hAnsi="黑体" w:eastAsia="黑体" w:cs="黑体"/>
          <w:b w:val="0"/>
          <w:bCs w:val="0"/>
          <w:sz w:val="32"/>
          <w:szCs w:val="32"/>
        </w:rPr>
        <w:sectPr>
          <w:pgSz w:w="11906" w:h="16838"/>
          <w:pgMar w:top="1440" w:right="1800" w:bottom="1440" w:left="1800" w:header="851" w:footer="992" w:gutter="0"/>
          <w:pgNumType w:fmt="decimal"/>
          <w:cols w:space="425" w:num="1"/>
          <w:docGrid w:type="lines" w:linePitch="312" w:charSpace="0"/>
        </w:sectPr>
      </w:pPr>
    </w:p>
    <w:sdt>
      <w:sdtPr>
        <w:rPr>
          <w:rFonts w:ascii="宋体" w:hAnsi="宋体" w:eastAsia="宋体" w:cstheme="minorBidi"/>
          <w:kern w:val="2"/>
          <w:sz w:val="21"/>
          <w:szCs w:val="24"/>
          <w:lang w:val="en-US" w:eastAsia="zh-CN" w:bidi="ar-SA"/>
        </w:rPr>
        <w:id w:val="147472925"/>
        <w15:color w:val="DBDBDB"/>
        <w:docPartObj>
          <w:docPartGallery w:val="Table of Contents"/>
          <w:docPartUnique/>
        </w:docPartObj>
      </w:sdtPr>
      <w:sdtEndPr>
        <w:rPr>
          <w:rFonts w:hint="eastAsia" w:ascii="黑体" w:hAnsi="黑体" w:eastAsia="黑体" w:cs="黑体"/>
          <w:bCs w:val="0"/>
          <w:kern w:val="2"/>
          <w:sz w:val="21"/>
          <w:szCs w:val="32"/>
          <w:lang w:val="en-US" w:eastAsia="zh-CN" w:bidi="ar-SA"/>
        </w:rPr>
      </w:sdtEndPr>
      <w:sdtContent>
        <w:p w14:paraId="2706DB41">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ascii="宋体" w:hAnsi="宋体" w:eastAsia="宋体" w:cs="宋体"/>
              <w:sz w:val="24"/>
              <w:szCs w:val="32"/>
            </w:rPr>
          </w:pPr>
          <w:r>
            <w:rPr>
              <w:rFonts w:hint="eastAsia" w:ascii="宋体" w:hAnsi="宋体" w:eastAsia="宋体" w:cs="宋体"/>
              <w:sz w:val="24"/>
              <w:szCs w:val="32"/>
            </w:rPr>
            <w:t>目录</w:t>
          </w:r>
        </w:p>
        <w:p w14:paraId="3BAFB001">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 w:val="0"/>
              <w:bCs w:val="0"/>
              <w:sz w:val="40"/>
              <w:szCs w:val="40"/>
            </w:rPr>
            <w:fldChar w:fldCharType="begin"/>
          </w:r>
          <w:r>
            <w:rPr>
              <w:rFonts w:hint="eastAsia" w:ascii="宋体" w:hAnsi="宋体" w:eastAsia="宋体" w:cs="宋体"/>
              <w:b w:val="0"/>
              <w:bCs w:val="0"/>
              <w:sz w:val="40"/>
              <w:szCs w:val="40"/>
            </w:rPr>
            <w:instrText xml:space="preserve">TOC \o "1-3" \h \u </w:instrText>
          </w:r>
          <w:r>
            <w:rPr>
              <w:rFonts w:hint="eastAsia" w:ascii="宋体" w:hAnsi="宋体" w:eastAsia="宋体" w:cs="宋体"/>
              <w:b w:val="0"/>
              <w:bCs w:val="0"/>
              <w:sz w:val="40"/>
              <w:szCs w:val="40"/>
            </w:rPr>
            <w:fldChar w:fldCharType="separate"/>
          </w: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_Toc14141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40"/>
            </w:rPr>
            <w:t>大数据生命周期理论分析：从数据收集到安全保护</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_Toc14141 \h </w:instrText>
          </w:r>
          <w:r>
            <w:rPr>
              <w:rFonts w:hint="eastAsia" w:ascii="宋体" w:hAnsi="宋体" w:eastAsia="宋体" w:cs="宋体"/>
              <w:sz w:val="24"/>
              <w:szCs w:val="32"/>
            </w:rPr>
            <w:fldChar w:fldCharType="separate"/>
          </w:r>
          <w:r>
            <w:rPr>
              <w:rFonts w:hint="eastAsia" w:ascii="宋体" w:hAnsi="宋体" w:eastAsia="宋体" w:cs="宋体"/>
              <w:sz w:val="24"/>
              <w:szCs w:val="32"/>
            </w:rPr>
            <w:t>1</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47335B6F">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_Toc480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40"/>
            </w:rPr>
            <w:t>一、引言</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_Toc480 \h </w:instrText>
          </w:r>
          <w:r>
            <w:rPr>
              <w:rFonts w:hint="eastAsia" w:ascii="宋体" w:hAnsi="宋体" w:eastAsia="宋体" w:cs="宋体"/>
              <w:sz w:val="24"/>
              <w:szCs w:val="32"/>
            </w:rPr>
            <w:fldChar w:fldCharType="separate"/>
          </w:r>
          <w:r>
            <w:rPr>
              <w:rFonts w:hint="eastAsia" w:ascii="宋体" w:hAnsi="宋体" w:eastAsia="宋体" w:cs="宋体"/>
              <w:sz w:val="24"/>
              <w:szCs w:val="32"/>
            </w:rPr>
            <w:t>1</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5768F34F">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_Toc15279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40"/>
            </w:rPr>
            <w:t>二、数据收集</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_Toc15279 \h </w:instrText>
          </w:r>
          <w:r>
            <w:rPr>
              <w:rFonts w:hint="eastAsia" w:ascii="宋体" w:hAnsi="宋体" w:eastAsia="宋体" w:cs="宋体"/>
              <w:sz w:val="24"/>
              <w:szCs w:val="32"/>
            </w:rPr>
            <w:fldChar w:fldCharType="separate"/>
          </w:r>
          <w:r>
            <w:rPr>
              <w:rFonts w:hint="eastAsia" w:ascii="宋体" w:hAnsi="宋体" w:eastAsia="宋体" w:cs="宋体"/>
              <w:sz w:val="24"/>
              <w:szCs w:val="32"/>
            </w:rPr>
            <w:t>2</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6E2FE53E">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_Toc1800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2.1 理论分析</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_Toc1800 \h </w:instrText>
          </w:r>
          <w:r>
            <w:rPr>
              <w:rFonts w:hint="eastAsia" w:ascii="宋体" w:hAnsi="宋体" w:eastAsia="宋体" w:cs="宋体"/>
              <w:sz w:val="24"/>
              <w:szCs w:val="32"/>
            </w:rPr>
            <w:fldChar w:fldCharType="separate"/>
          </w:r>
          <w:r>
            <w:rPr>
              <w:rFonts w:hint="eastAsia" w:ascii="宋体" w:hAnsi="宋体" w:eastAsia="宋体" w:cs="宋体"/>
              <w:sz w:val="24"/>
              <w:szCs w:val="32"/>
            </w:rPr>
            <w:t>2</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5136CB2A">
          <w:pPr>
            <w:pStyle w:val="4"/>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_Toc10460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（1）大数据来源分类</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_Toc10460 \h </w:instrText>
          </w:r>
          <w:r>
            <w:rPr>
              <w:rFonts w:hint="eastAsia" w:ascii="宋体" w:hAnsi="宋体" w:eastAsia="宋体" w:cs="宋体"/>
              <w:sz w:val="24"/>
              <w:szCs w:val="32"/>
            </w:rPr>
            <w:fldChar w:fldCharType="separate"/>
          </w:r>
          <w:r>
            <w:rPr>
              <w:rFonts w:hint="eastAsia" w:ascii="宋体" w:hAnsi="宋体" w:eastAsia="宋体" w:cs="宋体"/>
              <w:sz w:val="24"/>
              <w:szCs w:val="32"/>
            </w:rPr>
            <w:t>2</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22B88B0A">
          <w:pPr>
            <w:pStyle w:val="4"/>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_Toc11572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（2）数据采集技术</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_Toc11572 \h </w:instrText>
          </w:r>
          <w:r>
            <w:rPr>
              <w:rFonts w:hint="eastAsia" w:ascii="宋体" w:hAnsi="宋体" w:eastAsia="宋体" w:cs="宋体"/>
              <w:sz w:val="24"/>
              <w:szCs w:val="32"/>
            </w:rPr>
            <w:fldChar w:fldCharType="separate"/>
          </w:r>
          <w:r>
            <w:rPr>
              <w:rFonts w:hint="eastAsia" w:ascii="宋体" w:hAnsi="宋体" w:eastAsia="宋体" w:cs="宋体"/>
              <w:sz w:val="24"/>
              <w:szCs w:val="32"/>
            </w:rPr>
            <w:t>2</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4A88EA2C">
          <w:pPr>
            <w:pStyle w:val="4"/>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_Toc16993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（3）数据质量评估</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_Toc16993 \h </w:instrText>
          </w:r>
          <w:r>
            <w:rPr>
              <w:rFonts w:hint="eastAsia" w:ascii="宋体" w:hAnsi="宋体" w:eastAsia="宋体" w:cs="宋体"/>
              <w:sz w:val="24"/>
              <w:szCs w:val="32"/>
            </w:rPr>
            <w:fldChar w:fldCharType="separate"/>
          </w:r>
          <w:r>
            <w:rPr>
              <w:rFonts w:hint="eastAsia" w:ascii="宋体" w:hAnsi="宋体" w:eastAsia="宋体" w:cs="宋体"/>
              <w:sz w:val="24"/>
              <w:szCs w:val="32"/>
            </w:rPr>
            <w:t>2</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43F408B6">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_Toc15664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2.2 案例分析：电商平台用户行为数据采集</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_Toc15664 \h </w:instrText>
          </w:r>
          <w:r>
            <w:rPr>
              <w:rFonts w:hint="eastAsia" w:ascii="宋体" w:hAnsi="宋体" w:eastAsia="宋体" w:cs="宋体"/>
              <w:sz w:val="24"/>
              <w:szCs w:val="32"/>
            </w:rPr>
            <w:fldChar w:fldCharType="separate"/>
          </w:r>
          <w:r>
            <w:rPr>
              <w:rFonts w:hint="eastAsia" w:ascii="宋体" w:hAnsi="宋体" w:eastAsia="宋体" w:cs="宋体"/>
              <w:sz w:val="24"/>
              <w:szCs w:val="32"/>
            </w:rPr>
            <w:t>3</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652F02A1">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_Toc31473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40"/>
            </w:rPr>
            <w:t>三、数据分析</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_Toc31473 \h </w:instrText>
          </w:r>
          <w:r>
            <w:rPr>
              <w:rFonts w:hint="eastAsia" w:ascii="宋体" w:hAnsi="宋体" w:eastAsia="宋体" w:cs="宋体"/>
              <w:sz w:val="24"/>
              <w:szCs w:val="32"/>
            </w:rPr>
            <w:fldChar w:fldCharType="separate"/>
          </w:r>
          <w:r>
            <w:rPr>
              <w:rFonts w:hint="eastAsia" w:ascii="宋体" w:hAnsi="宋体" w:eastAsia="宋体" w:cs="宋体"/>
              <w:sz w:val="24"/>
              <w:szCs w:val="32"/>
            </w:rPr>
            <w:t>3</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7CF029E4">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_Toc24465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3.1 理论分析</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_Toc24465 \h </w:instrText>
          </w:r>
          <w:r>
            <w:rPr>
              <w:rFonts w:hint="eastAsia" w:ascii="宋体" w:hAnsi="宋体" w:eastAsia="宋体" w:cs="宋体"/>
              <w:sz w:val="24"/>
              <w:szCs w:val="32"/>
            </w:rPr>
            <w:fldChar w:fldCharType="separate"/>
          </w:r>
          <w:r>
            <w:rPr>
              <w:rFonts w:hint="eastAsia" w:ascii="宋体" w:hAnsi="宋体" w:eastAsia="宋体" w:cs="宋体"/>
              <w:sz w:val="24"/>
              <w:szCs w:val="32"/>
            </w:rPr>
            <w:t>3</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73B75EE3">
          <w:pPr>
            <w:pStyle w:val="4"/>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_Toc7865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（1）数据分析方法</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_Toc7865 \h </w:instrText>
          </w:r>
          <w:r>
            <w:rPr>
              <w:rFonts w:hint="eastAsia" w:ascii="宋体" w:hAnsi="宋体" w:eastAsia="宋体" w:cs="宋体"/>
              <w:sz w:val="24"/>
              <w:szCs w:val="32"/>
            </w:rPr>
            <w:fldChar w:fldCharType="separate"/>
          </w:r>
          <w:r>
            <w:rPr>
              <w:rFonts w:hint="eastAsia" w:ascii="宋体" w:hAnsi="宋体" w:eastAsia="宋体" w:cs="宋体"/>
              <w:sz w:val="24"/>
              <w:szCs w:val="32"/>
            </w:rPr>
            <w:t>3</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5FECB016">
          <w:pPr>
            <w:pStyle w:val="4"/>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_Toc1556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（2）分析工具链</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_Toc1556 \h </w:instrText>
          </w:r>
          <w:r>
            <w:rPr>
              <w:rFonts w:hint="eastAsia" w:ascii="宋体" w:hAnsi="宋体" w:eastAsia="宋体" w:cs="宋体"/>
              <w:sz w:val="24"/>
              <w:szCs w:val="32"/>
            </w:rPr>
            <w:fldChar w:fldCharType="separate"/>
          </w:r>
          <w:r>
            <w:rPr>
              <w:rFonts w:hint="eastAsia" w:ascii="宋体" w:hAnsi="宋体" w:eastAsia="宋体" w:cs="宋体"/>
              <w:sz w:val="24"/>
              <w:szCs w:val="32"/>
            </w:rPr>
            <w:t>4</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5115E883">
          <w:pPr>
            <w:pStyle w:val="4"/>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_Toc24000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（3）数据可视化</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_Toc24000 \h </w:instrText>
          </w:r>
          <w:r>
            <w:rPr>
              <w:rFonts w:hint="eastAsia" w:ascii="宋体" w:hAnsi="宋体" w:eastAsia="宋体" w:cs="宋体"/>
              <w:sz w:val="24"/>
              <w:szCs w:val="32"/>
            </w:rPr>
            <w:fldChar w:fldCharType="separate"/>
          </w:r>
          <w:r>
            <w:rPr>
              <w:rFonts w:hint="eastAsia" w:ascii="宋体" w:hAnsi="宋体" w:eastAsia="宋体" w:cs="宋体"/>
              <w:sz w:val="24"/>
              <w:szCs w:val="32"/>
            </w:rPr>
            <w:t>4</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7BDFCE67">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_Toc30967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3.2 案例分析：金融风控中的欺诈识别</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_Toc30967 \h </w:instrText>
          </w:r>
          <w:r>
            <w:rPr>
              <w:rFonts w:hint="eastAsia" w:ascii="宋体" w:hAnsi="宋体" w:eastAsia="宋体" w:cs="宋体"/>
              <w:sz w:val="24"/>
              <w:szCs w:val="32"/>
            </w:rPr>
            <w:fldChar w:fldCharType="separate"/>
          </w:r>
          <w:r>
            <w:rPr>
              <w:rFonts w:hint="eastAsia" w:ascii="宋体" w:hAnsi="宋体" w:eastAsia="宋体" w:cs="宋体"/>
              <w:sz w:val="24"/>
              <w:szCs w:val="32"/>
            </w:rPr>
            <w:t>4</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66683472">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_Toc7758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40"/>
            </w:rPr>
            <w:t>四、数据处理</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_Toc7758 \h </w:instrText>
          </w:r>
          <w:r>
            <w:rPr>
              <w:rFonts w:hint="eastAsia" w:ascii="宋体" w:hAnsi="宋体" w:eastAsia="宋体" w:cs="宋体"/>
              <w:sz w:val="24"/>
              <w:szCs w:val="32"/>
            </w:rPr>
            <w:fldChar w:fldCharType="separate"/>
          </w:r>
          <w:r>
            <w:rPr>
              <w:rFonts w:hint="eastAsia" w:ascii="宋体" w:hAnsi="宋体" w:eastAsia="宋体" w:cs="宋体"/>
              <w:sz w:val="24"/>
              <w:szCs w:val="32"/>
            </w:rPr>
            <w:t>4</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7BD7DD62">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_Toc28738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4.1 理论分析</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_Toc28738 \h </w:instrText>
          </w:r>
          <w:r>
            <w:rPr>
              <w:rFonts w:hint="eastAsia" w:ascii="宋体" w:hAnsi="宋体" w:eastAsia="宋体" w:cs="宋体"/>
              <w:sz w:val="24"/>
              <w:szCs w:val="32"/>
            </w:rPr>
            <w:fldChar w:fldCharType="separate"/>
          </w:r>
          <w:r>
            <w:rPr>
              <w:rFonts w:hint="eastAsia" w:ascii="宋体" w:hAnsi="宋体" w:eastAsia="宋体" w:cs="宋体"/>
              <w:sz w:val="24"/>
              <w:szCs w:val="32"/>
            </w:rPr>
            <w:t>4</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4B0E7816">
          <w:pPr>
            <w:pStyle w:val="4"/>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_Toc32684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（1）数据清洗</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_Toc32684 \h </w:instrText>
          </w:r>
          <w:r>
            <w:rPr>
              <w:rFonts w:hint="eastAsia" w:ascii="宋体" w:hAnsi="宋体" w:eastAsia="宋体" w:cs="宋体"/>
              <w:sz w:val="24"/>
              <w:szCs w:val="32"/>
            </w:rPr>
            <w:fldChar w:fldCharType="separate"/>
          </w:r>
          <w:r>
            <w:rPr>
              <w:rFonts w:hint="eastAsia" w:ascii="宋体" w:hAnsi="宋体" w:eastAsia="宋体" w:cs="宋体"/>
              <w:sz w:val="24"/>
              <w:szCs w:val="32"/>
            </w:rPr>
            <w:t>5</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228B9C2A">
          <w:pPr>
            <w:pStyle w:val="4"/>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_Toc8206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（2）数据转换与集成</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_Toc8206 \h </w:instrText>
          </w:r>
          <w:r>
            <w:rPr>
              <w:rFonts w:hint="eastAsia" w:ascii="宋体" w:hAnsi="宋体" w:eastAsia="宋体" w:cs="宋体"/>
              <w:sz w:val="24"/>
              <w:szCs w:val="32"/>
            </w:rPr>
            <w:fldChar w:fldCharType="separate"/>
          </w:r>
          <w:r>
            <w:rPr>
              <w:rFonts w:hint="eastAsia" w:ascii="宋体" w:hAnsi="宋体" w:eastAsia="宋体" w:cs="宋体"/>
              <w:sz w:val="24"/>
              <w:szCs w:val="32"/>
            </w:rPr>
            <w:t>5</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4C2F0E22">
          <w:pPr>
            <w:pStyle w:val="4"/>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_Toc30644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（3）数据存储技术</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_Toc30644 \h </w:instrText>
          </w:r>
          <w:r>
            <w:rPr>
              <w:rFonts w:hint="eastAsia" w:ascii="宋体" w:hAnsi="宋体" w:eastAsia="宋体" w:cs="宋体"/>
              <w:sz w:val="24"/>
              <w:szCs w:val="32"/>
            </w:rPr>
            <w:fldChar w:fldCharType="separate"/>
          </w:r>
          <w:r>
            <w:rPr>
              <w:rFonts w:hint="eastAsia" w:ascii="宋体" w:hAnsi="宋体" w:eastAsia="宋体" w:cs="宋体"/>
              <w:sz w:val="24"/>
              <w:szCs w:val="32"/>
            </w:rPr>
            <w:t>5</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190082EE">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_Toc6223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4.2 案例分析：医疗大数据的电子病历处理</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_Toc6223 \h </w:instrText>
          </w:r>
          <w:r>
            <w:rPr>
              <w:rFonts w:hint="eastAsia" w:ascii="宋体" w:hAnsi="宋体" w:eastAsia="宋体" w:cs="宋体"/>
              <w:sz w:val="24"/>
              <w:szCs w:val="32"/>
            </w:rPr>
            <w:fldChar w:fldCharType="separate"/>
          </w:r>
          <w:r>
            <w:rPr>
              <w:rFonts w:hint="eastAsia" w:ascii="宋体" w:hAnsi="宋体" w:eastAsia="宋体" w:cs="宋体"/>
              <w:sz w:val="24"/>
              <w:szCs w:val="32"/>
            </w:rPr>
            <w:t>5</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698C76A5">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_Toc2568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40"/>
            </w:rPr>
            <w:t>五、数据安全</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_Toc2568 \h </w:instrText>
          </w:r>
          <w:r>
            <w:rPr>
              <w:rFonts w:hint="eastAsia" w:ascii="宋体" w:hAnsi="宋体" w:eastAsia="宋体" w:cs="宋体"/>
              <w:sz w:val="24"/>
              <w:szCs w:val="32"/>
            </w:rPr>
            <w:fldChar w:fldCharType="separate"/>
          </w:r>
          <w:r>
            <w:rPr>
              <w:rFonts w:hint="eastAsia" w:ascii="宋体" w:hAnsi="宋体" w:eastAsia="宋体" w:cs="宋体"/>
              <w:sz w:val="24"/>
              <w:szCs w:val="32"/>
            </w:rPr>
            <w:t>5</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2ECBBACE">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_Toc7087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5.1 理论分析</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_Toc7087 \h </w:instrText>
          </w:r>
          <w:r>
            <w:rPr>
              <w:rFonts w:hint="eastAsia" w:ascii="宋体" w:hAnsi="宋体" w:eastAsia="宋体" w:cs="宋体"/>
              <w:sz w:val="24"/>
              <w:szCs w:val="32"/>
            </w:rPr>
            <w:fldChar w:fldCharType="separate"/>
          </w:r>
          <w:r>
            <w:rPr>
              <w:rFonts w:hint="eastAsia" w:ascii="宋体" w:hAnsi="宋体" w:eastAsia="宋体" w:cs="宋体"/>
              <w:sz w:val="24"/>
              <w:szCs w:val="32"/>
            </w:rPr>
            <w:t>5</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5CEE5632">
          <w:pPr>
            <w:pStyle w:val="4"/>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_Toc19953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（1）数据安全威胁</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_Toc19953 \h </w:instrText>
          </w:r>
          <w:r>
            <w:rPr>
              <w:rFonts w:hint="eastAsia" w:ascii="宋体" w:hAnsi="宋体" w:eastAsia="宋体" w:cs="宋体"/>
              <w:sz w:val="24"/>
              <w:szCs w:val="32"/>
            </w:rPr>
            <w:fldChar w:fldCharType="separate"/>
          </w:r>
          <w:r>
            <w:rPr>
              <w:rFonts w:hint="eastAsia" w:ascii="宋体" w:hAnsi="宋体" w:eastAsia="宋体" w:cs="宋体"/>
              <w:sz w:val="24"/>
              <w:szCs w:val="32"/>
            </w:rPr>
            <w:t>6</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0D6A85AB">
          <w:pPr>
            <w:pStyle w:val="4"/>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_Toc28281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（2）安全防护技术</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_Toc28281 \h </w:instrText>
          </w:r>
          <w:r>
            <w:rPr>
              <w:rFonts w:hint="eastAsia" w:ascii="宋体" w:hAnsi="宋体" w:eastAsia="宋体" w:cs="宋体"/>
              <w:sz w:val="24"/>
              <w:szCs w:val="32"/>
            </w:rPr>
            <w:fldChar w:fldCharType="separate"/>
          </w:r>
          <w:r>
            <w:rPr>
              <w:rFonts w:hint="eastAsia" w:ascii="宋体" w:hAnsi="宋体" w:eastAsia="宋体" w:cs="宋体"/>
              <w:sz w:val="24"/>
              <w:szCs w:val="32"/>
            </w:rPr>
            <w:t>6</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7B9129B2">
          <w:pPr>
            <w:pStyle w:val="4"/>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_Toc24619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（3）法律法规</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_Toc24619 \h </w:instrText>
          </w:r>
          <w:r>
            <w:rPr>
              <w:rFonts w:hint="eastAsia" w:ascii="宋体" w:hAnsi="宋体" w:eastAsia="宋体" w:cs="宋体"/>
              <w:sz w:val="24"/>
              <w:szCs w:val="32"/>
            </w:rPr>
            <w:fldChar w:fldCharType="separate"/>
          </w:r>
          <w:r>
            <w:rPr>
              <w:rFonts w:hint="eastAsia" w:ascii="宋体" w:hAnsi="宋体" w:eastAsia="宋体" w:cs="宋体"/>
              <w:sz w:val="24"/>
              <w:szCs w:val="32"/>
            </w:rPr>
            <w:t>6</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1AB8F519">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_Toc26022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32"/>
            </w:rPr>
            <w:t>5.2 案例分析：人脸识别数据的隐私保护</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_Toc26022 \h </w:instrText>
          </w:r>
          <w:r>
            <w:rPr>
              <w:rFonts w:hint="eastAsia" w:ascii="宋体" w:hAnsi="宋体" w:eastAsia="宋体" w:cs="宋体"/>
              <w:sz w:val="24"/>
              <w:szCs w:val="32"/>
            </w:rPr>
            <w:fldChar w:fldCharType="separate"/>
          </w:r>
          <w:r>
            <w:rPr>
              <w:rFonts w:hint="eastAsia" w:ascii="宋体" w:hAnsi="宋体" w:eastAsia="宋体" w:cs="宋体"/>
              <w:sz w:val="24"/>
              <w:szCs w:val="32"/>
            </w:rPr>
            <w:t>6</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444BEA15">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_Toc2096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40"/>
            </w:rPr>
            <w:t>六、总结</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_Toc2096 \h </w:instrText>
          </w:r>
          <w:r>
            <w:rPr>
              <w:rFonts w:hint="eastAsia" w:ascii="宋体" w:hAnsi="宋体" w:eastAsia="宋体" w:cs="宋体"/>
              <w:sz w:val="24"/>
              <w:szCs w:val="32"/>
            </w:rPr>
            <w:fldChar w:fldCharType="separate"/>
          </w:r>
          <w:r>
            <w:rPr>
              <w:rFonts w:hint="eastAsia" w:ascii="宋体" w:hAnsi="宋体" w:eastAsia="宋体" w:cs="宋体"/>
              <w:sz w:val="24"/>
              <w:szCs w:val="32"/>
            </w:rPr>
            <w:t>7</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4596F8EF">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bCs w:val="0"/>
              <w:sz w:val="24"/>
              <w:szCs w:val="40"/>
            </w:rPr>
            <w:fldChar w:fldCharType="begin"/>
          </w:r>
          <w:r>
            <w:rPr>
              <w:rFonts w:hint="eastAsia" w:ascii="宋体" w:hAnsi="宋体" w:eastAsia="宋体" w:cs="宋体"/>
              <w:bCs w:val="0"/>
              <w:sz w:val="24"/>
              <w:szCs w:val="40"/>
            </w:rPr>
            <w:instrText xml:space="preserve"> HYPERLINK \l _Toc32651 </w:instrText>
          </w:r>
          <w:r>
            <w:rPr>
              <w:rFonts w:hint="eastAsia" w:ascii="宋体" w:hAnsi="宋体" w:eastAsia="宋体" w:cs="宋体"/>
              <w:bCs w:val="0"/>
              <w:sz w:val="24"/>
              <w:szCs w:val="40"/>
            </w:rPr>
            <w:fldChar w:fldCharType="separate"/>
          </w:r>
          <w:r>
            <w:rPr>
              <w:rFonts w:hint="eastAsia" w:ascii="宋体" w:hAnsi="宋体" w:eastAsia="宋体" w:cs="宋体"/>
              <w:bCs w:val="0"/>
              <w:sz w:val="24"/>
              <w:szCs w:val="40"/>
            </w:rPr>
            <w:t>参考文献</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_Toc32651 \h </w:instrText>
          </w:r>
          <w:r>
            <w:rPr>
              <w:rFonts w:hint="eastAsia" w:ascii="宋体" w:hAnsi="宋体" w:eastAsia="宋体" w:cs="宋体"/>
              <w:sz w:val="24"/>
              <w:szCs w:val="32"/>
            </w:rPr>
            <w:fldChar w:fldCharType="separate"/>
          </w:r>
          <w:r>
            <w:rPr>
              <w:rFonts w:hint="eastAsia" w:ascii="宋体" w:hAnsi="宋体" w:eastAsia="宋体" w:cs="宋体"/>
              <w:sz w:val="24"/>
              <w:szCs w:val="32"/>
            </w:rPr>
            <w:t>7</w:t>
          </w:r>
          <w:r>
            <w:rPr>
              <w:rFonts w:hint="eastAsia" w:ascii="宋体" w:hAnsi="宋体" w:eastAsia="宋体" w:cs="宋体"/>
              <w:sz w:val="24"/>
              <w:szCs w:val="32"/>
            </w:rPr>
            <w:fldChar w:fldCharType="end"/>
          </w:r>
          <w:r>
            <w:rPr>
              <w:rFonts w:hint="eastAsia" w:ascii="宋体" w:hAnsi="宋体" w:eastAsia="宋体" w:cs="宋体"/>
              <w:bCs w:val="0"/>
              <w:sz w:val="24"/>
              <w:szCs w:val="40"/>
            </w:rPr>
            <w:fldChar w:fldCharType="end"/>
          </w:r>
        </w:p>
        <w:p w14:paraId="7EADCE2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Cs w:val="0"/>
              <w:kern w:val="2"/>
              <w:sz w:val="21"/>
              <w:szCs w:val="32"/>
              <w:lang w:val="en-US" w:eastAsia="zh-CN" w:bidi="ar-SA"/>
            </w:rPr>
          </w:pPr>
          <w:r>
            <w:rPr>
              <w:rFonts w:hint="eastAsia" w:ascii="宋体" w:hAnsi="宋体" w:eastAsia="宋体" w:cs="宋体"/>
              <w:bCs w:val="0"/>
              <w:sz w:val="24"/>
              <w:szCs w:val="40"/>
            </w:rPr>
            <w:fldChar w:fldCharType="end"/>
          </w:r>
        </w:p>
      </w:sdtContent>
    </w:sdt>
    <w:p w14:paraId="76A49593">
      <w:pPr>
        <w:jc w:val="center"/>
        <w:rPr>
          <w:rFonts w:hint="eastAsia" w:ascii="黑体" w:hAnsi="黑体" w:eastAsia="黑体" w:cs="黑体"/>
          <w:bCs w:val="0"/>
          <w:kern w:val="2"/>
          <w:sz w:val="21"/>
          <w:szCs w:val="32"/>
          <w:lang w:val="en-US" w:eastAsia="zh-CN" w:bidi="ar-SA"/>
        </w:rPr>
        <w:sectPr>
          <w:pgSz w:w="11906" w:h="16838"/>
          <w:pgMar w:top="1440" w:right="1800" w:bottom="1440" w:left="1800" w:header="851" w:footer="992" w:gutter="0"/>
          <w:pgNumType w:fmt="decimal"/>
          <w:cols w:space="425" w:num="1"/>
          <w:docGrid w:type="lines" w:linePitch="312" w:charSpace="0"/>
        </w:sectPr>
      </w:pPr>
      <w:bookmarkStart w:id="28" w:name="_GoBack"/>
      <w:bookmarkEnd w:id="28"/>
    </w:p>
    <w:p w14:paraId="4802CABD">
      <w:pPr>
        <w:jc w:val="center"/>
        <w:outlineLvl w:val="0"/>
        <w:rPr>
          <w:rFonts w:hint="eastAsia" w:ascii="黑体" w:hAnsi="黑体" w:eastAsia="黑体" w:cs="黑体"/>
          <w:b w:val="0"/>
          <w:bCs w:val="0"/>
          <w:sz w:val="32"/>
          <w:szCs w:val="32"/>
        </w:rPr>
      </w:pPr>
      <w:bookmarkStart w:id="0" w:name="_Toc14141"/>
      <w:r>
        <w:rPr>
          <w:rFonts w:hint="eastAsia" w:ascii="黑体" w:hAnsi="黑体" w:eastAsia="黑体" w:cs="黑体"/>
          <w:b w:val="0"/>
          <w:bCs w:val="0"/>
          <w:sz w:val="32"/>
          <w:szCs w:val="32"/>
        </w:rPr>
        <w:t>大数据生命周期理论分析：从数据收集到安全保护</w:t>
      </w:r>
      <w:bookmarkEnd w:id="0"/>
    </w:p>
    <w:p w14:paraId="44D3F46E">
      <w:pPr>
        <w:jc w:val="both"/>
        <w:rPr>
          <w:rFonts w:hint="eastAsia" w:ascii="黑体" w:hAnsi="黑体" w:eastAsia="黑体" w:cs="黑体"/>
          <w:b w:val="0"/>
          <w:bCs w:val="0"/>
          <w:sz w:val="32"/>
          <w:szCs w:val="32"/>
        </w:rPr>
      </w:pPr>
    </w:p>
    <w:p w14:paraId="4973E2F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黑体" w:hAnsi="黑体" w:eastAsia="黑体" w:cs="黑体"/>
          <w:b w:val="0"/>
          <w:bCs w:val="0"/>
          <w:sz w:val="24"/>
          <w:szCs w:val="24"/>
        </w:rPr>
        <w:t>摘要：</w:t>
      </w:r>
      <w:r>
        <w:rPr>
          <w:rFonts w:hint="eastAsia" w:ascii="宋体" w:hAnsi="宋体" w:eastAsia="宋体" w:cs="宋体"/>
          <w:b w:val="0"/>
          <w:bCs w:val="0"/>
          <w:sz w:val="24"/>
          <w:szCs w:val="24"/>
        </w:rPr>
        <w:t>随着信息技术的迅猛发展，大数据已成为推动数字经济与智能决策的重要引擎。从互联网行为数据到物联网传感数据，从社交平台到金融系统，数据生命周期的每个阶段都蕴含着巨大的价值与潜在风险。本文基于大数据生命周期理论，系统探讨了数据收集、分析、处理与安全保护的核心环节，并结合电商、金融及医疗等典型领域进行案例研究。研究发现，科学的数据收集机制、高效的分析工具链、规范的处理流程与完善的安全体系共同构成了大数据治理的四大支柱。本文旨在为大数据管理与应用提供系统化视角与实践参考，促进数据驱动决策在社会各领域的可持续发展。</w:t>
      </w:r>
    </w:p>
    <w:p w14:paraId="3164A80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黑体" w:hAnsi="黑体" w:eastAsia="黑体" w:cs="黑体"/>
          <w:b w:val="0"/>
          <w:bCs w:val="0"/>
          <w:sz w:val="24"/>
          <w:szCs w:val="24"/>
        </w:rPr>
        <w:t>关键词：</w:t>
      </w:r>
      <w:r>
        <w:rPr>
          <w:rFonts w:hint="eastAsia" w:ascii="宋体" w:hAnsi="宋体" w:eastAsia="宋体" w:cs="宋体"/>
          <w:b w:val="0"/>
          <w:bCs w:val="0"/>
          <w:sz w:val="24"/>
          <w:szCs w:val="24"/>
        </w:rPr>
        <w:t>大数据生命周期；数据收集；数据分析；数据处理；数据安全；隐私保护</w:t>
      </w:r>
    </w:p>
    <w:p w14:paraId="1F4F5219">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宋体" w:hAnsi="宋体" w:eastAsia="宋体" w:cs="宋体"/>
          <w:b w:val="0"/>
          <w:bCs w:val="0"/>
          <w:sz w:val="32"/>
          <w:szCs w:val="32"/>
        </w:rPr>
      </w:pPr>
      <w:bookmarkStart w:id="1" w:name="_Toc480"/>
      <w:r>
        <w:rPr>
          <w:rFonts w:hint="eastAsia" w:ascii="宋体" w:hAnsi="宋体" w:eastAsia="宋体" w:cs="宋体"/>
          <w:b w:val="0"/>
          <w:bCs w:val="0"/>
          <w:sz w:val="32"/>
          <w:szCs w:val="32"/>
        </w:rPr>
        <w:t>一、引言</w:t>
      </w:r>
      <w:bookmarkEnd w:id="1"/>
    </w:p>
    <w:p w14:paraId="7B1A29C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21世纪的数字社会正以前所未有的速度被数据重塑。互联网、移动通信、物联网与人工智能技术的深度融合，使得数据成为驱动经济与社会运行的新型生产要素。据IDC（2023）预测，全球数据总量将在2025年突破175ZB，几乎相当于全球每人每天产生约1TB的数据。数据的激增不仅改写了企业的商业模式与科研的范式，也推动了国家治理、医疗健康、金融风控等领域的智能化与精准化转型。然而，大数据的真正价值并非仅源自其“体量庞大”，而在于能否通过科学的生命周期管理实现“数据—知识—决策”的有效转化。数据在产生、收集、存储、清洗、分析与安全保护等各阶段，都涉及复杂的技术体系与管理机制。任何环节的疏漏都可能导致数据偏差、隐私泄露或模型失真，从而引发系统性风险。因而，构建完整、闭环的大数据生命周期管理框架，已成为实现数据资产化与价值最大化的关键前提。本文将以生命周期理论为分析主线，系统论述大数据的四个核心阶段：数据收集、数据分析、数据处理与数据安全。通过对相关理论、主流技术及典型行业案例的梳理与探讨，本文旨在揭示大数据从“原始信息”到“智能决策”的转化机制，并为未来的数据治理实践提供理论依据与策略参考。</w:t>
      </w:r>
      <w:r>
        <w:rPr>
          <w:rFonts w:hint="eastAsia" w:ascii="宋体" w:hAnsi="宋体" w:eastAsia="宋体" w:cs="宋体"/>
          <w:b w:val="0"/>
          <w:bCs w:val="0"/>
          <w:sz w:val="24"/>
          <w:szCs w:val="24"/>
          <w:lang w:eastAsia="zh-CN"/>
        </w:rPr>
        <w:drawing>
          <wp:inline distT="0" distB="0" distL="114300" distR="114300">
            <wp:extent cx="2901950" cy="2040890"/>
            <wp:effectExtent l="0" t="0" r="12700" b="16510"/>
            <wp:docPr id="6" name="图片 6" descr="绘制环形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绘制环形流程图"/>
                    <pic:cNvPicPr>
                      <a:picLocks noChangeAspect="1"/>
                    </pic:cNvPicPr>
                  </pic:nvPicPr>
                  <pic:blipFill>
                    <a:blip r:embed="rId7"/>
                    <a:srcRect b="6235"/>
                    <a:stretch>
                      <a:fillRect/>
                    </a:stretch>
                  </pic:blipFill>
                  <pic:spPr>
                    <a:xfrm>
                      <a:off x="0" y="0"/>
                      <a:ext cx="2901950" cy="2040890"/>
                    </a:xfrm>
                    <a:prstGeom prst="rect">
                      <a:avLst/>
                    </a:prstGeom>
                  </pic:spPr>
                </pic:pic>
              </a:graphicData>
            </a:graphic>
          </wp:inline>
        </w:drawing>
      </w:r>
    </w:p>
    <w:p w14:paraId="08D29209">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0"/>
        <w:rPr>
          <w:rFonts w:hint="eastAsia" w:ascii="宋体" w:hAnsi="宋体" w:eastAsia="宋体" w:cs="宋体"/>
          <w:b w:val="0"/>
          <w:bCs w:val="0"/>
          <w:sz w:val="32"/>
          <w:szCs w:val="32"/>
        </w:rPr>
      </w:pPr>
      <w:bookmarkStart w:id="2" w:name="_Toc15279"/>
      <w:r>
        <w:rPr>
          <w:rFonts w:hint="eastAsia" w:ascii="宋体" w:hAnsi="宋体" w:eastAsia="宋体" w:cs="宋体"/>
          <w:b w:val="0"/>
          <w:bCs w:val="0"/>
          <w:sz w:val="32"/>
          <w:szCs w:val="32"/>
        </w:rPr>
        <w:t>二、数据收集</w:t>
      </w:r>
      <w:bookmarkEnd w:id="2"/>
    </w:p>
    <w:p w14:paraId="472732D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eastAsia="宋体" w:cs="宋体"/>
          <w:b w:val="0"/>
          <w:bCs w:val="0"/>
          <w:sz w:val="24"/>
          <w:szCs w:val="24"/>
        </w:rPr>
      </w:pPr>
      <w:bookmarkStart w:id="3" w:name="_Toc1800"/>
      <w:r>
        <w:rPr>
          <w:rFonts w:hint="eastAsia" w:ascii="宋体" w:hAnsi="宋体" w:eastAsia="宋体" w:cs="宋体"/>
          <w:b w:val="0"/>
          <w:bCs w:val="0"/>
          <w:sz w:val="24"/>
          <w:szCs w:val="24"/>
        </w:rPr>
        <w:t>2.1 理论分析</w:t>
      </w:r>
      <w:bookmarkEnd w:id="3"/>
    </w:p>
    <w:p w14:paraId="2FD5A3C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2"/>
        <w:rPr>
          <w:rFonts w:hint="eastAsia" w:ascii="宋体" w:hAnsi="宋体" w:eastAsia="宋体" w:cs="宋体"/>
          <w:b w:val="0"/>
          <w:bCs w:val="0"/>
          <w:sz w:val="24"/>
          <w:szCs w:val="24"/>
        </w:rPr>
      </w:pPr>
      <w:bookmarkStart w:id="4" w:name="_Toc10460"/>
      <w:r>
        <w:rPr>
          <w:rFonts w:hint="eastAsia" w:ascii="宋体" w:hAnsi="宋体" w:eastAsia="宋体" w:cs="宋体"/>
          <w:b w:val="0"/>
          <w:bCs w:val="0"/>
          <w:sz w:val="24"/>
          <w:szCs w:val="24"/>
        </w:rPr>
        <w:t>（1）大数据来源分类</w:t>
      </w:r>
      <w:bookmarkEnd w:id="4"/>
    </w:p>
    <w:p w14:paraId="2A3726A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大数据按结构特征可分为三类：结构化数据是指存储于关系型数据库中的规则化信息，如银行交易记录、库存清单等，具有固定的字段和格式；半结构化数据包括JSON、XML、日志等，具有一定结构但不完全固定</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非结构化数据则涵盖文本、图片、音频、视频、传感信号等，其数据形态复杂且体量庞大。据Gartner报告，非结构化数据已占全球数据总量的80%以上，成为信息挖掘的关键领域。</w:t>
      </w:r>
    </w:p>
    <w:p w14:paraId="043F3A78">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b w:val="0"/>
          <w:bCs w:val="0"/>
          <w:sz w:val="24"/>
          <w:szCs w:val="24"/>
        </w:rPr>
      </w:pPr>
      <w:bookmarkStart w:id="5" w:name="_Toc11572"/>
      <w:r>
        <w:rPr>
          <w:rFonts w:hint="eastAsia" w:ascii="宋体" w:hAnsi="宋体" w:eastAsia="宋体" w:cs="宋体"/>
          <w:b w:val="0"/>
          <w:bCs w:val="0"/>
          <w:sz w:val="24"/>
          <w:szCs w:val="24"/>
        </w:rPr>
        <w:t>（2）数据采集技术</w:t>
      </w:r>
      <w:bookmarkEnd w:id="5"/>
    </w:p>
    <w:p w14:paraId="345C956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数据采集是大数据生命周期的起点，其核心目标是高效、稳定地将多源异构数据导入系统。常见方式包括：</w:t>
      </w:r>
    </w:p>
    <w:p w14:paraId="340047A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网络爬虫：利用爬取算法从网页抓取文本、图像或评论数据，如电商平台用户评论分析；</w:t>
      </w:r>
    </w:p>
    <w:p w14:paraId="592A366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日志收集：应用服务器通过埋点或SDK自动记录用户行为日志；</w:t>
      </w:r>
    </w:p>
    <w:p w14:paraId="4C282D6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传感器数据采集：物联网设备通过MQTT或HTTP协议上传环境、位置或健康数据；</w:t>
      </w:r>
    </w:p>
    <w:p w14:paraId="5C52237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API接口调用：企业通过标准化API共享数据资源，实现跨系统互联。</w:t>
      </w:r>
    </w:p>
    <w:p w14:paraId="5CD2AEC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高效采集不仅依赖技术工具，还需数据治理框架支持，以确保合法合规。</w:t>
      </w:r>
    </w:p>
    <w:p w14:paraId="0EBFEC1A">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b w:val="0"/>
          <w:bCs w:val="0"/>
          <w:sz w:val="24"/>
          <w:szCs w:val="24"/>
        </w:rPr>
      </w:pPr>
      <w:bookmarkStart w:id="6" w:name="_Toc16993"/>
      <w:r>
        <w:rPr>
          <w:rFonts w:hint="eastAsia" w:ascii="宋体" w:hAnsi="宋体" w:eastAsia="宋体" w:cs="宋体"/>
          <w:b w:val="0"/>
          <w:bCs w:val="0"/>
          <w:sz w:val="24"/>
          <w:szCs w:val="24"/>
        </w:rPr>
        <w:t>（3）数据质量评估</w:t>
      </w:r>
      <w:bookmarkEnd w:id="6"/>
    </w:p>
    <w:p w14:paraId="5309687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数据质量直接决定后续分析的可信度。质量评估的核心维度包括：</w:t>
      </w:r>
    </w:p>
    <w:p w14:paraId="559EBEF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完整性（Completeness）：记录是否缺失关键信息；</w:t>
      </w:r>
    </w:p>
    <w:p w14:paraId="41B7997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一致性（Consistency）：不同来源数据是否逻辑匹配；</w:t>
      </w:r>
    </w:p>
    <w:p w14:paraId="3EBE3F2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准确性（Accuracy）：数据是否反映真实世界状态。</w:t>
      </w:r>
    </w:p>
    <w:p w14:paraId="67A85A8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常用技术包括数据剖析（Data Profiling）与统计抽样检测，通过异常值检测与重复值比对来衡量整体质量。</w:t>
      </w:r>
    </w:p>
    <w:p w14:paraId="29034A3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eastAsia="宋体" w:cs="宋体"/>
          <w:b w:val="0"/>
          <w:bCs w:val="0"/>
          <w:sz w:val="24"/>
          <w:szCs w:val="24"/>
        </w:rPr>
      </w:pPr>
      <w:bookmarkStart w:id="7" w:name="_Toc15664"/>
      <w:r>
        <w:rPr>
          <w:rFonts w:hint="eastAsia" w:ascii="宋体" w:hAnsi="宋体" w:eastAsia="宋体" w:cs="宋体"/>
          <w:b w:val="0"/>
          <w:bCs w:val="0"/>
          <w:sz w:val="24"/>
          <w:szCs w:val="24"/>
        </w:rPr>
        <w:t>2.2 案例分析：电商平台用户行为数据采集</w:t>
      </w:r>
      <w:bookmarkEnd w:id="7"/>
    </w:p>
    <w:p w14:paraId="6AB82AE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以淘宝为例，其大数据收集体系已形成覆盖用户“浏览—点击—加购—支付—评价”的全链路闭环。系统通过前后端协同，实现对用户行为的高精度、低延迟采集。在前端，淘宝广泛采用埋点技术（Event Tracking），即在网页端与移动端App中嵌入JavaScript代码或SDK模块，用以捕获用户每一次操作事件——包括页面点击、滚动、停留时长、搜索关键词与购物路径等。所有行为日志被即时打包并发送至后端数据流通道。</w:t>
      </w:r>
    </w:p>
    <w:p w14:paraId="26D083C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后端部分则构建在分布式消息中间件Kafka之上，Kafka负责接收与缓存海量日志数据，再经由Flume或Logstash等流式采集组件进行结构化转换与实时入库，确保数据传输的高吞吐与高可靠性。数据进入仓库前，会经过自动化的预处理流程：包括时间戳校准、字段标准化、异常记录剔除等步骤，以保证数据的时效性与一致性。</w:t>
      </w:r>
    </w:p>
    <w:p w14:paraId="5C5B87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为实现跨设备的统一识别，淘宝使用Cookie、Session ID及加密后的用户唯一标识符（UID）建立行为映射，从而整合用户在PC端、移动端乃至IoT设备上的多源数据。这种用户画像的精确构建，为后续的推荐系统与广告投放提供了算法基础。</w:t>
      </w:r>
    </w:p>
    <w:p w14:paraId="76E7E2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在数据合规层面，淘宝的数据采集遵循《个人信息保护法》和自身的《隐私政策》，用户在注册或使用过程中必须完成授权确认。所有采集数据在入库前均需进行脱敏处理（Desensitization）与匿名化存储（Anonymization），以降低隐私泄露风险。综上所述，淘宝的用户行为数据采集体系既展示了电商平台在技术层面的复杂性与系统化设计能力，也体现了当代大数据治理中对安全性、合法性与伦理边界的严格把控。</w:t>
      </w:r>
    </w:p>
    <w:p w14:paraId="1173D1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p>
    <w:p w14:paraId="08747D0E">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0"/>
        <w:rPr>
          <w:rFonts w:hint="eastAsia" w:ascii="宋体" w:hAnsi="宋体" w:eastAsia="宋体" w:cs="宋体"/>
          <w:b w:val="0"/>
          <w:bCs w:val="0"/>
          <w:sz w:val="32"/>
          <w:szCs w:val="32"/>
        </w:rPr>
      </w:pPr>
      <w:bookmarkStart w:id="8" w:name="_Toc31473"/>
      <w:r>
        <w:rPr>
          <w:rFonts w:hint="eastAsia" w:ascii="宋体" w:hAnsi="宋体" w:eastAsia="宋体" w:cs="宋体"/>
          <w:b w:val="0"/>
          <w:bCs w:val="0"/>
          <w:sz w:val="32"/>
          <w:szCs w:val="32"/>
        </w:rPr>
        <w:t>三、数据分析</w:t>
      </w:r>
      <w:bookmarkEnd w:id="8"/>
    </w:p>
    <w:p w14:paraId="65EDE9E0">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hint="eastAsia" w:ascii="宋体" w:hAnsi="宋体" w:eastAsia="宋体" w:cs="宋体"/>
          <w:b w:val="0"/>
          <w:bCs w:val="0"/>
          <w:sz w:val="24"/>
          <w:szCs w:val="24"/>
        </w:rPr>
      </w:pPr>
      <w:bookmarkStart w:id="9" w:name="_Toc24465"/>
      <w:r>
        <w:rPr>
          <w:rFonts w:hint="eastAsia" w:ascii="宋体" w:hAnsi="宋体" w:eastAsia="宋体" w:cs="宋体"/>
          <w:b w:val="0"/>
          <w:bCs w:val="0"/>
          <w:sz w:val="24"/>
          <w:szCs w:val="24"/>
        </w:rPr>
        <w:t>3.1 理论分析</w:t>
      </w:r>
      <w:bookmarkEnd w:id="9"/>
    </w:p>
    <w:p w14:paraId="240E8CC5">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b w:val="0"/>
          <w:bCs w:val="0"/>
          <w:sz w:val="24"/>
          <w:szCs w:val="24"/>
        </w:rPr>
      </w:pPr>
      <w:bookmarkStart w:id="10" w:name="_Toc7865"/>
      <w:r>
        <w:rPr>
          <w:rFonts w:hint="eastAsia" w:ascii="宋体" w:hAnsi="宋体" w:eastAsia="宋体" w:cs="宋体"/>
          <w:b w:val="0"/>
          <w:bCs w:val="0"/>
          <w:sz w:val="24"/>
          <w:szCs w:val="24"/>
        </w:rPr>
        <w:t>（1）数据分析方法</w:t>
      </w:r>
      <w:bookmarkEnd w:id="10"/>
    </w:p>
    <w:p w14:paraId="7AD6769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大数据分析可分为三类：</w:t>
      </w:r>
    </w:p>
    <w:p w14:paraId="129B8DA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描述性分析</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用于揭示历史数据特征，如销售趋势分析；</w:t>
      </w:r>
    </w:p>
    <w:p w14:paraId="39BE846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预测性分析</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利用机器学习模型预测未来行为，如消费倾向预测；</w:t>
      </w:r>
    </w:p>
    <w:p w14:paraId="11A63F5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关联分析</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通过统计方法揭示变量间潜在关系，如商品搭配购买规律。</w:t>
      </w:r>
    </w:p>
    <w:p w14:paraId="49FEC2D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三者形成从“知过去”到“预未来”的分析闭环。</w:t>
      </w:r>
    </w:p>
    <w:p w14:paraId="7E9CB54A">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b w:val="0"/>
          <w:bCs w:val="0"/>
          <w:sz w:val="24"/>
          <w:szCs w:val="24"/>
        </w:rPr>
      </w:pPr>
      <w:bookmarkStart w:id="11" w:name="_Toc1556"/>
      <w:r>
        <w:rPr>
          <w:rFonts w:hint="eastAsia" w:ascii="宋体" w:hAnsi="宋体" w:eastAsia="宋体" w:cs="宋体"/>
          <w:b w:val="0"/>
          <w:bCs w:val="0"/>
          <w:sz w:val="24"/>
          <w:szCs w:val="24"/>
        </w:rPr>
        <w:t>（2）分析工具链</w:t>
      </w:r>
      <w:bookmarkEnd w:id="11"/>
    </w:p>
    <w:p w14:paraId="0ACA1F0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主流大数据分析框架包括：</w:t>
      </w:r>
    </w:p>
    <w:p w14:paraId="7BC0CB6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Hadoop：分布式存储与批量处理的基石；</w:t>
      </w:r>
    </w:p>
    <w:p w14:paraId="22344E6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Spark：内存计算引擎，支持机器学习与图计算；</w:t>
      </w:r>
    </w:p>
    <w:p w14:paraId="238A557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Hive：提供类SQL查询接口，适合批量分析；</w:t>
      </w:r>
    </w:p>
    <w:p w14:paraId="19AE0AF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Pandas：Python数据分析利器，适用于轻量级实验与可视化前处理。</w:t>
      </w:r>
    </w:p>
    <w:p w14:paraId="73CF345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工具选择需结合数据规模与实时性要求。</w:t>
      </w:r>
    </w:p>
    <w:p w14:paraId="69633C1E">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b w:val="0"/>
          <w:bCs w:val="0"/>
          <w:sz w:val="24"/>
          <w:szCs w:val="24"/>
        </w:rPr>
      </w:pPr>
      <w:bookmarkStart w:id="12" w:name="_Toc24000"/>
      <w:r>
        <w:rPr>
          <w:rFonts w:hint="eastAsia" w:ascii="宋体" w:hAnsi="宋体" w:eastAsia="宋体" w:cs="宋体"/>
          <w:b w:val="0"/>
          <w:bCs w:val="0"/>
          <w:sz w:val="24"/>
          <w:szCs w:val="24"/>
        </w:rPr>
        <w:t>（3）数据可视化</w:t>
      </w:r>
      <w:bookmarkEnd w:id="12"/>
    </w:p>
    <w:p w14:paraId="34D2FF8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可视化是分析成果的表达手段。商业工具如Tableau、Power BI具备交互式仪表板功能；学术研究常用Matplotlib、Seaborn实现统计图绘制。数据可视化不仅传递信息，更促进认知发现，是数据故事化表达的重要环节。</w:t>
      </w:r>
    </w:p>
    <w:p w14:paraId="5530D92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eastAsia="宋体" w:cs="宋体"/>
          <w:b w:val="0"/>
          <w:bCs w:val="0"/>
          <w:sz w:val="24"/>
          <w:szCs w:val="24"/>
        </w:rPr>
      </w:pPr>
      <w:bookmarkStart w:id="13" w:name="_Toc30967"/>
      <w:r>
        <w:rPr>
          <w:rFonts w:hint="eastAsia" w:ascii="宋体" w:hAnsi="宋体" w:eastAsia="宋体" w:cs="宋体"/>
          <w:b w:val="0"/>
          <w:bCs w:val="0"/>
          <w:sz w:val="24"/>
          <w:szCs w:val="24"/>
        </w:rPr>
        <w:t>3.2 案例分析：金融风控中的欺诈识别</w:t>
      </w:r>
      <w:bookmarkEnd w:id="13"/>
    </w:p>
    <w:p w14:paraId="60EBEEF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在银行业，数据分析的核心任务之一是识别欺诈交易。某商业银行建立基于Spark的实时风控平台，利用历史交易数据训练随机森林模型（Random Forest），输入特征包括交易金额、地理位置、设备指纹与账户行为模式。当系统检测到与历史行为不符的异常交易时，模型输出高风险评分并触发人工审核。</w:t>
      </w:r>
    </w:p>
    <w:p w14:paraId="65A02A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此外，通过关联分析，银行发现部分账户间存在异常转账链路，从而揭示团伙欺诈。分析结果经可视化平台展示，为风险决策提供支持。该案例表明，大数据分析在金融风控中不仅能提高反欺诈精度，也体现了生命周期中“数据价值转化”的关键作用。</w:t>
      </w:r>
    </w:p>
    <w:p w14:paraId="482ACC1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p>
    <w:p w14:paraId="26021060">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0"/>
        <w:rPr>
          <w:rFonts w:hint="eastAsia" w:ascii="宋体" w:hAnsi="宋体" w:eastAsia="宋体" w:cs="宋体"/>
          <w:b w:val="0"/>
          <w:bCs w:val="0"/>
          <w:sz w:val="32"/>
          <w:szCs w:val="32"/>
        </w:rPr>
      </w:pPr>
      <w:bookmarkStart w:id="14" w:name="_Toc7758"/>
      <w:r>
        <w:rPr>
          <w:rFonts w:hint="eastAsia" w:ascii="宋体" w:hAnsi="宋体" w:eastAsia="宋体" w:cs="宋体"/>
          <w:b w:val="0"/>
          <w:bCs w:val="0"/>
          <w:sz w:val="32"/>
          <w:szCs w:val="32"/>
        </w:rPr>
        <w:t>四、数据处理</w:t>
      </w:r>
      <w:bookmarkEnd w:id="14"/>
    </w:p>
    <w:p w14:paraId="3A2E8D8E">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hint="eastAsia" w:ascii="宋体" w:hAnsi="宋体" w:eastAsia="宋体" w:cs="宋体"/>
          <w:b w:val="0"/>
          <w:bCs w:val="0"/>
          <w:sz w:val="24"/>
          <w:szCs w:val="24"/>
        </w:rPr>
      </w:pPr>
      <w:bookmarkStart w:id="15" w:name="_Toc28738"/>
      <w:r>
        <w:rPr>
          <w:rFonts w:hint="eastAsia" w:ascii="宋体" w:hAnsi="宋体" w:eastAsia="宋体" w:cs="宋体"/>
          <w:b w:val="0"/>
          <w:bCs w:val="0"/>
          <w:sz w:val="24"/>
          <w:szCs w:val="24"/>
        </w:rPr>
        <w:t>4.1 理论分析</w:t>
      </w:r>
      <w:bookmarkEnd w:id="15"/>
    </w:p>
    <w:p w14:paraId="5238FF6F">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b w:val="0"/>
          <w:bCs w:val="0"/>
          <w:sz w:val="24"/>
          <w:szCs w:val="24"/>
        </w:rPr>
      </w:pPr>
      <w:bookmarkStart w:id="16" w:name="_Toc32684"/>
      <w:r>
        <w:rPr>
          <w:rFonts w:hint="eastAsia" w:ascii="宋体" w:hAnsi="宋体" w:eastAsia="宋体" w:cs="宋体"/>
          <w:b w:val="0"/>
          <w:bCs w:val="0"/>
          <w:sz w:val="24"/>
          <w:szCs w:val="24"/>
        </w:rPr>
        <w:t>（1）数据清洗</w:t>
      </w:r>
      <w:bookmarkEnd w:id="16"/>
    </w:p>
    <w:p w14:paraId="1F8D1A3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数据清洗是保证分析质量的前提。常见处理包括：</w:t>
      </w:r>
    </w:p>
    <w:p w14:paraId="49B72281">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缺失值处理：删除、填补或插值；</w:t>
      </w:r>
    </w:p>
    <w:p w14:paraId="7E65422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异常值检测：基于箱线图或Z-score判定；</w:t>
      </w:r>
    </w:p>
    <w:p w14:paraId="1CC50D37">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重复值与噪声过滤：通过哈希或主键约束去重。</w:t>
      </w:r>
    </w:p>
    <w:p w14:paraId="7D55979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自动化清洗常依赖ETL（Extract–Transform–Load）框架完成。</w:t>
      </w:r>
    </w:p>
    <w:p w14:paraId="5F619283">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b w:val="0"/>
          <w:bCs w:val="0"/>
          <w:sz w:val="24"/>
          <w:szCs w:val="24"/>
        </w:rPr>
      </w:pPr>
      <w:bookmarkStart w:id="17" w:name="_Toc8206"/>
      <w:r>
        <w:rPr>
          <w:rFonts w:hint="eastAsia" w:ascii="宋体" w:hAnsi="宋体" w:eastAsia="宋体" w:cs="宋体"/>
          <w:b w:val="0"/>
          <w:bCs w:val="0"/>
          <w:sz w:val="24"/>
          <w:szCs w:val="24"/>
        </w:rPr>
        <w:t>（2）数据转换与集成</w:t>
      </w:r>
      <w:bookmarkEnd w:id="17"/>
    </w:p>
    <w:p w14:paraId="3F987D0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t>在ETL流程中，数据从多个源提取（Extract），经标准化、类型映射、单位换算等变换（Transform），最后加载（Load）入数据仓库。转换环节常涉及Schema Mapping与数据融合算法，确保多源数据的一致性。</w:t>
      </w:r>
    </w:p>
    <w:p w14:paraId="0EBC5623">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b w:val="0"/>
          <w:bCs w:val="0"/>
          <w:sz w:val="24"/>
          <w:szCs w:val="24"/>
        </w:rPr>
      </w:pPr>
      <w:bookmarkStart w:id="18" w:name="_Toc30644"/>
      <w:r>
        <w:rPr>
          <w:rFonts w:hint="eastAsia" w:ascii="宋体" w:hAnsi="宋体" w:eastAsia="宋体" w:cs="宋体"/>
          <w:b w:val="0"/>
          <w:bCs w:val="0"/>
          <w:sz w:val="24"/>
          <w:szCs w:val="24"/>
        </w:rPr>
        <w:t>（3）数据存储技术</w:t>
      </w:r>
      <w:bookmarkEnd w:id="18"/>
    </w:p>
    <w:p w14:paraId="16E8FB8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面对PB级数据量，传统关系数据库已难以支撑。分布式存储系统成为主流：</w:t>
      </w:r>
    </w:p>
    <w:p w14:paraId="72698327">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HDFS（Hadoop Distributed File System）提供高可靠性文件存储；</w:t>
      </w:r>
    </w:p>
    <w:p w14:paraId="3D5E21E4">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HBase支持随机读写与实时查询；</w:t>
      </w:r>
    </w:p>
    <w:p w14:paraId="6D4B9357">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NoSQL数据库（如MongoDB）适合非结构化数据管理。</w:t>
      </w:r>
    </w:p>
    <w:p w14:paraId="6B63FB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eastAsia="宋体" w:cs="宋体"/>
          <w:b w:val="0"/>
          <w:bCs w:val="0"/>
          <w:sz w:val="24"/>
          <w:szCs w:val="24"/>
        </w:rPr>
      </w:pPr>
      <w:bookmarkStart w:id="19" w:name="_Toc6223"/>
      <w:r>
        <w:rPr>
          <w:rFonts w:hint="eastAsia" w:ascii="宋体" w:hAnsi="宋体" w:eastAsia="宋体" w:cs="宋体"/>
          <w:b w:val="0"/>
          <w:bCs w:val="0"/>
          <w:sz w:val="24"/>
          <w:szCs w:val="24"/>
        </w:rPr>
        <w:t>4.2 案例分析：医疗大数据的电子病历处理</w:t>
      </w:r>
      <w:bookmarkEnd w:id="19"/>
    </w:p>
    <w:p w14:paraId="0E9F281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医疗行业的数据处理挑战集中于多样性与敏感性。以三甲医院电子病历（EMR）系统为例，其数据来源包括文字诊断记录、医学影像、检验报告与传感设备监测数据。</w:t>
      </w:r>
    </w:p>
    <w:p w14:paraId="2089B44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医院采用ETL管道将数据从HIS（医院信息系统）、LIS（实验室信息系统）与PACS（影像系统）中提取，通过规则引擎统一编码（如ICD-10标准），并在数据仓库中进行结构化存储。</w:t>
      </w:r>
    </w:p>
    <w:p w14:paraId="4835AF8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对于医学影像数据，采用HDFS分布式文件系统存储，同时配合元数据索引加速检索。数据清洗中使用异常检测算法识别重复报告与错误编码。</w:t>
      </w:r>
    </w:p>
    <w:p w14:paraId="403FB51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经处理后的数据用于科研分析与辅助诊断，为精准医疗提供基础。该案例说明，科学的数据处理体系是大数据分析可用性的根基。</w:t>
      </w:r>
    </w:p>
    <w:p w14:paraId="4417043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p>
    <w:p w14:paraId="3FDE9CCE">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0"/>
        <w:rPr>
          <w:rFonts w:hint="eastAsia" w:ascii="宋体" w:hAnsi="宋体" w:eastAsia="宋体" w:cs="宋体"/>
          <w:b w:val="0"/>
          <w:bCs w:val="0"/>
          <w:sz w:val="32"/>
          <w:szCs w:val="32"/>
        </w:rPr>
      </w:pPr>
      <w:bookmarkStart w:id="20" w:name="_Toc2568"/>
      <w:r>
        <w:rPr>
          <w:rFonts w:hint="eastAsia" w:ascii="宋体" w:hAnsi="宋体" w:eastAsia="宋体" w:cs="宋体"/>
          <w:b w:val="0"/>
          <w:bCs w:val="0"/>
          <w:sz w:val="32"/>
          <w:szCs w:val="32"/>
        </w:rPr>
        <w:t>五、数据安全</w:t>
      </w:r>
      <w:bookmarkEnd w:id="20"/>
    </w:p>
    <w:p w14:paraId="4F63E56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eastAsia="宋体" w:cs="宋体"/>
          <w:b w:val="0"/>
          <w:bCs w:val="0"/>
          <w:sz w:val="24"/>
          <w:szCs w:val="24"/>
        </w:rPr>
      </w:pPr>
      <w:bookmarkStart w:id="21" w:name="_Toc7087"/>
      <w:r>
        <w:rPr>
          <w:rFonts w:hint="eastAsia" w:ascii="宋体" w:hAnsi="宋体" w:eastAsia="宋体" w:cs="宋体"/>
          <w:b w:val="0"/>
          <w:bCs w:val="0"/>
          <w:sz w:val="24"/>
          <w:szCs w:val="24"/>
        </w:rPr>
        <w:t>5.1 理论分析</w:t>
      </w:r>
      <w:bookmarkEnd w:id="21"/>
    </w:p>
    <w:p w14:paraId="199C1F2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2"/>
        <w:rPr>
          <w:rFonts w:hint="eastAsia" w:ascii="宋体" w:hAnsi="宋体" w:eastAsia="宋体" w:cs="宋体"/>
          <w:b w:val="0"/>
          <w:bCs w:val="0"/>
          <w:sz w:val="24"/>
          <w:szCs w:val="24"/>
        </w:rPr>
      </w:pPr>
      <w:bookmarkStart w:id="22" w:name="_Toc19953"/>
      <w:r>
        <w:rPr>
          <w:rFonts w:hint="eastAsia" w:ascii="宋体" w:hAnsi="宋体" w:eastAsia="宋体" w:cs="宋体"/>
          <w:b w:val="0"/>
          <w:bCs w:val="0"/>
          <w:sz w:val="24"/>
          <w:szCs w:val="24"/>
        </w:rPr>
        <w:t>（1）数据安全威胁</w:t>
      </w:r>
      <w:bookmarkEnd w:id="22"/>
    </w:p>
    <w:p w14:paraId="34F3B58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随着数据开放与共享程度提升，安全风险日益凸显。主要威胁包括：</w:t>
      </w:r>
    </w:p>
    <w:p w14:paraId="22AB6282">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数据泄露：黑客攻击或内部失误导致敏感信息外泄；</w:t>
      </w:r>
    </w:p>
    <w:p w14:paraId="6E413D87">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数据篡改：攻击者修改关键数据影响决策结果；</w:t>
      </w:r>
    </w:p>
    <w:p w14:paraId="52806FA7">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未授权访问：用户越权或系统漏洞引发隐私暴露。</w:t>
      </w:r>
    </w:p>
    <w:p w14:paraId="065E8D4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2"/>
        <w:rPr>
          <w:rFonts w:hint="eastAsia" w:ascii="宋体" w:hAnsi="宋体" w:eastAsia="宋体" w:cs="宋体"/>
          <w:b w:val="0"/>
          <w:bCs w:val="0"/>
          <w:sz w:val="24"/>
          <w:szCs w:val="24"/>
        </w:rPr>
      </w:pPr>
      <w:bookmarkStart w:id="23" w:name="_Toc28281"/>
      <w:r>
        <w:rPr>
          <w:rFonts w:hint="eastAsia" w:ascii="宋体" w:hAnsi="宋体" w:eastAsia="宋体" w:cs="宋体"/>
          <w:b w:val="0"/>
          <w:bCs w:val="0"/>
          <w:sz w:val="24"/>
          <w:szCs w:val="24"/>
        </w:rPr>
        <w:t>（2）安全防护技术</w:t>
      </w:r>
      <w:bookmarkEnd w:id="23"/>
    </w:p>
    <w:p w14:paraId="0B76D22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主流安全措施包括：</w:t>
      </w:r>
    </w:p>
    <w:p w14:paraId="2A64CEC5">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加密技术：传输层加密（TLS）、存储加密（AES-256）确保数据机密性；</w:t>
      </w:r>
    </w:p>
    <w:p w14:paraId="011CC304">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访问控制：基于角色（RBAC）与属性（ABAC）的访问策略限制数据权限；</w:t>
      </w:r>
    </w:p>
    <w:p w14:paraId="4868646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1260" w:leftChars="0" w:hanging="420"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数据匿名化：通过脱敏、泛化与差分隐私技术实现可用与隐私的平衡。</w:t>
      </w:r>
    </w:p>
    <w:p w14:paraId="51EF8EF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其中，差分隐私（Differential Privacy）可在添加噪声的同时保持数据统计特征，是隐私保护的新趋势。</w:t>
      </w:r>
    </w:p>
    <w:p w14:paraId="2C83B1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2"/>
        <w:rPr>
          <w:rFonts w:hint="eastAsia" w:ascii="宋体" w:hAnsi="宋体" w:eastAsia="宋体" w:cs="宋体"/>
          <w:b w:val="0"/>
          <w:bCs w:val="0"/>
          <w:sz w:val="24"/>
          <w:szCs w:val="24"/>
        </w:rPr>
      </w:pPr>
      <w:bookmarkStart w:id="24" w:name="_Toc24619"/>
      <w:r>
        <w:rPr>
          <w:rFonts w:hint="eastAsia" w:ascii="宋体" w:hAnsi="宋体" w:eastAsia="宋体" w:cs="宋体"/>
          <w:b w:val="0"/>
          <w:bCs w:val="0"/>
          <w:sz w:val="24"/>
          <w:szCs w:val="24"/>
        </w:rPr>
        <w:t>（3）法律法规</w:t>
      </w:r>
      <w:bookmarkEnd w:id="24"/>
    </w:p>
    <w:p w14:paraId="5D229AF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在制度层面，欧盟《通用数据保护条例（GDPR）》与中国《数据安全法》《个人信息保护法》共同构建了全球数据治理框架。法律要求企业建立最小化收集原则与可追溯审计机制，确保数据处理的合法、正当、必要。</w:t>
      </w:r>
    </w:p>
    <w:p w14:paraId="4A36C7A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1"/>
        <w:rPr>
          <w:rFonts w:hint="eastAsia" w:ascii="宋体" w:hAnsi="宋体" w:eastAsia="宋体" w:cs="宋体"/>
          <w:b w:val="0"/>
          <w:bCs w:val="0"/>
          <w:sz w:val="24"/>
          <w:szCs w:val="24"/>
        </w:rPr>
      </w:pPr>
      <w:bookmarkStart w:id="25" w:name="_Toc26022"/>
      <w:r>
        <w:rPr>
          <w:rFonts w:hint="eastAsia" w:ascii="宋体" w:hAnsi="宋体" w:eastAsia="宋体" w:cs="宋体"/>
          <w:b w:val="0"/>
          <w:bCs w:val="0"/>
          <w:sz w:val="24"/>
          <w:szCs w:val="24"/>
        </w:rPr>
        <w:t>5.2 案例分析：人脸识别数据的隐私保护</w:t>
      </w:r>
      <w:bookmarkEnd w:id="25"/>
    </w:p>
    <w:p w14:paraId="41F3A4C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人脸识别技术在金融与公共安全领域广泛应用，但同时引发隐私争议。以某智能门禁系统为例，项目在部署前进行了隐私影响评估（PIA），识别潜在风险后，采用以下措施：</w:t>
      </w:r>
    </w:p>
    <w:p w14:paraId="76D1940E">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1265" w:leftChars="0" w:hanging="425"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本地加密存储：人脸特征值采用AES加密，原始图像即刻销毁；</w:t>
      </w:r>
    </w:p>
    <w:p w14:paraId="424FD304">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1265" w:leftChars="0" w:hanging="425"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匿名化处理：在云端训练模型时，仅使用去标识化后的特征向量；</w:t>
      </w:r>
    </w:p>
    <w:p w14:paraId="326262D8">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1265" w:leftChars="0" w:hanging="425"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访问审计机制：所有数据访问记录留痕，异常操作自动报警；</w:t>
      </w:r>
    </w:p>
    <w:p w14:paraId="785491BD">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1265" w:leftChars="0" w:hanging="425"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合规治理：依据《数据安全法》建立数据分类分级制度，高敏感级数据仅限授权访问。</w:t>
      </w:r>
    </w:p>
    <w:p w14:paraId="2389D91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这一体系有效实现了“可用不可识别”的目标，兼顾技术创新与隐私安全。</w:t>
      </w:r>
    </w:p>
    <w:p w14:paraId="05E875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p>
    <w:p w14:paraId="733B0440">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0"/>
        <w:rPr>
          <w:rFonts w:hint="eastAsia" w:ascii="宋体" w:hAnsi="宋体" w:eastAsia="宋体" w:cs="宋体"/>
          <w:b w:val="0"/>
          <w:bCs w:val="0"/>
          <w:sz w:val="32"/>
          <w:szCs w:val="32"/>
        </w:rPr>
      </w:pPr>
      <w:bookmarkStart w:id="26" w:name="_Toc2096"/>
      <w:r>
        <w:rPr>
          <w:rFonts w:hint="eastAsia" w:ascii="宋体" w:hAnsi="宋体" w:eastAsia="宋体" w:cs="宋体"/>
          <w:b w:val="0"/>
          <w:bCs w:val="0"/>
          <w:sz w:val="32"/>
          <w:szCs w:val="32"/>
        </w:rPr>
        <w:t>六、总结</w:t>
      </w:r>
      <w:bookmarkEnd w:id="26"/>
    </w:p>
    <w:p w14:paraId="236940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大数据技术的发展正深刻改变着社会运行的底层逻辑。从数据的产生、收集、处理到安全防护，整个生命周期形成了一个自我演化的闭环系统，其核心价值不再仅是“数据量的巨大”，而在于如何通过科学的管理与分析，将杂乱的原始数据转化为可解释、可决策的知识资产。数据生命周期的每一阶段——从采集的精准性、处理的规范性，到分析的智能化与安全的体系化——都在决定大数据应用的实际成效。</w:t>
      </w:r>
    </w:p>
    <w:p w14:paraId="5E75DC7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未来的大数据生态将呈现出更高层次的智能融合特征：边缘计算与云计算的协同使数据处理更具实时性，人工智能算法的引入则让数据分析具备自学习与动态优化能力；与此同时，隐私计算、区块链溯源等技术将成为保障数据安全与合规的重要支撑。可以预见，大数据的发展方向将从“规模驱动”走向“价值驱动”，从“集中式分析”迈向“分布式智能决策”。在这一过程中，如何在数据利用与隐私保护之间取得动态平衡，将成为未来数据治理体系的核心命题。</w:t>
      </w:r>
    </w:p>
    <w:p w14:paraId="64C6891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p>
    <w:p w14:paraId="2F7C55EA">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0"/>
        <w:rPr>
          <w:rFonts w:hint="eastAsia" w:ascii="宋体" w:hAnsi="宋体" w:eastAsia="宋体" w:cs="宋体"/>
          <w:b w:val="0"/>
          <w:bCs w:val="0"/>
          <w:sz w:val="32"/>
          <w:szCs w:val="32"/>
        </w:rPr>
      </w:pPr>
      <w:bookmarkStart w:id="27" w:name="_Toc32651"/>
      <w:r>
        <w:rPr>
          <w:rFonts w:hint="eastAsia" w:ascii="宋体" w:hAnsi="宋体" w:eastAsia="宋体" w:cs="宋体"/>
          <w:b w:val="0"/>
          <w:bCs w:val="0"/>
          <w:sz w:val="32"/>
          <w:szCs w:val="32"/>
        </w:rPr>
        <w:t>参考文献</w:t>
      </w:r>
      <w:bookmarkEnd w:id="27"/>
    </w:p>
    <w:p w14:paraId="705B659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 Chen, M., Mao, S., &amp; Liu, Y. (2014). Big Data: A Survey. Mobile Networks and Applications, 19(2), 171–209.</w:t>
      </w:r>
    </w:p>
    <w:p w14:paraId="2530B0C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 王晓明, 李俊. (2022). 大数据生命周期管理研究综述. 情报科学, 40(3), 45–53.</w:t>
      </w:r>
    </w:p>
    <w:p w14:paraId="6422923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 刘洋, 赵凯. (2021). 医疗大数据的隐私保护机制研究. 计算机安全, 37(8), 23–30.</w:t>
      </w:r>
    </w:p>
    <w:p w14:paraId="047D667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 IDC Report. (2023). Global DataSphere Forecast 2023–2027. IDC Research.</w:t>
      </w:r>
    </w:p>
    <w:p w14:paraId="0C6CC13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rPr>
        <w:sectPr>
          <w:footerReference r:id="rId3" w:type="default"/>
          <w:pgSz w:w="11906" w:h="16838"/>
          <w:pgMar w:top="1440" w:right="1800" w:bottom="1440" w:left="1800" w:header="851" w:footer="992" w:gutter="0"/>
          <w:pgNumType w:fmt="decimal" w:start="1"/>
          <w:cols w:space="425" w:num="1"/>
          <w:docGrid w:type="lines" w:linePitch="312" w:charSpace="0"/>
        </w:sectPr>
      </w:pPr>
      <w:r>
        <w:rPr>
          <w:rFonts w:hint="eastAsia" w:ascii="宋体" w:hAnsi="宋体" w:eastAsia="宋体" w:cs="宋体"/>
          <w:b w:val="0"/>
          <w:bCs w:val="0"/>
          <w:sz w:val="24"/>
          <w:szCs w:val="24"/>
        </w:rPr>
        <w:t>[5] 欧盟委员会. (2018). 《通用数据保护条例（GDPR）》.</w:t>
      </w:r>
    </w:p>
    <w:p w14:paraId="2BB68448">
      <w:pPr>
        <w:pStyle w:val="5"/>
        <w:jc w:val="left"/>
        <w:rPr>
          <w:rFonts w:hint="eastAsia"/>
          <w:u w:val="single"/>
        </w:rPr>
      </w:pPr>
      <w:r>
        <w:rPr>
          <w:rFonts w:ascii="黑体" w:eastAsia="黑体"/>
          <w:sz w:val="24"/>
        </w:rPr>
        <w:drawing>
          <wp:inline distT="0" distB="0" distL="114300" distR="114300">
            <wp:extent cx="2903855" cy="899795"/>
            <wp:effectExtent l="0" t="0" r="4445" b="1905"/>
            <wp:docPr id="8" name="图片 8" descr="a3758d927ebc43374420d0555ef8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3758d927ebc43374420d0555ef8340"/>
                    <pic:cNvPicPr>
                      <a:picLocks noChangeAspect="1"/>
                    </pic:cNvPicPr>
                  </pic:nvPicPr>
                  <pic:blipFill>
                    <a:blip r:embed="rId6"/>
                    <a:stretch>
                      <a:fillRect/>
                    </a:stretch>
                  </pic:blipFill>
                  <pic:spPr>
                    <a:xfrm>
                      <a:off x="0" y="0"/>
                      <a:ext cx="2903855" cy="899795"/>
                    </a:xfrm>
                    <a:prstGeom prst="rect">
                      <a:avLst/>
                    </a:prstGeom>
                    <a:noFill/>
                    <a:ln>
                      <a:noFill/>
                    </a:ln>
                  </pic:spPr>
                </pic:pic>
              </a:graphicData>
            </a:graphic>
          </wp:inline>
        </w:drawing>
      </w:r>
      <w:r>
        <w:rPr>
          <w:rFonts w:ascii="黑体" w:eastAsia="黑体"/>
          <w:sz w:val="24"/>
        </w:rPr>
        <w:t xml:space="preserve">      </w:t>
      </w:r>
      <w:r>
        <w:rPr>
          <w:rFonts w:hint="eastAsia" w:ascii="黑体" w:eastAsia="黑体"/>
          <w:sz w:val="36"/>
        </w:rPr>
        <w:t>《</w:t>
      </w:r>
      <w:r>
        <w:rPr>
          <w:rFonts w:hint="eastAsia" w:ascii="黑体" w:eastAsia="黑体"/>
          <w:sz w:val="36"/>
          <w:lang w:val="en-US" w:eastAsia="zh-CN"/>
        </w:rPr>
        <w:t>大数据导论</w:t>
      </w:r>
      <w:r>
        <w:rPr>
          <w:rFonts w:hint="eastAsia" w:ascii="黑体" w:eastAsia="黑体"/>
          <w:sz w:val="36"/>
        </w:rPr>
        <w:t>》论文</w:t>
      </w:r>
    </w:p>
    <w:tbl>
      <w:tblPr>
        <w:tblStyle w:val="10"/>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0"/>
        <w:gridCol w:w="1083"/>
        <w:gridCol w:w="1080"/>
        <w:gridCol w:w="1605"/>
        <w:gridCol w:w="1080"/>
        <w:gridCol w:w="1455"/>
        <w:gridCol w:w="740"/>
        <w:gridCol w:w="1971"/>
      </w:tblGrid>
      <w:tr w14:paraId="3810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840" w:type="dxa"/>
            <w:noWrap w:val="0"/>
            <w:vAlign w:val="top"/>
          </w:tcPr>
          <w:p w14:paraId="4BF117D8">
            <w:pPr>
              <w:pStyle w:val="5"/>
              <w:spacing w:before="93" w:beforeLines="30"/>
              <w:jc w:val="center"/>
              <w:rPr>
                <w:rFonts w:hint="eastAsia"/>
              </w:rPr>
            </w:pPr>
            <w:r>
              <w:rPr>
                <w:rFonts w:hint="eastAsia"/>
              </w:rPr>
              <w:t>学号</w:t>
            </w:r>
          </w:p>
        </w:tc>
        <w:tc>
          <w:tcPr>
            <w:tcW w:w="1083" w:type="dxa"/>
            <w:noWrap w:val="0"/>
            <w:vAlign w:val="top"/>
          </w:tcPr>
          <w:p w14:paraId="3E4BEFA8">
            <w:pPr>
              <w:pStyle w:val="5"/>
              <w:spacing w:before="93" w:beforeLines="30"/>
              <w:jc w:val="center"/>
              <w:rPr>
                <w:rFonts w:hint="default" w:eastAsiaTheme="minorEastAsia"/>
                <w:lang w:val="en-US" w:eastAsia="zh-CN"/>
              </w:rPr>
            </w:pPr>
            <w:r>
              <w:rPr>
                <w:rFonts w:hint="eastAsia"/>
                <w:lang w:val="en-US" w:eastAsia="zh-CN"/>
              </w:rPr>
              <w:t>02229055</w:t>
            </w:r>
          </w:p>
        </w:tc>
        <w:tc>
          <w:tcPr>
            <w:tcW w:w="1080" w:type="dxa"/>
            <w:noWrap w:val="0"/>
            <w:vAlign w:val="top"/>
          </w:tcPr>
          <w:p w14:paraId="79CBB15B">
            <w:pPr>
              <w:pStyle w:val="5"/>
              <w:spacing w:before="93" w:beforeLines="30"/>
              <w:jc w:val="center"/>
              <w:rPr>
                <w:rFonts w:hint="eastAsia"/>
              </w:rPr>
            </w:pPr>
            <w:r>
              <w:rPr>
                <w:rFonts w:hint="eastAsia"/>
              </w:rPr>
              <w:t>学生姓名</w:t>
            </w:r>
          </w:p>
        </w:tc>
        <w:tc>
          <w:tcPr>
            <w:tcW w:w="1605" w:type="dxa"/>
            <w:noWrap w:val="0"/>
            <w:vAlign w:val="top"/>
          </w:tcPr>
          <w:p w14:paraId="1E40A85D">
            <w:pPr>
              <w:pStyle w:val="5"/>
              <w:spacing w:before="93" w:beforeLines="30"/>
              <w:jc w:val="center"/>
              <w:rPr>
                <w:rFonts w:hint="default" w:eastAsiaTheme="minorEastAsia"/>
                <w:lang w:val="en-US" w:eastAsia="zh-CN"/>
              </w:rPr>
            </w:pPr>
            <w:r>
              <w:rPr>
                <w:rFonts w:hint="eastAsia"/>
                <w:lang w:val="en-US" w:eastAsia="zh-CN"/>
              </w:rPr>
              <w:t>刘国轩</w:t>
            </w:r>
          </w:p>
        </w:tc>
        <w:tc>
          <w:tcPr>
            <w:tcW w:w="1080" w:type="dxa"/>
            <w:noWrap w:val="0"/>
            <w:vAlign w:val="top"/>
          </w:tcPr>
          <w:p w14:paraId="64F7384C">
            <w:pPr>
              <w:pStyle w:val="5"/>
              <w:spacing w:before="93" w:beforeLines="30"/>
              <w:jc w:val="center"/>
              <w:rPr>
                <w:rFonts w:hint="eastAsia"/>
              </w:rPr>
            </w:pPr>
            <w:r>
              <w:rPr>
                <w:rFonts w:hint="eastAsia"/>
              </w:rPr>
              <w:t>学院</w:t>
            </w:r>
          </w:p>
        </w:tc>
        <w:tc>
          <w:tcPr>
            <w:tcW w:w="1455" w:type="dxa"/>
            <w:noWrap w:val="0"/>
            <w:vAlign w:val="top"/>
          </w:tcPr>
          <w:p w14:paraId="190900CC">
            <w:pPr>
              <w:pStyle w:val="5"/>
              <w:spacing w:before="93" w:beforeLines="30"/>
              <w:jc w:val="center"/>
              <w:rPr>
                <w:rFonts w:hint="default" w:eastAsiaTheme="minorEastAsia"/>
                <w:lang w:val="en-US" w:eastAsia="zh-CN"/>
              </w:rPr>
            </w:pPr>
            <w:r>
              <w:rPr>
                <w:rFonts w:hint="eastAsia"/>
                <w:lang w:val="en-US" w:eastAsia="zh-CN"/>
              </w:rPr>
              <w:t>信息工程</w:t>
            </w:r>
          </w:p>
        </w:tc>
        <w:tc>
          <w:tcPr>
            <w:tcW w:w="740" w:type="dxa"/>
            <w:noWrap w:val="0"/>
            <w:vAlign w:val="top"/>
          </w:tcPr>
          <w:p w14:paraId="611108AB">
            <w:pPr>
              <w:pStyle w:val="5"/>
              <w:spacing w:before="93" w:beforeLines="30"/>
              <w:jc w:val="center"/>
              <w:rPr>
                <w:rFonts w:hint="eastAsia"/>
              </w:rPr>
            </w:pPr>
            <w:r>
              <w:rPr>
                <w:rFonts w:hint="eastAsia"/>
              </w:rPr>
              <w:t>专业</w:t>
            </w:r>
          </w:p>
        </w:tc>
        <w:tc>
          <w:tcPr>
            <w:tcW w:w="1971" w:type="dxa"/>
            <w:noWrap w:val="0"/>
            <w:vAlign w:val="top"/>
          </w:tcPr>
          <w:p w14:paraId="30C12BF2">
            <w:pPr>
              <w:pStyle w:val="5"/>
              <w:spacing w:before="93" w:beforeLines="30"/>
              <w:jc w:val="center"/>
              <w:rPr>
                <w:rFonts w:hint="eastAsia" w:eastAsiaTheme="minorEastAsia"/>
                <w:lang w:val="en-US" w:eastAsia="zh-CN"/>
              </w:rPr>
            </w:pPr>
            <w:r>
              <w:rPr>
                <w:rFonts w:hint="eastAsia"/>
                <w:lang w:val="en-US" w:eastAsia="zh-CN"/>
              </w:rPr>
              <w:t>软件工程</w:t>
            </w:r>
          </w:p>
        </w:tc>
      </w:tr>
      <w:tr w14:paraId="412D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0" w:type="dxa"/>
            <w:noWrap w:val="0"/>
            <w:vAlign w:val="top"/>
          </w:tcPr>
          <w:p w14:paraId="2C179DC2">
            <w:pPr>
              <w:pStyle w:val="5"/>
              <w:spacing w:before="93" w:beforeLines="30"/>
              <w:jc w:val="center"/>
              <w:rPr>
                <w:rFonts w:hint="eastAsia"/>
              </w:rPr>
            </w:pPr>
            <w:r>
              <w:rPr>
                <w:rFonts w:hint="eastAsia"/>
              </w:rPr>
              <w:t>年级</w:t>
            </w:r>
          </w:p>
        </w:tc>
        <w:tc>
          <w:tcPr>
            <w:tcW w:w="1083" w:type="dxa"/>
            <w:noWrap w:val="0"/>
            <w:vAlign w:val="top"/>
          </w:tcPr>
          <w:p w14:paraId="27966649">
            <w:pPr>
              <w:pStyle w:val="5"/>
              <w:spacing w:before="93" w:beforeLines="30"/>
              <w:jc w:val="center"/>
              <w:rPr>
                <w:rFonts w:hint="default" w:eastAsiaTheme="minorEastAsia"/>
                <w:lang w:val="en-US" w:eastAsia="zh-CN"/>
              </w:rPr>
            </w:pPr>
            <w:r>
              <w:rPr>
                <w:rFonts w:hint="eastAsia"/>
                <w:lang w:val="en-US" w:eastAsia="zh-CN"/>
              </w:rPr>
              <w:t>2022</w:t>
            </w:r>
          </w:p>
        </w:tc>
        <w:tc>
          <w:tcPr>
            <w:tcW w:w="1080" w:type="dxa"/>
            <w:noWrap w:val="0"/>
            <w:vAlign w:val="top"/>
          </w:tcPr>
          <w:p w14:paraId="4A6E6952">
            <w:pPr>
              <w:pStyle w:val="5"/>
              <w:spacing w:before="93" w:beforeLines="30"/>
              <w:jc w:val="center"/>
              <w:rPr>
                <w:rFonts w:hint="eastAsia"/>
              </w:rPr>
            </w:pPr>
            <w:r>
              <w:rPr>
                <w:rFonts w:hint="eastAsia"/>
              </w:rPr>
              <w:t>任课教师</w:t>
            </w:r>
          </w:p>
        </w:tc>
        <w:tc>
          <w:tcPr>
            <w:tcW w:w="1605" w:type="dxa"/>
            <w:noWrap w:val="0"/>
            <w:vAlign w:val="top"/>
          </w:tcPr>
          <w:p w14:paraId="6BBE451E">
            <w:pPr>
              <w:pStyle w:val="5"/>
              <w:spacing w:before="93" w:beforeLines="30"/>
              <w:jc w:val="center"/>
              <w:rPr>
                <w:rFonts w:hint="eastAsia" w:eastAsiaTheme="minorEastAsia"/>
                <w:lang w:val="en-US" w:eastAsia="zh-CN"/>
              </w:rPr>
            </w:pPr>
            <w:r>
              <w:rPr>
                <w:rFonts w:hint="eastAsia"/>
                <w:lang w:val="en-US" w:eastAsia="zh-CN"/>
              </w:rPr>
              <w:t>王强</w:t>
            </w:r>
          </w:p>
        </w:tc>
        <w:tc>
          <w:tcPr>
            <w:tcW w:w="1080" w:type="dxa"/>
            <w:noWrap w:val="0"/>
            <w:vAlign w:val="top"/>
          </w:tcPr>
          <w:p w14:paraId="149928D0">
            <w:pPr>
              <w:pStyle w:val="5"/>
              <w:spacing w:before="93" w:beforeLines="30"/>
              <w:jc w:val="center"/>
              <w:rPr>
                <w:rFonts w:hint="eastAsia"/>
              </w:rPr>
            </w:pPr>
            <w:r>
              <w:rPr>
                <w:rFonts w:hint="eastAsia"/>
              </w:rPr>
              <w:t>论文题目</w:t>
            </w:r>
          </w:p>
        </w:tc>
        <w:tc>
          <w:tcPr>
            <w:tcW w:w="4166" w:type="dxa"/>
            <w:gridSpan w:val="3"/>
            <w:noWrap w:val="0"/>
            <w:vAlign w:val="top"/>
          </w:tcPr>
          <w:p w14:paraId="684A0649">
            <w:pPr>
              <w:pStyle w:val="5"/>
              <w:spacing w:before="93" w:beforeLines="30"/>
              <w:jc w:val="center"/>
              <w:rPr>
                <w:rFonts w:hint="default" w:eastAsiaTheme="minorEastAsia"/>
                <w:lang w:val="en-US" w:eastAsia="zh-CN"/>
              </w:rPr>
            </w:pPr>
            <w:r>
              <w:rPr>
                <w:rFonts w:hint="eastAsia"/>
                <w:lang w:val="en-US" w:eastAsia="zh-CN"/>
              </w:rPr>
              <w:t>大数据生命周期理论分析</w:t>
            </w:r>
          </w:p>
        </w:tc>
      </w:tr>
      <w:tr w14:paraId="0DD81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97" w:hRule="atLeast"/>
        </w:trPr>
        <w:tc>
          <w:tcPr>
            <w:tcW w:w="9854" w:type="dxa"/>
            <w:gridSpan w:val="8"/>
            <w:noWrap w:val="0"/>
            <w:vAlign w:val="top"/>
          </w:tcPr>
          <w:p w14:paraId="1DBB53B8">
            <w:pPr>
              <w:pStyle w:val="5"/>
              <w:spacing w:before="93" w:beforeLines="30"/>
              <w:jc w:val="left"/>
              <w:rPr>
                <w:rFonts w:hint="eastAsia"/>
              </w:rPr>
            </w:pPr>
            <w:r>
              <w:rPr>
                <w:rFonts w:hint="eastAsia"/>
              </w:rPr>
              <w:t>任课教师意见及总体评价：</w:t>
            </w:r>
          </w:p>
          <w:p w14:paraId="11310466">
            <w:pPr>
              <w:pStyle w:val="5"/>
              <w:spacing w:before="93" w:beforeLines="30"/>
              <w:jc w:val="left"/>
              <w:rPr>
                <w:rFonts w:hint="eastAsia"/>
              </w:rPr>
            </w:pPr>
          </w:p>
          <w:p w14:paraId="6D49F161">
            <w:pPr>
              <w:pStyle w:val="5"/>
              <w:spacing w:before="93" w:beforeLines="30"/>
              <w:jc w:val="left"/>
              <w:rPr>
                <w:rFonts w:hint="eastAsia"/>
              </w:rPr>
            </w:pPr>
          </w:p>
          <w:p w14:paraId="48FBD7AA">
            <w:pPr>
              <w:pStyle w:val="5"/>
              <w:spacing w:before="93" w:beforeLines="30"/>
              <w:jc w:val="left"/>
              <w:rPr>
                <w:rFonts w:hint="eastAsia"/>
              </w:rPr>
            </w:pPr>
          </w:p>
          <w:p w14:paraId="734CECFA">
            <w:pPr>
              <w:pStyle w:val="5"/>
              <w:spacing w:before="93" w:beforeLines="30"/>
              <w:jc w:val="left"/>
              <w:rPr>
                <w:rFonts w:hint="eastAsia"/>
              </w:rPr>
            </w:pPr>
          </w:p>
          <w:p w14:paraId="1C475E78">
            <w:pPr>
              <w:pStyle w:val="5"/>
              <w:spacing w:before="93" w:beforeLines="30"/>
              <w:jc w:val="left"/>
              <w:rPr>
                <w:rFonts w:hint="eastAsia"/>
              </w:rPr>
            </w:pPr>
          </w:p>
          <w:p w14:paraId="649F9E60">
            <w:pPr>
              <w:pStyle w:val="5"/>
              <w:spacing w:before="93" w:beforeLines="30"/>
              <w:jc w:val="left"/>
              <w:rPr>
                <w:rFonts w:hint="eastAsia"/>
              </w:rPr>
            </w:pPr>
          </w:p>
          <w:p w14:paraId="4B04475C">
            <w:pPr>
              <w:pStyle w:val="5"/>
              <w:spacing w:before="93" w:beforeLines="30"/>
              <w:jc w:val="left"/>
              <w:rPr>
                <w:rFonts w:hint="eastAsia"/>
              </w:rPr>
            </w:pPr>
          </w:p>
          <w:p w14:paraId="73F7CC35">
            <w:pPr>
              <w:pStyle w:val="5"/>
              <w:spacing w:before="93" w:beforeLines="30"/>
              <w:jc w:val="left"/>
              <w:rPr>
                <w:rFonts w:hint="eastAsia"/>
              </w:rPr>
            </w:pPr>
          </w:p>
          <w:p w14:paraId="43EBE26A">
            <w:pPr>
              <w:pStyle w:val="5"/>
              <w:spacing w:before="93" w:beforeLines="30"/>
              <w:jc w:val="left"/>
              <w:rPr>
                <w:rFonts w:hint="eastAsia"/>
              </w:rPr>
            </w:pPr>
          </w:p>
          <w:p w14:paraId="1B164BB5">
            <w:pPr>
              <w:pStyle w:val="5"/>
              <w:spacing w:before="93" w:beforeLines="30"/>
              <w:jc w:val="left"/>
              <w:rPr>
                <w:rFonts w:hint="eastAsia"/>
              </w:rPr>
            </w:pPr>
          </w:p>
          <w:p w14:paraId="286DDBCC">
            <w:pPr>
              <w:pStyle w:val="5"/>
              <w:spacing w:before="93" w:beforeLines="30"/>
              <w:jc w:val="left"/>
              <w:rPr>
                <w:rFonts w:hint="eastAsia"/>
              </w:rPr>
            </w:pPr>
          </w:p>
          <w:p w14:paraId="0B99CFFD">
            <w:pPr>
              <w:pStyle w:val="5"/>
              <w:spacing w:before="93" w:beforeLines="30"/>
              <w:jc w:val="left"/>
              <w:rPr>
                <w:rFonts w:hint="eastAsia"/>
              </w:rPr>
            </w:pPr>
          </w:p>
          <w:p w14:paraId="171A9525">
            <w:pPr>
              <w:pStyle w:val="5"/>
              <w:spacing w:before="93" w:beforeLines="30"/>
              <w:jc w:val="left"/>
              <w:rPr>
                <w:rFonts w:hint="eastAsia"/>
              </w:rPr>
            </w:pPr>
          </w:p>
          <w:p w14:paraId="1F17978E">
            <w:pPr>
              <w:pStyle w:val="5"/>
              <w:spacing w:before="93" w:beforeLines="30"/>
              <w:jc w:val="left"/>
              <w:rPr>
                <w:rFonts w:hint="eastAsia"/>
              </w:rPr>
            </w:pPr>
          </w:p>
          <w:p w14:paraId="2C91C160">
            <w:pPr>
              <w:pStyle w:val="5"/>
              <w:spacing w:before="93" w:beforeLines="30"/>
              <w:jc w:val="left"/>
              <w:rPr>
                <w:rFonts w:hint="eastAsia"/>
              </w:rPr>
            </w:pPr>
          </w:p>
          <w:p w14:paraId="7896154B">
            <w:pPr>
              <w:pStyle w:val="5"/>
              <w:spacing w:before="93" w:beforeLines="30"/>
              <w:jc w:val="left"/>
              <w:rPr>
                <w:rFonts w:hint="eastAsia"/>
              </w:rPr>
            </w:pPr>
          </w:p>
          <w:p w14:paraId="409372BD">
            <w:pPr>
              <w:pStyle w:val="5"/>
              <w:spacing w:before="93" w:beforeLines="30"/>
              <w:jc w:val="left"/>
              <w:rPr>
                <w:rFonts w:hint="eastAsia"/>
              </w:rPr>
            </w:pPr>
          </w:p>
          <w:p w14:paraId="3FD4CEEE">
            <w:pPr>
              <w:rPr>
                <w:rFonts w:hint="eastAsia"/>
              </w:rPr>
            </w:pPr>
          </w:p>
          <w:p w14:paraId="1670D81D">
            <w:pPr>
              <w:rPr>
                <w:rFonts w:hint="eastAsia"/>
              </w:rPr>
            </w:pPr>
          </w:p>
          <w:p w14:paraId="0B1FE0C1">
            <w:pPr>
              <w:rPr>
                <w:rFonts w:hint="eastAsia"/>
              </w:rPr>
            </w:pPr>
          </w:p>
          <w:p w14:paraId="6D272C55">
            <w:pPr>
              <w:rPr>
                <w:rFonts w:hint="eastAsia"/>
              </w:rPr>
            </w:pPr>
          </w:p>
          <w:p w14:paraId="00EACCCB">
            <w:pPr>
              <w:rPr>
                <w:rFonts w:hint="eastAsia"/>
              </w:rPr>
            </w:pPr>
          </w:p>
          <w:p w14:paraId="201D34CE">
            <w:pPr>
              <w:rPr>
                <w:rFonts w:hint="eastAsia"/>
              </w:rPr>
            </w:pPr>
          </w:p>
          <w:p w14:paraId="770CAB64">
            <w:pPr>
              <w:rPr>
                <w:rFonts w:hint="eastAsia"/>
              </w:rPr>
            </w:pPr>
          </w:p>
          <w:p w14:paraId="48FF82B1">
            <w:pPr>
              <w:ind w:firstLine="6720" w:firstLineChars="3200"/>
              <w:rPr>
                <w:rFonts w:hint="eastAsia"/>
              </w:rPr>
            </w:pPr>
            <w:r>
              <w:rPr>
                <w:rFonts w:hint="eastAsia"/>
              </w:rPr>
              <w:t>成绩：</w:t>
            </w:r>
          </w:p>
          <w:p w14:paraId="274E7A42">
            <w:pPr>
              <w:ind w:firstLine="6720" w:firstLineChars="3200"/>
              <w:rPr>
                <w:rFonts w:hint="eastAsia"/>
              </w:rPr>
            </w:pPr>
          </w:p>
          <w:p w14:paraId="55BB63EB">
            <w:pPr>
              <w:ind w:firstLine="6720" w:firstLineChars="3200"/>
              <w:rPr>
                <w:rFonts w:hint="eastAsia"/>
              </w:rPr>
            </w:pPr>
            <w:r>
              <w:rPr>
                <w:rFonts w:hint="eastAsia"/>
              </w:rPr>
              <w:t>任课教师：</w:t>
            </w:r>
          </w:p>
          <w:p w14:paraId="11E25E4D">
            <w:pPr>
              <w:ind w:firstLine="6720" w:firstLineChars="3200"/>
              <w:rPr>
                <w:rFonts w:hint="eastAsia"/>
              </w:rPr>
            </w:pPr>
          </w:p>
          <w:p w14:paraId="29B529E1">
            <w:pPr>
              <w:pStyle w:val="5"/>
              <w:spacing w:before="93" w:beforeLines="30"/>
              <w:rPr>
                <w:rFonts w:hint="eastAsia"/>
              </w:rPr>
            </w:pPr>
            <w:r>
              <w:rPr>
                <w:rFonts w:hint="eastAsia"/>
              </w:rPr>
              <w:t xml:space="preserve">                                                                              年   月   日</w:t>
            </w:r>
          </w:p>
          <w:p w14:paraId="2DCF8481">
            <w:pPr>
              <w:pStyle w:val="5"/>
              <w:spacing w:before="93" w:beforeLines="30"/>
              <w:rPr>
                <w:rFonts w:hint="eastAsia"/>
              </w:rPr>
            </w:pPr>
          </w:p>
        </w:tc>
      </w:tr>
    </w:tbl>
    <w:p w14:paraId="599802E1">
      <w:pPr>
        <w:rPr>
          <w:rFonts w:hint="eastAsia" w:asciiTheme="minorEastAsia" w:hAnsiTheme="minorEastAsia" w:eastAsiaTheme="minorEastAsia" w:cstheme="minorEastAsia"/>
          <w:b w:val="0"/>
          <w:bCs w:val="0"/>
          <w:sz w:val="21"/>
          <w:szCs w:val="21"/>
        </w:rPr>
      </w:pPr>
    </w:p>
    <w:sectPr>
      <w:footerReference r:id="rId4" w:type="default"/>
      <w:pgSz w:w="11906" w:h="16838"/>
      <w:pgMar w:top="1134" w:right="1134" w:bottom="1134" w:left="1134"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panose1 w:val="02010601030101010101"/>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1C9DA">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112BBD">
                          <w:pPr>
                            <w:pStyle w:val="6"/>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C112BBD">
                    <w:pPr>
                      <w:pStyle w:val="6"/>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02D88">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7AC580"/>
    <w:multiLevelType w:val="singleLevel"/>
    <w:tmpl w:val="B37AC580"/>
    <w:lvl w:ilvl="0" w:tentative="0">
      <w:start w:val="1"/>
      <w:numFmt w:val="bullet"/>
      <w:lvlText w:val="·"/>
      <w:lvlJc w:val="left"/>
      <w:pPr>
        <w:ind w:left="1260" w:leftChars="0" w:hanging="420" w:firstLineChars="0"/>
      </w:pPr>
      <w:rPr>
        <w:rFonts w:hint="default" w:ascii="宋体" w:hAnsi="宋体" w:eastAsia="宋体" w:cs="宋体"/>
      </w:rPr>
    </w:lvl>
  </w:abstractNum>
  <w:abstractNum w:abstractNumId="1">
    <w:nsid w:val="BE2CA7B6"/>
    <w:multiLevelType w:val="singleLevel"/>
    <w:tmpl w:val="BE2CA7B6"/>
    <w:lvl w:ilvl="0" w:tentative="0">
      <w:start w:val="1"/>
      <w:numFmt w:val="bullet"/>
      <w:lvlText w:val="·"/>
      <w:lvlJc w:val="left"/>
      <w:pPr>
        <w:ind w:left="1260" w:leftChars="0" w:hanging="420" w:firstLineChars="0"/>
      </w:pPr>
      <w:rPr>
        <w:rFonts w:hint="default" w:ascii="宋体" w:hAnsi="宋体" w:eastAsia="宋体" w:cs="宋体"/>
      </w:rPr>
    </w:lvl>
  </w:abstractNum>
  <w:abstractNum w:abstractNumId="2">
    <w:nsid w:val="BEC2D0D8"/>
    <w:multiLevelType w:val="singleLevel"/>
    <w:tmpl w:val="BEC2D0D8"/>
    <w:lvl w:ilvl="0" w:tentative="0">
      <w:start w:val="1"/>
      <w:numFmt w:val="bullet"/>
      <w:lvlText w:val="·"/>
      <w:lvlJc w:val="left"/>
      <w:pPr>
        <w:ind w:left="1260" w:leftChars="0" w:hanging="420" w:firstLineChars="0"/>
      </w:pPr>
      <w:rPr>
        <w:rFonts w:hint="default" w:ascii="宋体" w:hAnsi="宋体" w:eastAsia="宋体" w:cs="宋体"/>
      </w:rPr>
    </w:lvl>
  </w:abstractNum>
  <w:abstractNum w:abstractNumId="3">
    <w:nsid w:val="E8AF1DF8"/>
    <w:multiLevelType w:val="singleLevel"/>
    <w:tmpl w:val="E8AF1DF8"/>
    <w:lvl w:ilvl="0" w:tentative="0">
      <w:start w:val="1"/>
      <w:numFmt w:val="bullet"/>
      <w:lvlText w:val="·"/>
      <w:lvlJc w:val="left"/>
      <w:pPr>
        <w:ind w:left="1260" w:leftChars="0" w:hanging="420" w:firstLineChars="0"/>
      </w:pPr>
      <w:rPr>
        <w:rFonts w:hint="default" w:ascii="宋体" w:hAnsi="宋体" w:eastAsia="宋体" w:cs="宋体"/>
      </w:rPr>
    </w:lvl>
  </w:abstractNum>
  <w:abstractNum w:abstractNumId="4">
    <w:nsid w:val="155F024D"/>
    <w:multiLevelType w:val="singleLevel"/>
    <w:tmpl w:val="155F024D"/>
    <w:lvl w:ilvl="0" w:tentative="0">
      <w:start w:val="1"/>
      <w:numFmt w:val="decimal"/>
      <w:lvlText w:val="%1."/>
      <w:lvlJc w:val="left"/>
      <w:pPr>
        <w:ind w:left="1265" w:hanging="425"/>
      </w:pPr>
      <w:rPr>
        <w:rFonts w:hint="default"/>
      </w:rPr>
    </w:lvl>
  </w:abstractNum>
  <w:abstractNum w:abstractNumId="5">
    <w:nsid w:val="256FE28B"/>
    <w:multiLevelType w:val="singleLevel"/>
    <w:tmpl w:val="256FE28B"/>
    <w:lvl w:ilvl="0" w:tentative="0">
      <w:start w:val="1"/>
      <w:numFmt w:val="bullet"/>
      <w:lvlText w:val="·"/>
      <w:lvlJc w:val="left"/>
      <w:pPr>
        <w:ind w:left="1260" w:leftChars="0" w:hanging="420" w:firstLineChars="0"/>
      </w:pPr>
      <w:rPr>
        <w:rFonts w:hint="default" w:ascii="宋体" w:hAnsi="宋体" w:eastAsia="宋体" w:cs="宋体"/>
      </w:rPr>
    </w:lvl>
  </w:abstractNum>
  <w:abstractNum w:abstractNumId="6">
    <w:nsid w:val="310ECBBB"/>
    <w:multiLevelType w:val="singleLevel"/>
    <w:tmpl w:val="310ECBBB"/>
    <w:lvl w:ilvl="0" w:tentative="0">
      <w:start w:val="1"/>
      <w:numFmt w:val="bullet"/>
      <w:lvlText w:val="·"/>
      <w:lvlJc w:val="left"/>
      <w:pPr>
        <w:ind w:left="1260" w:leftChars="0" w:hanging="420" w:firstLineChars="0"/>
      </w:pPr>
      <w:rPr>
        <w:rFonts w:hint="default" w:ascii="宋体" w:hAnsi="宋体" w:eastAsia="宋体" w:cs="宋体"/>
      </w:rPr>
    </w:lvl>
  </w:abstractNum>
  <w:abstractNum w:abstractNumId="7">
    <w:nsid w:val="36BFA960"/>
    <w:multiLevelType w:val="singleLevel"/>
    <w:tmpl w:val="36BFA960"/>
    <w:lvl w:ilvl="0" w:tentative="0">
      <w:start w:val="1"/>
      <w:numFmt w:val="bullet"/>
      <w:lvlText w:val="·"/>
      <w:lvlJc w:val="left"/>
      <w:pPr>
        <w:ind w:left="1260" w:leftChars="0" w:hanging="420" w:firstLineChars="0"/>
      </w:pPr>
      <w:rPr>
        <w:rFonts w:hint="default" w:ascii="宋体" w:hAnsi="宋体" w:eastAsia="宋体" w:cs="宋体"/>
      </w:rPr>
    </w:lvl>
  </w:abstractNum>
  <w:num w:numId="1">
    <w:abstractNumId w:val="3"/>
  </w:num>
  <w:num w:numId="2">
    <w:abstractNumId w:val="7"/>
  </w:num>
  <w:num w:numId="3">
    <w:abstractNumId w:val="5"/>
  </w:num>
  <w:num w:numId="4">
    <w:abstractNumId w:val="1"/>
  </w:num>
  <w:num w:numId="5">
    <w:abstractNumId w:val="2"/>
  </w:num>
  <w:num w:numId="6">
    <w:abstractNumId w:val="0"/>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31239"/>
    <w:rsid w:val="623B71AA"/>
    <w:rsid w:val="69011976"/>
    <w:rsid w:val="6E946C44"/>
    <w:rsid w:val="70692F64"/>
    <w:rsid w:val="75976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semiHidden/>
    <w:unhideWhenUsed/>
    <w:qFormat/>
    <w:uiPriority w:val="39"/>
    <w:pPr>
      <w:ind w:left="840" w:leftChars="400"/>
    </w:pPr>
  </w:style>
  <w:style w:type="paragraph" w:styleId="5">
    <w:name w:val="Plain Text"/>
    <w:basedOn w:val="1"/>
    <w:qFormat/>
    <w:uiPriority w:val="0"/>
    <w:rPr>
      <w:rFonts w:ascii="宋体" w:hAnsi="Courier New" w:cs="Courier New"/>
      <w:szCs w:val="21"/>
    </w:rPr>
  </w:style>
  <w:style w:type="paragraph" w:styleId="6">
    <w:name w:val="footer"/>
    <w:basedOn w:val="1"/>
    <w:semiHidden/>
    <w:unhideWhenUsed/>
    <w:qFormat/>
    <w:uiPriority w:val="99"/>
    <w:pPr>
      <w:tabs>
        <w:tab w:val="center" w:pos="4153"/>
        <w:tab w:val="right" w:pos="8306"/>
      </w:tabs>
      <w:snapToGrid w:val="0"/>
      <w:jc w:val="left"/>
    </w:pPr>
    <w:rPr>
      <w:sz w:val="18"/>
    </w:rPr>
  </w:style>
  <w:style w:type="paragraph" w:styleId="7">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semiHidden/>
    <w:unhideWhenUsed/>
    <w:qFormat/>
    <w:uiPriority w:val="39"/>
  </w:style>
  <w:style w:type="paragraph" w:styleId="9">
    <w:name w:val="toc 2"/>
    <w:basedOn w:val="1"/>
    <w:next w:val="1"/>
    <w:semiHidden/>
    <w:unhideWhenUsed/>
    <w:uiPriority w:val="39"/>
    <w:pPr>
      <w:ind w:left="420" w:leftChars="200"/>
    </w:pPr>
  </w:style>
  <w:style w:type="paragraph" w:customStyle="1" w:styleId="12">
    <w:name w:val="分类号"/>
    <w:basedOn w:val="1"/>
    <w:qFormat/>
    <w:uiPriority w:val="0"/>
    <w:rPr>
      <w:rFonts w:ascii="仿宋_GB2312" w:hAnsi="Times New Roman" w:eastAsia="仿宋_GB2312" w:cs="Times New Roman"/>
      <w:sz w:val="28"/>
      <w:szCs w:val="28"/>
    </w:rPr>
  </w:style>
  <w:style w:type="paragraph" w:customStyle="1" w:styleId="13">
    <w:name w:val="封面日期"/>
    <w:basedOn w:val="1"/>
    <w:qFormat/>
    <w:uiPriority w:val="0"/>
    <w:pPr>
      <w:jc w:val="center"/>
    </w:pPr>
    <w:rPr>
      <w:rFonts w:ascii="黑体" w:hAnsi="Times New Roman" w:eastAsia="黑体" w:cs="Times New Roman"/>
      <w:sz w:val="32"/>
      <w:szCs w:val="32"/>
    </w:rPr>
  </w:style>
  <w:style w:type="paragraph" w:customStyle="1" w:styleId="14">
    <w:name w:val="论文标题"/>
    <w:basedOn w:val="1"/>
    <w:qFormat/>
    <w:uiPriority w:val="0"/>
    <w:pPr>
      <w:jc w:val="center"/>
    </w:pPr>
    <w:rPr>
      <w:rFonts w:ascii="Times New Roman" w:hAnsi="Times New Roman" w:eastAsia="楷体_GB2312" w:cs="Times New Roman"/>
      <w:b/>
      <w:kern w:val="36"/>
      <w:sz w:val="52"/>
      <w:szCs w:val="52"/>
    </w:rPr>
  </w:style>
  <w:style w:type="paragraph" w:customStyle="1" w:styleId="15">
    <w:name w:val="硕士学位论文"/>
    <w:basedOn w:val="1"/>
    <w:qFormat/>
    <w:uiPriority w:val="0"/>
    <w:pPr>
      <w:spacing w:before="240"/>
      <w:jc w:val="center"/>
    </w:pPr>
    <w:rPr>
      <w:rFonts w:ascii="Times New Roman" w:hAnsi="Times New Roman" w:eastAsia="宋体" w:cs="Times New Roman"/>
      <w:sz w:val="44"/>
      <w:szCs w:val="44"/>
    </w:rPr>
  </w:style>
  <w:style w:type="paragraph" w:customStyle="1" w:styleId="16">
    <w:name w:val="研究生姓名"/>
    <w:basedOn w:val="1"/>
    <w:qFormat/>
    <w:uiPriority w:val="0"/>
    <w:pPr>
      <w:ind w:firstLine="700" w:firstLineChars="700"/>
    </w:pPr>
    <w:rPr>
      <w:rFonts w:ascii="Times New Roman" w:hAnsi="Times New Roman" w:eastAsia="宋体" w:cs="Times New Roman"/>
      <w:sz w:val="28"/>
      <w:szCs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4688</Words>
  <Characters>5295</Characters>
  <Lines>0</Lines>
  <Paragraphs>0</Paragraphs>
  <TotalTime>13</TotalTime>
  <ScaleCrop>false</ScaleCrop>
  <LinksUpToDate>false</LinksUpToDate>
  <CharactersWithSpaces>5646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2025-11-03T12:02:00Z</dcterms:created>
  <dc:creator>kobe2</dc:creator>
  <cp:lastModifiedBy>刘国轩</cp:lastModifiedBy>
  <dcterms:modified xsi:type="dcterms:W3CDTF">2025-11-03T14:07:28Z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eyJoZGlkIjoiYTljOTgzMzUwMzMwNjViMjZkNDg1NGRjZDdmNTE0YjMiLCJ1c2VySWQiOiIxNTE0MTAyMDgxIn0=</vt:lpwstr>
  </property>
  <property fmtid="{D5CDD505-2E9C-101B-9397-08002B2CF9AE}" pid="4" name="ICV">
    <vt:lpwstr>07D574738D854A988A3AB98DB2A0B6AC_13</vt:lpwstr>
  </property>
</Properties>
</file>