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SETU Approval Note</w:t>
      </w:r>
    </w:p>
    <w:p>
      <w:r>
        <w:t>Company: SETU</w:t>
      </w:r>
    </w:p>
    <w:p>
      <w:r>
        <w:t>Reviewer: Parvez Ashraf</w:t>
      </w:r>
    </w:p>
    <w:p>
      <w:r>
        <w:t>Department: Procurement</w:t>
      </w:r>
    </w:p>
    <w:p>
      <w:pPr>
        <w:jc w:val="center"/>
      </w:pPr>
      <w:r>
        <w:br/>
        <w:t>Generated: 08 September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Total Findings: 2</w:t>
      </w:r>
    </w:p>
    <w:p>
      <w:pPr>
        <w:pStyle w:val="Heading1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Pump P101</w:t>
            </w:r>
          </w:p>
        </w:tc>
        <w:tc>
          <w:tcPr>
            <w:tcW w:type="dxa" w:w="2880"/>
          </w:tcPr>
          <w:p>
            <w:r>
              <w:t>12 kW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Sensor S22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</w:tbl>
    <w:p>
      <w:pPr>
        <w:pStyle w:val="Heading1"/>
      </w:pPr>
      <w:r>
        <w:t>Status Distribution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Recommendations</w:t>
      </w:r>
    </w:p>
    <w:p>
      <w:pPr>
        <w:pStyle w:val="ListBullet"/>
      </w:pPr>
      <w:r>
        <w:t>Perform quarterly inspection</w:t>
      </w:r>
    </w:p>
    <w:p>
      <w:pPr>
        <w:pStyle w:val="ListBullet"/>
      </w:pPr>
      <w:r>
        <w:t>Replace faulty sensors</w:t>
      </w:r>
    </w:p>
    <w:p>
      <w:r>
        <w:br w:type="page"/>
      </w:r>
    </w:p>
    <w:p>
      <w:pPr>
        <w:pStyle w:val="Heading1"/>
      </w:pPr>
      <w:r>
        <w:t>Approval</w:t>
      </w:r>
    </w:p>
    <w:p>
      <w:r>
        <w:br/>
        <w:br/>
      </w:r>
    </w:p>
    <w:p>
      <w:r>
        <w:t>________________________</w:t>
      </w:r>
    </w:p>
    <w:p>
      <w:r>
        <w:t>Authorized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