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ID &lt;init_var&gt; |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 &lt;init_arr&gt;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 String ID[ &lt;OE&gt; ]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{ &lt;OE&gt; &lt;arr_val&gt; |  € }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Dict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= {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ID : &lt;OE&gt;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&lt;dict_val&gt; | € }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