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AABB" w14:textId="3FAFE38F" w:rsidR="0061785A" w:rsidRDefault="0061785A" w:rsidP="0061785A">
      <w:pPr>
        <w:rPr>
          <w:b/>
          <w:bCs/>
          <w:sz w:val="32"/>
          <w:szCs w:val="32"/>
          <w:lang w:val="en-US"/>
        </w:rPr>
      </w:pPr>
      <w:r w:rsidRPr="0061785A">
        <w:rPr>
          <w:b/>
          <w:bCs/>
          <w:sz w:val="32"/>
          <w:szCs w:val="32"/>
          <w:lang w:val="en-US"/>
        </w:rPr>
        <w:t>CHIEF MINISTER’S GIRL CHILD PROTECTION SCHEME</w:t>
      </w:r>
      <w:r>
        <w:rPr>
          <w:b/>
          <w:bCs/>
          <w:sz w:val="32"/>
          <w:szCs w:val="32"/>
          <w:lang w:val="en-US"/>
        </w:rPr>
        <w:t>:</w:t>
      </w:r>
    </w:p>
    <w:p w14:paraId="59B9B9FE" w14:textId="45212555" w:rsidR="0061785A" w:rsidRPr="0061785A" w:rsidRDefault="0061785A" w:rsidP="0061785A">
      <w:pPr>
        <w:rPr>
          <w:sz w:val="32"/>
          <w:szCs w:val="32"/>
        </w:rPr>
      </w:pPr>
      <w:r>
        <w:rPr>
          <w:rFonts w:ascii="Arial" w:hAnsi="Arial" w:cs="Arial"/>
          <w:noProof/>
          <w:color w:val="565656"/>
          <w:sz w:val="21"/>
          <w:szCs w:val="21"/>
          <w14:ligatures w14:val="standardContextual"/>
        </w:rPr>
        <w:drawing>
          <wp:inline distT="0" distB="0" distL="0" distR="0" wp14:anchorId="23A2027A" wp14:editId="12525F15">
            <wp:extent cx="3600450" cy="2009775"/>
            <wp:effectExtent l="0" t="0" r="0" b="9525"/>
            <wp:docPr id="318383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83189" name="Picture 318383189"/>
                    <pic:cNvPicPr/>
                  </pic:nvPicPr>
                  <pic:blipFill>
                    <a:blip r:embed="rId5">
                      <a:extLst>
                        <a:ext uri="{28A0092B-C50C-407E-A947-70E740481C1C}">
                          <a14:useLocalDpi xmlns:a14="http://schemas.microsoft.com/office/drawing/2010/main" val="0"/>
                        </a:ext>
                      </a:extLst>
                    </a:blip>
                    <a:stretch>
                      <a:fillRect/>
                    </a:stretch>
                  </pic:blipFill>
                  <pic:spPr>
                    <a:xfrm>
                      <a:off x="0" y="0"/>
                      <a:ext cx="3620135" cy="2020763"/>
                    </a:xfrm>
                    <a:prstGeom prst="rect">
                      <a:avLst/>
                    </a:prstGeom>
                  </pic:spPr>
                </pic:pic>
              </a:graphicData>
            </a:graphic>
          </wp:inline>
        </w:drawing>
      </w:r>
    </w:p>
    <w:p w14:paraId="5291BF5E" w14:textId="77777777" w:rsidR="0061785A" w:rsidRPr="0061785A" w:rsidRDefault="0061785A" w:rsidP="0061785A">
      <w:r w:rsidRPr="0061785A">
        <w:rPr>
          <w:b/>
          <w:bCs/>
          <w:lang w:val="en-US"/>
        </w:rPr>
        <w:t>Brief Objective</w:t>
      </w:r>
    </w:p>
    <w:p w14:paraId="3C6767AB" w14:textId="52367F2F" w:rsidR="0061785A" w:rsidRPr="0061785A" w:rsidRDefault="0061785A" w:rsidP="0061785A">
      <w:r w:rsidRPr="0061785A">
        <w:rPr>
          <w:lang w:val="en-US"/>
        </w:rPr>
        <w:t>The Girl Child Protection Scheme is aimed at preventing gender discrimination by empowering and protecting rights of girl Children through direct investment from Government. It is being implemented in Tamil Nadu state. </w:t>
      </w:r>
    </w:p>
    <w:p w14:paraId="6600E1E3" w14:textId="77777777" w:rsidR="0061785A" w:rsidRPr="0061785A" w:rsidRDefault="0061785A" w:rsidP="0061785A">
      <w:r w:rsidRPr="0061785A">
        <w:rPr>
          <w:b/>
          <w:bCs/>
          <w:lang w:val="en-US"/>
        </w:rPr>
        <w:t>Benefits</w:t>
      </w:r>
    </w:p>
    <w:p w14:paraId="4AE6A857" w14:textId="77777777" w:rsidR="0061785A" w:rsidRPr="0061785A" w:rsidRDefault="0061785A" w:rsidP="0061785A">
      <w:r w:rsidRPr="0061785A">
        <w:rPr>
          <w:b/>
          <w:bCs/>
          <w:lang w:val="en-US"/>
        </w:rPr>
        <w:t>Scheme-I</w:t>
      </w:r>
    </w:p>
    <w:p w14:paraId="0DD4FA82" w14:textId="77777777" w:rsidR="0061785A" w:rsidRPr="0061785A" w:rsidRDefault="0061785A" w:rsidP="0061785A">
      <w:r w:rsidRPr="0061785A">
        <w:rPr>
          <w:lang w:val="en-US"/>
        </w:rPr>
        <w:t>An amount of Rs. 50,000 is deposited in the name of the girl child born on or after 01/08/2011, in the form of fixed deposit with the Tamil Nadu Power Finance and Infrastructure Development Corporation Limited, for a family with one girl child only. The copy of the fixed deposit receipt is given to the family of the girl child.</w:t>
      </w:r>
    </w:p>
    <w:p w14:paraId="3E9B0C18" w14:textId="77777777" w:rsidR="0061785A" w:rsidRPr="0061785A" w:rsidRDefault="0061785A" w:rsidP="0061785A">
      <w:r w:rsidRPr="0061785A">
        <w:rPr>
          <w:b/>
          <w:bCs/>
          <w:lang w:val="en-US"/>
        </w:rPr>
        <w:t>Scheme-II</w:t>
      </w:r>
    </w:p>
    <w:p w14:paraId="5D2BB767" w14:textId="77777777" w:rsidR="0061785A" w:rsidRPr="0061785A" w:rsidRDefault="0061785A" w:rsidP="0061785A">
      <w:r w:rsidRPr="0061785A">
        <w:rPr>
          <w:lang w:val="en-US"/>
        </w:rPr>
        <w:t>An amount of Rs. 25,000 is deposited in the names of two girl children born on or after 01/08/2011 in the form of fixed deposit with Tamil Nadu Power Finance and Infrastructure Development Corporation Limited, for a family with two girl children only. The copy of the fixed deposit receipt is given to the family of the girl children.</w:t>
      </w:r>
    </w:p>
    <w:p w14:paraId="7127DD94" w14:textId="77777777" w:rsidR="0061785A" w:rsidRPr="0061785A" w:rsidRDefault="0061785A" w:rsidP="0061785A">
      <w:r w:rsidRPr="0061785A">
        <w:rPr>
          <w:lang w:val="en-US"/>
        </w:rPr>
        <w:t>An annual incentive of Rs.1800 is given to the girl child every year from the 6th year of deposit in order to meet education expenses. The above deposit is renewed at the end of every 5 years and on completion of 18 years of age the amount deposited along with interest will be given to the girl child. To get this benefit, the girl child should appear for 10th standard public examination.</w:t>
      </w:r>
    </w:p>
    <w:p w14:paraId="216C7DF0" w14:textId="7D165D00" w:rsidR="0061785A" w:rsidRDefault="0061785A" w:rsidP="0061785A">
      <w:pPr>
        <w:rPr>
          <w:lang w:val="en-US"/>
        </w:rPr>
      </w:pPr>
      <w:r w:rsidRPr="0061785A">
        <w:rPr>
          <w:lang w:val="en-US"/>
        </w:rPr>
        <w:t>From the year 2013-14, the benefits provided under the Marriage Assistance Scheme have also been extended to the beneficiaries under the Girl Child Protection Scheme who were enrolled in the years from 1992 to 1995.</w:t>
      </w:r>
    </w:p>
    <w:p w14:paraId="5DFAC7ED" w14:textId="78D4C3E8" w:rsidR="0061785A" w:rsidRDefault="0061785A" w:rsidP="0061785A">
      <w:pPr>
        <w:rPr>
          <w:lang w:val="en-US"/>
        </w:rPr>
      </w:pPr>
    </w:p>
    <w:p w14:paraId="156CA24E" w14:textId="039B4A1B" w:rsidR="0061785A" w:rsidRDefault="0061785A" w:rsidP="0061785A">
      <w:pPr>
        <w:rPr>
          <w:lang w:val="en-US"/>
        </w:rPr>
      </w:pPr>
    </w:p>
    <w:p w14:paraId="77769106" w14:textId="1AA67B42" w:rsidR="0061785A" w:rsidRDefault="0061785A" w:rsidP="0061785A">
      <w:pPr>
        <w:rPr>
          <w:lang w:val="en-US"/>
        </w:rPr>
      </w:pPr>
    </w:p>
    <w:p w14:paraId="7FD351FD" w14:textId="68FD4DE5" w:rsidR="0061785A" w:rsidRDefault="0061785A" w:rsidP="0061785A">
      <w:pPr>
        <w:rPr>
          <w:lang w:val="en-US"/>
        </w:rPr>
      </w:pPr>
    </w:p>
    <w:p w14:paraId="58A2351D" w14:textId="77777777" w:rsidR="0061785A" w:rsidRPr="0061785A" w:rsidRDefault="0061785A" w:rsidP="0061785A"/>
    <w:p w14:paraId="5A282DBD" w14:textId="77777777" w:rsidR="0061785A" w:rsidRPr="0061785A" w:rsidRDefault="0061785A" w:rsidP="0061785A">
      <w:r w:rsidRPr="0061785A">
        <w:rPr>
          <w:b/>
          <w:bCs/>
          <w:lang w:val="en-US"/>
        </w:rPr>
        <w:lastRenderedPageBreak/>
        <w:t>Eligibility</w:t>
      </w:r>
    </w:p>
    <w:p w14:paraId="526F856C" w14:textId="77777777" w:rsidR="0061785A" w:rsidRPr="0061785A" w:rsidRDefault="0061785A" w:rsidP="0061785A">
      <w:pPr>
        <w:numPr>
          <w:ilvl w:val="0"/>
          <w:numId w:val="1"/>
        </w:numPr>
      </w:pPr>
      <w:r w:rsidRPr="0061785A">
        <w:rPr>
          <w:lang w:val="en-US"/>
        </w:rPr>
        <w:t>Annual income limit - Rs.72000/-</w:t>
      </w:r>
    </w:p>
    <w:p w14:paraId="1B5E714E" w14:textId="77777777" w:rsidR="0061785A" w:rsidRPr="0061785A" w:rsidRDefault="0061785A" w:rsidP="0061785A">
      <w:pPr>
        <w:numPr>
          <w:ilvl w:val="0"/>
          <w:numId w:val="1"/>
        </w:numPr>
      </w:pPr>
      <w:r w:rsidRPr="0061785A">
        <w:rPr>
          <w:lang w:val="en-US"/>
        </w:rPr>
        <w:t>The parents of the girl child should have no male child</w:t>
      </w:r>
    </w:p>
    <w:p w14:paraId="112D747D" w14:textId="77777777" w:rsidR="0061785A" w:rsidRPr="0061785A" w:rsidRDefault="0061785A" w:rsidP="0061785A">
      <w:pPr>
        <w:numPr>
          <w:ilvl w:val="0"/>
          <w:numId w:val="1"/>
        </w:numPr>
      </w:pPr>
      <w:r w:rsidRPr="0061785A">
        <w:rPr>
          <w:lang w:val="en-US"/>
        </w:rPr>
        <w:t>The girl child must be enrolled in an educational institution and unmarried.</w:t>
      </w:r>
    </w:p>
    <w:p w14:paraId="17DA86E6" w14:textId="77777777" w:rsidR="0061785A" w:rsidRPr="0061785A" w:rsidRDefault="0061785A" w:rsidP="0061785A">
      <w:r w:rsidRPr="0061785A">
        <w:rPr>
          <w:b/>
          <w:bCs/>
          <w:lang w:val="en-US"/>
        </w:rPr>
        <w:br/>
        <w:t>How to apply</w:t>
      </w:r>
    </w:p>
    <w:p w14:paraId="3575F4D4" w14:textId="6DD5C8E7" w:rsidR="0061785A" w:rsidRPr="0061785A" w:rsidRDefault="0061785A" w:rsidP="0061785A">
      <w:r w:rsidRPr="0061785A">
        <w:rPr>
          <w:lang w:val="en-US"/>
        </w:rPr>
        <w:t>Citizens</w:t>
      </w:r>
      <w:r w:rsidRPr="0061785A">
        <w:rPr>
          <w:lang w:val="en-US"/>
        </w:rPr>
        <w:t xml:space="preserve"> can apply through eSeva or visit the district social welfare office. </w:t>
      </w:r>
    </w:p>
    <w:p w14:paraId="093E499A" w14:textId="77777777" w:rsidR="0061785A" w:rsidRPr="0061785A" w:rsidRDefault="0061785A" w:rsidP="0061785A">
      <w:r w:rsidRPr="0061785A">
        <w:rPr>
          <w:lang w:val="en-US"/>
        </w:rPr>
        <w:t>For more details, </w:t>
      </w:r>
      <w:hyperlink r:id="rId6" w:history="1">
        <w:r w:rsidRPr="0061785A">
          <w:rPr>
            <w:rStyle w:val="Hyperlink"/>
            <w:lang w:val="en-US"/>
          </w:rPr>
          <w:t>https://www.tnsocialwelfare.tn.gov.in/en</w:t>
        </w:r>
      </w:hyperlink>
    </w:p>
    <w:p w14:paraId="6BBB9940" w14:textId="77777777" w:rsidR="00CF28B3" w:rsidRDefault="00CF28B3"/>
    <w:sectPr w:rsidR="00CF2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E5049"/>
    <w:multiLevelType w:val="hybridMultilevel"/>
    <w:tmpl w:val="82D24EC4"/>
    <w:lvl w:ilvl="0" w:tplc="3F2CD06C">
      <w:start w:val="1"/>
      <w:numFmt w:val="bullet"/>
      <w:lvlText w:val="•"/>
      <w:lvlJc w:val="left"/>
      <w:pPr>
        <w:tabs>
          <w:tab w:val="num" w:pos="720"/>
        </w:tabs>
        <w:ind w:left="720" w:hanging="360"/>
      </w:pPr>
      <w:rPr>
        <w:rFonts w:ascii="Times New Roman" w:hAnsi="Times New Roman" w:hint="default"/>
      </w:rPr>
    </w:lvl>
    <w:lvl w:ilvl="1" w:tplc="6FF0BACA" w:tentative="1">
      <w:start w:val="1"/>
      <w:numFmt w:val="bullet"/>
      <w:lvlText w:val="•"/>
      <w:lvlJc w:val="left"/>
      <w:pPr>
        <w:tabs>
          <w:tab w:val="num" w:pos="1440"/>
        </w:tabs>
        <w:ind w:left="1440" w:hanging="360"/>
      </w:pPr>
      <w:rPr>
        <w:rFonts w:ascii="Times New Roman" w:hAnsi="Times New Roman" w:hint="default"/>
      </w:rPr>
    </w:lvl>
    <w:lvl w:ilvl="2" w:tplc="6D8E55E2" w:tentative="1">
      <w:start w:val="1"/>
      <w:numFmt w:val="bullet"/>
      <w:lvlText w:val="•"/>
      <w:lvlJc w:val="left"/>
      <w:pPr>
        <w:tabs>
          <w:tab w:val="num" w:pos="2160"/>
        </w:tabs>
        <w:ind w:left="2160" w:hanging="360"/>
      </w:pPr>
      <w:rPr>
        <w:rFonts w:ascii="Times New Roman" w:hAnsi="Times New Roman" w:hint="default"/>
      </w:rPr>
    </w:lvl>
    <w:lvl w:ilvl="3" w:tplc="121C2CB0" w:tentative="1">
      <w:start w:val="1"/>
      <w:numFmt w:val="bullet"/>
      <w:lvlText w:val="•"/>
      <w:lvlJc w:val="left"/>
      <w:pPr>
        <w:tabs>
          <w:tab w:val="num" w:pos="2880"/>
        </w:tabs>
        <w:ind w:left="2880" w:hanging="360"/>
      </w:pPr>
      <w:rPr>
        <w:rFonts w:ascii="Times New Roman" w:hAnsi="Times New Roman" w:hint="default"/>
      </w:rPr>
    </w:lvl>
    <w:lvl w:ilvl="4" w:tplc="C14C22B4" w:tentative="1">
      <w:start w:val="1"/>
      <w:numFmt w:val="bullet"/>
      <w:lvlText w:val="•"/>
      <w:lvlJc w:val="left"/>
      <w:pPr>
        <w:tabs>
          <w:tab w:val="num" w:pos="3600"/>
        </w:tabs>
        <w:ind w:left="3600" w:hanging="360"/>
      </w:pPr>
      <w:rPr>
        <w:rFonts w:ascii="Times New Roman" w:hAnsi="Times New Roman" w:hint="default"/>
      </w:rPr>
    </w:lvl>
    <w:lvl w:ilvl="5" w:tplc="CD98EB1E" w:tentative="1">
      <w:start w:val="1"/>
      <w:numFmt w:val="bullet"/>
      <w:lvlText w:val="•"/>
      <w:lvlJc w:val="left"/>
      <w:pPr>
        <w:tabs>
          <w:tab w:val="num" w:pos="4320"/>
        </w:tabs>
        <w:ind w:left="4320" w:hanging="360"/>
      </w:pPr>
      <w:rPr>
        <w:rFonts w:ascii="Times New Roman" w:hAnsi="Times New Roman" w:hint="default"/>
      </w:rPr>
    </w:lvl>
    <w:lvl w:ilvl="6" w:tplc="85DCCF4E" w:tentative="1">
      <w:start w:val="1"/>
      <w:numFmt w:val="bullet"/>
      <w:lvlText w:val="•"/>
      <w:lvlJc w:val="left"/>
      <w:pPr>
        <w:tabs>
          <w:tab w:val="num" w:pos="5040"/>
        </w:tabs>
        <w:ind w:left="5040" w:hanging="360"/>
      </w:pPr>
      <w:rPr>
        <w:rFonts w:ascii="Times New Roman" w:hAnsi="Times New Roman" w:hint="default"/>
      </w:rPr>
    </w:lvl>
    <w:lvl w:ilvl="7" w:tplc="5E9621BA" w:tentative="1">
      <w:start w:val="1"/>
      <w:numFmt w:val="bullet"/>
      <w:lvlText w:val="•"/>
      <w:lvlJc w:val="left"/>
      <w:pPr>
        <w:tabs>
          <w:tab w:val="num" w:pos="5760"/>
        </w:tabs>
        <w:ind w:left="5760" w:hanging="360"/>
      </w:pPr>
      <w:rPr>
        <w:rFonts w:ascii="Times New Roman" w:hAnsi="Times New Roman" w:hint="default"/>
      </w:rPr>
    </w:lvl>
    <w:lvl w:ilvl="8" w:tplc="60645CA8" w:tentative="1">
      <w:start w:val="1"/>
      <w:numFmt w:val="bullet"/>
      <w:lvlText w:val="•"/>
      <w:lvlJc w:val="left"/>
      <w:pPr>
        <w:tabs>
          <w:tab w:val="num" w:pos="6480"/>
        </w:tabs>
        <w:ind w:left="6480" w:hanging="360"/>
      </w:pPr>
      <w:rPr>
        <w:rFonts w:ascii="Times New Roman" w:hAnsi="Times New Roman" w:hint="default"/>
      </w:rPr>
    </w:lvl>
  </w:abstractNum>
  <w:num w:numId="1" w16cid:durableId="89925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5A"/>
    <w:rsid w:val="0061785A"/>
    <w:rsid w:val="00CF2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AB3C"/>
  <w15:chartTrackingRefBased/>
  <w15:docId w15:val="{A941BBC0-2129-494F-AD1E-274C8AB8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85A"/>
    <w:rPr>
      <w:color w:val="0563C1" w:themeColor="hyperlink"/>
      <w:u w:val="single"/>
    </w:rPr>
  </w:style>
  <w:style w:type="character" w:styleId="UnresolvedMention">
    <w:name w:val="Unresolved Mention"/>
    <w:basedOn w:val="DefaultParagraphFont"/>
    <w:uiPriority w:val="99"/>
    <w:semiHidden/>
    <w:unhideWhenUsed/>
    <w:rsid w:val="00617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nsocialwelfare.tn.gov.in/e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2024-01-09T07:16:00Z</dcterms:created>
  <dcterms:modified xsi:type="dcterms:W3CDTF">2024-01-09T07:18:00Z</dcterms:modified>
</cp:coreProperties>
</file>