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1B365D"/>
          <w:sz w:val="26"/>
        </w:rPr>
        <w:t>SIMATS ENGINEERING</w:t>
        <w:br/>
        <w:t>DEPARTMENT OF COMPUTER SCIENCE &amp; ENGINEERING</w:t>
        <w:br/>
      </w:r>
    </w:p>
    <w:p>
      <w:pPr>
        <w:spacing w:after="160"/>
        <w:jc w:val="center"/>
      </w:pPr>
      <w:r>
        <w:rPr>
          <w:rFonts w:ascii="Times New Roman" w:hAnsi="Times New Roman"/>
          <w:b/>
          <w:color w:val="005588"/>
          <w:sz w:val="21"/>
        </w:rPr>
        <w:t>COURSE NAME: Computer Vision with OpenCV    COURSE CODE: DSA02</w:t>
        <w:br/>
        <w:t>COURSE OUTCOME COVERED: CO2: Apply image processing and feature extraction techniques, including edge detection, motion estimation, and optical flow, for analyzing images.. (BL3)</w:t>
        <w:br/>
        <w:t>ASSESSMENT TOOL 3 (CLASS TEST) | Weightage: 20% | Total Marks: 20</w:t>
      </w:r>
    </w:p>
    <w:tbl>
      <w:tblPr>
        <w:tblW w:type="auto" w:w="0"/>
        <w:jc w:val="center"/>
        <w:tblLayout w:type="fixed"/>
        <w:tblLook w:firstColumn="1" w:firstRow="1" w:lastColumn="0" w:lastRow="0" w:noHBand="0" w:noVBand="1" w:val="04A0"/>
      </w:tblPr>
      <w:tblGrid>
        <w:gridCol w:w="10080"/>
      </w:tblGrid>
      <w:tr>
        <w:tc>
          <w:tcPr>
            <w:tcW w:type="dxa" w:w="9936"/>
            <w:shd w:fill="F9FAFB"/>
            <w:tcMar>
              <w:top w:w="80" w:type="dxa"/>
              <w:bottom w:w="80" w:type="dxa"/>
              <w:left w:w="120" w:type="dxa"/>
              <w:right w:w="120" w:type="dxa"/>
            </w:tcMar>
            <w:tcBorders>
              <w:left w:val="single" w:sz="18" w:space="0" w:color="1B365D"/>
              <w:top w:val="single" w:sz="6" w:space="0" w:color="D0D7DE"/>
              <w:right w:val="single" w:sz="6" w:space="0" w:color="D0D7DE"/>
              <w:bottom w:val="single" w:sz="6" w:space="0" w:color="D0D7DE"/>
            </w:tcBorders>
          </w:tcPr>
          <w:p>
            <w:pPr>
              <w:spacing w:before="80" w:after="80"/>
            </w:pPr>
            <w:r>
              <w:rPr>
                <w:rFonts w:ascii="Times New Roman" w:hAnsi="Times New Roman"/>
                <w:b/>
                <w:color w:val="1B365D"/>
                <w:sz w:val="21"/>
              </w:rPr>
              <w:t>Code of Conduct:</w:t>
              <w:br/>
            </w:r>
            <w:r>
              <w:rPr>
                <w:rFonts w:ascii="Times New Roman" w:hAnsi="Times New Roman"/>
                <w:sz w:val="21"/>
              </w:rPr>
              <w:t xml:space="preserve">I </w:t>
            </w:r>
            <w:r>
              <w:rPr>
                <w:rFonts w:ascii="Times New Roman" w:hAnsi="Times New Roman"/>
                <w:b/>
                <w:color w:val="003366"/>
                <w:sz w:val="21"/>
                <w:u w:val="single"/>
              </w:rPr>
              <w:t>Gadwal Mohammad Muzammil - 192424279</w:t>
            </w:r>
            <w:r>
              <w:rPr>
                <w:rFonts w:ascii="Times New Roman" w:hAnsi="Times New Roman"/>
                <w:sz w:val="21"/>
              </w:rPr>
              <w:t xml:space="preserve"> (Name / Reg No) certify that this submission is my original work and that I have adhered to the guidelines specified for this assessment. I understand that any violation of academic integrity rules will result in disciplinary action.</w:t>
              <w:br/>
              <w:t xml:space="preserve">Signature of the student: </w:t>
            </w:r>
            <w:r>
              <w:rPr>
                <w:rFonts w:ascii="Times New Roman" w:hAnsi="Times New Roman"/>
                <w:b/>
                <w:i/>
                <w:sz w:val="21"/>
              </w:rPr>
              <w:t>G. M. Muzammil</w:t>
            </w:r>
          </w:p>
        </w:tc>
      </w:tr>
    </w:tbl>
    <w:p>
      <w:pPr>
        <w:spacing w:after="80"/>
      </w:pPr>
    </w:p>
    <w:p>
      <w:pPr>
        <w:spacing w:before="120" w:after="80"/>
      </w:pPr>
      <w:r>
        <w:rPr>
          <w:rFonts w:ascii="Times New Roman" w:hAnsi="Times New Roman"/>
          <w:b/>
          <w:color w:val="1B365D"/>
          <w:sz w:val="22"/>
        </w:rPr>
        <w:t>RUBRICS FOR CALCULATION</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c>
          <w:tcPr>
            <w:tcW w:type="dxa" w:w="1584"/>
            <w:shd w:fill="1B365D"/>
            <w:tcMar>
              <w:top w:w="60" w:type="dxa"/>
              <w:bottom w:w="60" w:type="dxa"/>
              <w:left w:w="60" w:type="dxa"/>
              <w:right w:w="60" w:type="dxa"/>
            </w:tcMar>
          </w:tcPr>
          <w:p>
            <w:pPr>
              <w:jc w:val="center"/>
            </w:pPr>
            <w:r>
              <w:rPr>
                <w:rFonts w:ascii="Times New Roman" w:hAnsi="Times New Roman"/>
                <w:b/>
                <w:color w:val="FFFFFF"/>
                <w:sz w:val="17"/>
              </w:rPr>
              <w:t>Criteria</w:t>
            </w:r>
          </w:p>
        </w:tc>
        <w:tc>
          <w:tcPr>
            <w:tcW w:type="dxa" w:w="1008"/>
            <w:shd w:fill="1B365D"/>
            <w:tcMar>
              <w:top w:w="60" w:type="dxa"/>
              <w:bottom w:w="60" w:type="dxa"/>
              <w:left w:w="60" w:type="dxa"/>
              <w:right w:w="60" w:type="dxa"/>
            </w:tcMar>
          </w:tcPr>
          <w:p>
            <w:pPr>
              <w:jc w:val="center"/>
            </w:pPr>
            <w:r>
              <w:rPr>
                <w:rFonts w:ascii="Times New Roman" w:hAnsi="Times New Roman"/>
                <w:b/>
                <w:color w:val="FFFFFF"/>
                <w:sz w:val="17"/>
              </w:rPr>
              <w:t>Weightage</w:t>
            </w:r>
          </w:p>
        </w:tc>
        <w:tc>
          <w:tcPr>
            <w:tcW w:type="dxa" w:w="1728"/>
            <w:shd w:fill="1B365D"/>
            <w:tcMar>
              <w:top w:w="60" w:type="dxa"/>
              <w:bottom w:w="60" w:type="dxa"/>
              <w:left w:w="60" w:type="dxa"/>
              <w:right w:w="60" w:type="dxa"/>
            </w:tcMar>
          </w:tcPr>
          <w:p>
            <w:pPr>
              <w:jc w:val="center"/>
            </w:pPr>
            <w:r>
              <w:rPr>
                <w:rFonts w:ascii="Times New Roman" w:hAnsi="Times New Roman"/>
                <w:b/>
                <w:color w:val="FFFFFF"/>
                <w:sz w:val="17"/>
              </w:rPr>
              <w:t>Level 4 (Exemplary)</w:t>
            </w:r>
          </w:p>
        </w:tc>
        <w:tc>
          <w:tcPr>
            <w:tcW w:type="dxa" w:w="1728"/>
            <w:shd w:fill="1B365D"/>
            <w:tcMar>
              <w:top w:w="60" w:type="dxa"/>
              <w:bottom w:w="60" w:type="dxa"/>
              <w:left w:w="60" w:type="dxa"/>
              <w:right w:w="60" w:type="dxa"/>
            </w:tcMar>
          </w:tcPr>
          <w:p>
            <w:pPr>
              <w:jc w:val="center"/>
            </w:pPr>
            <w:r>
              <w:rPr>
                <w:rFonts w:ascii="Times New Roman" w:hAnsi="Times New Roman"/>
                <w:b/>
                <w:color w:val="FFFFFF"/>
                <w:sz w:val="17"/>
              </w:rPr>
              <w:t>Level 3 (Proficient)</w:t>
            </w:r>
          </w:p>
        </w:tc>
        <w:tc>
          <w:tcPr>
            <w:tcW w:type="dxa" w:w="1728"/>
            <w:shd w:fill="1B365D"/>
            <w:tcMar>
              <w:top w:w="60" w:type="dxa"/>
              <w:bottom w:w="60" w:type="dxa"/>
              <w:left w:w="60" w:type="dxa"/>
              <w:right w:w="60" w:type="dxa"/>
            </w:tcMar>
          </w:tcPr>
          <w:p>
            <w:pPr>
              <w:jc w:val="center"/>
            </w:pPr>
            <w:r>
              <w:rPr>
                <w:rFonts w:ascii="Times New Roman" w:hAnsi="Times New Roman"/>
                <w:b/>
                <w:color w:val="FFFFFF"/>
                <w:sz w:val="17"/>
              </w:rPr>
              <w:t>Level 2 (Developing)</w:t>
            </w:r>
          </w:p>
        </w:tc>
        <w:tc>
          <w:tcPr>
            <w:tcW w:type="dxa" w:w="1440"/>
            <w:shd w:fill="1B365D"/>
            <w:tcMar>
              <w:top w:w="60" w:type="dxa"/>
              <w:bottom w:w="60" w:type="dxa"/>
              <w:left w:w="60" w:type="dxa"/>
              <w:right w:w="60" w:type="dxa"/>
            </w:tcMar>
          </w:tcPr>
          <w:p>
            <w:pPr>
              <w:jc w:val="center"/>
            </w:pPr>
            <w:r>
              <w:rPr>
                <w:rFonts w:ascii="Times New Roman" w:hAnsi="Times New Roman"/>
                <w:b/>
                <w:color w:val="FFFFFF"/>
                <w:sz w:val="17"/>
              </w:rPr>
              <w:t>Level 1 (Beginning)</w:t>
            </w:r>
          </w:p>
        </w:tc>
        <w:tc>
          <w:tcPr>
            <w:tcW w:type="dxa" w:w="720"/>
            <w:shd w:fill="1B365D"/>
            <w:tcMar>
              <w:top w:w="60" w:type="dxa"/>
              <w:bottom w:w="60" w:type="dxa"/>
              <w:left w:w="60" w:type="dxa"/>
              <w:right w:w="60" w:type="dxa"/>
            </w:tcMar>
          </w:tcPr>
          <w:p>
            <w:pPr>
              <w:jc w:val="center"/>
            </w:pPr>
            <w:r>
              <w:rPr>
                <w:rFonts w:ascii="Times New Roman" w:hAnsi="Times New Roman"/>
                <w:b/>
                <w:color w:val="FFFFFF"/>
                <w:sz w:val="17"/>
              </w:rPr>
              <w:t>Marks</w:t>
            </w:r>
          </w:p>
        </w:tc>
      </w:tr>
      <w:tr>
        <w:tc>
          <w:tcPr>
            <w:tcW w:type="dxa" w:w="1584"/>
            <w:shd w:fill="F4F6F9"/>
            <w:tcMar>
              <w:top w:w="50" w:type="dxa"/>
              <w:bottom w:w="50" w:type="dxa"/>
              <w:left w:w="50" w:type="dxa"/>
              <w:right w:w="50" w:type="dxa"/>
            </w:tcMar>
          </w:tcPr>
          <w:p>
            <w:pPr>
              <w:spacing w:after="0"/>
            </w:pPr>
            <w:r>
              <w:rPr>
                <w:rFonts w:ascii="Times New Roman" w:hAnsi="Times New Roman"/>
                <w:sz w:val="16"/>
              </w:rPr>
              <w:t>Understanding of Concepts</w:t>
            </w:r>
          </w:p>
        </w:tc>
        <w:tc>
          <w:tcPr>
            <w:tcW w:type="dxa" w:w="1008"/>
            <w:shd w:fill="F4F6F9"/>
            <w:tcMar>
              <w:top w:w="50" w:type="dxa"/>
              <w:bottom w:w="50" w:type="dxa"/>
              <w:left w:w="50" w:type="dxa"/>
              <w:right w:w="50" w:type="dxa"/>
            </w:tcMar>
          </w:tcPr>
          <w:p>
            <w:pPr>
              <w:spacing w:after="0"/>
            </w:pPr>
            <w:r>
              <w:rPr>
                <w:rFonts w:ascii="Times New Roman" w:hAnsi="Times New Roman"/>
                <w:sz w:val="16"/>
              </w:rPr>
              <w:t>25%</w:t>
            </w:r>
          </w:p>
        </w:tc>
        <w:tc>
          <w:tcPr>
            <w:tcW w:type="dxa" w:w="1728"/>
            <w:shd w:fill="F4F6F9"/>
            <w:tcMar>
              <w:top w:w="50" w:type="dxa"/>
              <w:bottom w:w="50" w:type="dxa"/>
              <w:left w:w="50" w:type="dxa"/>
              <w:right w:w="50" w:type="dxa"/>
            </w:tcMar>
          </w:tcPr>
          <w:p>
            <w:pPr>
              <w:spacing w:after="0"/>
            </w:pPr>
            <w:r>
              <w:rPr>
                <w:rFonts w:ascii="Times New Roman" w:hAnsi="Times New Roman"/>
                <w:sz w:val="16"/>
              </w:rPr>
              <w:t>Demonstrates thorough, accurate understanding of concepts</w:t>
            </w:r>
          </w:p>
        </w:tc>
        <w:tc>
          <w:tcPr>
            <w:tcW w:type="dxa" w:w="1728"/>
            <w:shd w:fill="F4F6F9"/>
            <w:tcMar>
              <w:top w:w="50" w:type="dxa"/>
              <w:bottom w:w="50" w:type="dxa"/>
              <w:left w:w="50" w:type="dxa"/>
              <w:right w:w="50" w:type="dxa"/>
            </w:tcMar>
          </w:tcPr>
          <w:p>
            <w:pPr>
              <w:spacing w:after="0"/>
            </w:pPr>
            <w:r>
              <w:rPr>
                <w:rFonts w:ascii="Times New Roman" w:hAnsi="Times New Roman"/>
                <w:sz w:val="16"/>
              </w:rPr>
              <w:t>Good understanding with minor gaps</w:t>
            </w:r>
          </w:p>
        </w:tc>
        <w:tc>
          <w:tcPr>
            <w:tcW w:type="dxa" w:w="1728"/>
            <w:shd w:fill="F4F6F9"/>
            <w:tcMar>
              <w:top w:w="50" w:type="dxa"/>
              <w:bottom w:w="50" w:type="dxa"/>
              <w:left w:w="50" w:type="dxa"/>
              <w:right w:w="50" w:type="dxa"/>
            </w:tcMar>
          </w:tcPr>
          <w:p>
            <w:pPr>
              <w:spacing w:after="0"/>
            </w:pPr>
            <w:r>
              <w:rPr>
                <w:rFonts w:ascii="Times New Roman" w:hAnsi="Times New Roman"/>
                <w:sz w:val="16"/>
              </w:rPr>
              <w:t>Basic understanding with some misconceptions</w:t>
            </w:r>
          </w:p>
        </w:tc>
        <w:tc>
          <w:tcPr>
            <w:tcW w:type="dxa" w:w="1440"/>
            <w:shd w:fill="F4F6F9"/>
            <w:tcMar>
              <w:top w:w="50" w:type="dxa"/>
              <w:bottom w:w="50" w:type="dxa"/>
              <w:left w:w="50" w:type="dxa"/>
              <w:right w:w="50" w:type="dxa"/>
            </w:tcMar>
          </w:tcPr>
          <w:p>
            <w:pPr>
              <w:spacing w:after="0"/>
            </w:pPr>
            <w:r>
              <w:rPr>
                <w:rFonts w:ascii="Times New Roman" w:hAnsi="Times New Roman"/>
                <w:sz w:val="16"/>
              </w:rPr>
              <w:t>Poor understanding; major misconceptions</w:t>
            </w:r>
          </w:p>
        </w:tc>
        <w:tc>
          <w:tcPr>
            <w:tcW w:type="dxa" w:w="720"/>
            <w:shd w:fill="F4F6F9"/>
            <w:tcMar>
              <w:top w:w="50" w:type="dxa"/>
              <w:bottom w:w="50" w:type="dxa"/>
              <w:left w:w="50" w:type="dxa"/>
              <w:right w:w="50" w:type="dxa"/>
            </w:tcMar>
          </w:tcPr>
          <w:p>
            <w:pPr>
              <w:spacing w:after="0"/>
            </w:pPr>
            <w:r>
              <w:rPr>
                <w:rFonts w:ascii="Times New Roman" w:hAnsi="Times New Roman"/>
                <w:sz w:val="16"/>
              </w:rPr>
            </w:r>
          </w:p>
        </w:tc>
      </w:tr>
      <w:tr>
        <w:tc>
          <w:tcPr>
            <w:tcW w:type="dxa" w:w="1584"/>
            <w:shd w:fill="FFFFFF"/>
            <w:tcMar>
              <w:top w:w="50" w:type="dxa"/>
              <w:bottom w:w="50" w:type="dxa"/>
              <w:left w:w="50" w:type="dxa"/>
              <w:right w:w="50" w:type="dxa"/>
            </w:tcMar>
          </w:tcPr>
          <w:p>
            <w:pPr>
              <w:spacing w:after="0"/>
            </w:pPr>
            <w:r>
              <w:rPr>
                <w:rFonts w:ascii="Times New Roman" w:hAnsi="Times New Roman"/>
                <w:sz w:val="16"/>
              </w:rPr>
              <w:t>Explanation</w:t>
            </w:r>
          </w:p>
        </w:tc>
        <w:tc>
          <w:tcPr>
            <w:tcW w:type="dxa" w:w="1008"/>
            <w:shd w:fill="FFFFFF"/>
            <w:tcMar>
              <w:top w:w="50" w:type="dxa"/>
              <w:bottom w:w="50" w:type="dxa"/>
              <w:left w:w="50" w:type="dxa"/>
              <w:right w:w="50" w:type="dxa"/>
            </w:tcMar>
          </w:tcPr>
          <w:p>
            <w:pPr>
              <w:spacing w:after="0"/>
            </w:pPr>
            <w:r>
              <w:rPr>
                <w:rFonts w:ascii="Times New Roman" w:hAnsi="Times New Roman"/>
                <w:sz w:val="16"/>
              </w:rPr>
              <w:t>25%</w:t>
            </w:r>
          </w:p>
        </w:tc>
        <w:tc>
          <w:tcPr>
            <w:tcW w:type="dxa" w:w="1728"/>
            <w:shd w:fill="FFFFFF"/>
            <w:tcMar>
              <w:top w:w="50" w:type="dxa"/>
              <w:bottom w:w="50" w:type="dxa"/>
              <w:left w:w="50" w:type="dxa"/>
              <w:right w:w="50" w:type="dxa"/>
            </w:tcMar>
          </w:tcPr>
          <w:p>
            <w:pPr>
              <w:spacing w:after="0"/>
            </w:pPr>
            <w:r>
              <w:rPr>
                <w:rFonts w:ascii="Times New Roman" w:hAnsi="Times New Roman"/>
                <w:sz w:val="16"/>
              </w:rPr>
              <w:t>Detailed, well-explained answers with relevant examples</w:t>
            </w:r>
          </w:p>
        </w:tc>
        <w:tc>
          <w:tcPr>
            <w:tcW w:type="dxa" w:w="1728"/>
            <w:shd w:fill="FFFFFF"/>
            <w:tcMar>
              <w:top w:w="50" w:type="dxa"/>
              <w:bottom w:w="50" w:type="dxa"/>
              <w:left w:w="50" w:type="dxa"/>
              <w:right w:w="50" w:type="dxa"/>
            </w:tcMar>
          </w:tcPr>
          <w:p>
            <w:pPr>
              <w:spacing w:after="0"/>
            </w:pPr>
            <w:r>
              <w:rPr>
                <w:rFonts w:ascii="Times New Roman" w:hAnsi="Times New Roman"/>
                <w:sz w:val="16"/>
              </w:rPr>
              <w:t>Clear explanation with adequate details</w:t>
            </w:r>
          </w:p>
        </w:tc>
        <w:tc>
          <w:tcPr>
            <w:tcW w:type="dxa" w:w="1728"/>
            <w:shd w:fill="FFFFFF"/>
            <w:tcMar>
              <w:top w:w="50" w:type="dxa"/>
              <w:bottom w:w="50" w:type="dxa"/>
              <w:left w:w="50" w:type="dxa"/>
              <w:right w:w="50" w:type="dxa"/>
            </w:tcMar>
          </w:tcPr>
          <w:p>
            <w:pPr>
              <w:spacing w:after="0"/>
            </w:pPr>
            <w:r>
              <w:rPr>
                <w:rFonts w:ascii="Times New Roman" w:hAnsi="Times New Roman"/>
                <w:sz w:val="16"/>
              </w:rPr>
              <w:t>Limited explanation; lacks depth</w:t>
            </w:r>
          </w:p>
        </w:tc>
        <w:tc>
          <w:tcPr>
            <w:tcW w:type="dxa" w:w="1440"/>
            <w:shd w:fill="FFFFFF"/>
            <w:tcMar>
              <w:top w:w="50" w:type="dxa"/>
              <w:bottom w:w="50" w:type="dxa"/>
              <w:left w:w="50" w:type="dxa"/>
              <w:right w:w="50" w:type="dxa"/>
            </w:tcMar>
          </w:tcPr>
          <w:p>
            <w:pPr>
              <w:spacing w:after="0"/>
            </w:pPr>
            <w:r>
              <w:rPr>
                <w:rFonts w:ascii="Times New Roman" w:hAnsi="Times New Roman"/>
                <w:sz w:val="16"/>
              </w:rPr>
              <w:t>Poor or unclear explanation</w:t>
            </w:r>
          </w:p>
        </w:tc>
        <w:tc>
          <w:tcPr>
            <w:tcW w:type="dxa" w:w="720"/>
            <w:shd w:fill="FFFFFF"/>
            <w:tcMar>
              <w:top w:w="50" w:type="dxa"/>
              <w:bottom w:w="50" w:type="dxa"/>
              <w:left w:w="50" w:type="dxa"/>
              <w:right w:w="50" w:type="dxa"/>
            </w:tcMar>
          </w:tcPr>
          <w:p>
            <w:pPr>
              <w:spacing w:after="0"/>
            </w:pPr>
            <w:r>
              <w:rPr>
                <w:rFonts w:ascii="Times New Roman" w:hAnsi="Times New Roman"/>
                <w:sz w:val="16"/>
              </w:rPr>
            </w:r>
          </w:p>
        </w:tc>
      </w:tr>
      <w:tr>
        <w:tc>
          <w:tcPr>
            <w:tcW w:type="dxa" w:w="1584"/>
            <w:shd w:fill="F4F6F9"/>
            <w:tcMar>
              <w:top w:w="50" w:type="dxa"/>
              <w:bottom w:w="50" w:type="dxa"/>
              <w:left w:w="50" w:type="dxa"/>
              <w:right w:w="50" w:type="dxa"/>
            </w:tcMar>
          </w:tcPr>
          <w:p>
            <w:pPr>
              <w:spacing w:after="0"/>
            </w:pPr>
            <w:r>
              <w:rPr>
                <w:rFonts w:ascii="Times New Roman" w:hAnsi="Times New Roman"/>
                <w:sz w:val="16"/>
              </w:rPr>
              <w:t>Application</w:t>
            </w:r>
          </w:p>
        </w:tc>
        <w:tc>
          <w:tcPr>
            <w:tcW w:type="dxa" w:w="1008"/>
            <w:shd w:fill="F4F6F9"/>
            <w:tcMar>
              <w:top w:w="50" w:type="dxa"/>
              <w:bottom w:w="50" w:type="dxa"/>
              <w:left w:w="50" w:type="dxa"/>
              <w:right w:w="50" w:type="dxa"/>
            </w:tcMar>
          </w:tcPr>
          <w:p>
            <w:pPr>
              <w:spacing w:after="0"/>
            </w:pPr>
            <w:r>
              <w:rPr>
                <w:rFonts w:ascii="Times New Roman" w:hAnsi="Times New Roman"/>
                <w:sz w:val="16"/>
              </w:rPr>
              <w:t>20%</w:t>
            </w:r>
          </w:p>
        </w:tc>
        <w:tc>
          <w:tcPr>
            <w:tcW w:type="dxa" w:w="1728"/>
            <w:shd w:fill="F4F6F9"/>
            <w:tcMar>
              <w:top w:w="50" w:type="dxa"/>
              <w:bottom w:w="50" w:type="dxa"/>
              <w:left w:w="50" w:type="dxa"/>
              <w:right w:w="50" w:type="dxa"/>
            </w:tcMar>
          </w:tcPr>
          <w:p>
            <w:pPr>
              <w:spacing w:after="0"/>
            </w:pPr>
            <w:r>
              <w:rPr>
                <w:rFonts w:ascii="Times New Roman" w:hAnsi="Times New Roman"/>
                <w:sz w:val="16"/>
              </w:rPr>
              <w:t>Effectively applies concepts with strong analytical ability</w:t>
            </w:r>
          </w:p>
        </w:tc>
        <w:tc>
          <w:tcPr>
            <w:tcW w:type="dxa" w:w="1728"/>
            <w:shd w:fill="F4F6F9"/>
            <w:tcMar>
              <w:top w:w="50" w:type="dxa"/>
              <w:bottom w:w="50" w:type="dxa"/>
              <w:left w:w="50" w:type="dxa"/>
              <w:right w:w="50" w:type="dxa"/>
            </w:tcMar>
          </w:tcPr>
          <w:p>
            <w:pPr>
              <w:spacing w:after="0"/>
            </w:pPr>
            <w:r>
              <w:rPr>
                <w:rFonts w:ascii="Times New Roman" w:hAnsi="Times New Roman"/>
                <w:sz w:val="16"/>
              </w:rPr>
              <w:t>Applies concepts with minor errors</w:t>
            </w:r>
          </w:p>
        </w:tc>
        <w:tc>
          <w:tcPr>
            <w:tcW w:type="dxa" w:w="1728"/>
            <w:shd w:fill="F4F6F9"/>
            <w:tcMar>
              <w:top w:w="50" w:type="dxa"/>
              <w:bottom w:w="50" w:type="dxa"/>
              <w:left w:w="50" w:type="dxa"/>
              <w:right w:w="50" w:type="dxa"/>
            </w:tcMar>
          </w:tcPr>
          <w:p>
            <w:pPr>
              <w:spacing w:after="0"/>
            </w:pPr>
            <w:r>
              <w:rPr>
                <w:rFonts w:ascii="Times New Roman" w:hAnsi="Times New Roman"/>
                <w:sz w:val="16"/>
              </w:rPr>
              <w:t>Limited application with weak analysis</w:t>
            </w:r>
          </w:p>
        </w:tc>
        <w:tc>
          <w:tcPr>
            <w:tcW w:type="dxa" w:w="1440"/>
            <w:shd w:fill="F4F6F9"/>
            <w:tcMar>
              <w:top w:w="50" w:type="dxa"/>
              <w:bottom w:w="50" w:type="dxa"/>
              <w:left w:w="50" w:type="dxa"/>
              <w:right w:w="50" w:type="dxa"/>
            </w:tcMar>
          </w:tcPr>
          <w:p>
            <w:pPr>
              <w:spacing w:after="0"/>
            </w:pPr>
            <w:r>
              <w:rPr>
                <w:rFonts w:ascii="Times New Roman" w:hAnsi="Times New Roman"/>
                <w:sz w:val="16"/>
              </w:rPr>
              <w:t>No application or incorrect analysis</w:t>
            </w:r>
          </w:p>
        </w:tc>
        <w:tc>
          <w:tcPr>
            <w:tcW w:type="dxa" w:w="720"/>
            <w:shd w:fill="F4F6F9"/>
            <w:tcMar>
              <w:top w:w="50" w:type="dxa"/>
              <w:bottom w:w="50" w:type="dxa"/>
              <w:left w:w="50" w:type="dxa"/>
              <w:right w:w="50" w:type="dxa"/>
            </w:tcMar>
          </w:tcPr>
          <w:p>
            <w:pPr>
              <w:spacing w:after="0"/>
            </w:pPr>
            <w:r>
              <w:rPr>
                <w:rFonts w:ascii="Times New Roman" w:hAnsi="Times New Roman"/>
                <w:sz w:val="16"/>
              </w:rPr>
            </w:r>
          </w:p>
        </w:tc>
      </w:tr>
      <w:tr>
        <w:tc>
          <w:tcPr>
            <w:tcW w:type="dxa" w:w="1584"/>
            <w:shd w:fill="FFFFFF"/>
            <w:tcMar>
              <w:top w:w="50" w:type="dxa"/>
              <w:bottom w:w="50" w:type="dxa"/>
              <w:left w:w="50" w:type="dxa"/>
              <w:right w:w="50" w:type="dxa"/>
            </w:tcMar>
          </w:tcPr>
          <w:p>
            <w:pPr>
              <w:spacing w:after="0"/>
            </w:pPr>
            <w:r>
              <w:rPr>
                <w:rFonts w:ascii="Times New Roman" w:hAnsi="Times New Roman"/>
                <w:sz w:val="16"/>
              </w:rPr>
              <w:t>Organization</w:t>
            </w:r>
          </w:p>
        </w:tc>
        <w:tc>
          <w:tcPr>
            <w:tcW w:type="dxa" w:w="1008"/>
            <w:shd w:fill="FFFFFF"/>
            <w:tcMar>
              <w:top w:w="50" w:type="dxa"/>
              <w:bottom w:w="50" w:type="dxa"/>
              <w:left w:w="50" w:type="dxa"/>
              <w:right w:w="50" w:type="dxa"/>
            </w:tcMar>
          </w:tcPr>
          <w:p>
            <w:pPr>
              <w:spacing w:after="0"/>
            </w:pPr>
            <w:r>
              <w:rPr>
                <w:rFonts w:ascii="Times New Roman" w:hAnsi="Times New Roman"/>
                <w:sz w:val="16"/>
              </w:rPr>
              <w:t>15%</w:t>
            </w:r>
          </w:p>
        </w:tc>
        <w:tc>
          <w:tcPr>
            <w:tcW w:type="dxa" w:w="1728"/>
            <w:shd w:fill="FFFFFF"/>
            <w:tcMar>
              <w:top w:w="50" w:type="dxa"/>
              <w:bottom w:w="50" w:type="dxa"/>
              <w:left w:w="50" w:type="dxa"/>
              <w:right w:w="50" w:type="dxa"/>
            </w:tcMar>
          </w:tcPr>
          <w:p>
            <w:pPr>
              <w:spacing w:after="0"/>
            </w:pPr>
            <w:r>
              <w:rPr>
                <w:rFonts w:ascii="Times New Roman" w:hAnsi="Times New Roman"/>
                <w:sz w:val="16"/>
              </w:rPr>
              <w:t>Well-structured answers with logical flow and coherence</w:t>
            </w:r>
          </w:p>
        </w:tc>
        <w:tc>
          <w:tcPr>
            <w:tcW w:type="dxa" w:w="1728"/>
            <w:shd w:fill="FFFFFF"/>
            <w:tcMar>
              <w:top w:w="50" w:type="dxa"/>
              <w:bottom w:w="50" w:type="dxa"/>
              <w:left w:w="50" w:type="dxa"/>
              <w:right w:w="50" w:type="dxa"/>
            </w:tcMar>
          </w:tcPr>
          <w:p>
            <w:pPr>
              <w:spacing w:after="0"/>
            </w:pPr>
            <w:r>
              <w:rPr>
                <w:rFonts w:ascii="Times New Roman" w:hAnsi="Times New Roman"/>
                <w:sz w:val="16"/>
              </w:rPr>
              <w:t>Organized with minor issues in flow</w:t>
            </w:r>
          </w:p>
        </w:tc>
        <w:tc>
          <w:tcPr>
            <w:tcW w:type="dxa" w:w="1728"/>
            <w:shd w:fill="FFFFFF"/>
            <w:tcMar>
              <w:top w:w="50" w:type="dxa"/>
              <w:bottom w:w="50" w:type="dxa"/>
              <w:left w:w="50" w:type="dxa"/>
              <w:right w:w="50" w:type="dxa"/>
            </w:tcMar>
          </w:tcPr>
          <w:p>
            <w:pPr>
              <w:spacing w:after="0"/>
            </w:pPr>
            <w:r>
              <w:rPr>
                <w:rFonts w:ascii="Times New Roman" w:hAnsi="Times New Roman"/>
                <w:sz w:val="16"/>
              </w:rPr>
              <w:t>Basic structure, lacks clarity</w:t>
            </w:r>
          </w:p>
        </w:tc>
        <w:tc>
          <w:tcPr>
            <w:tcW w:type="dxa" w:w="1440"/>
            <w:shd w:fill="FFFFFF"/>
            <w:tcMar>
              <w:top w:w="50" w:type="dxa"/>
              <w:bottom w:w="50" w:type="dxa"/>
              <w:left w:w="50" w:type="dxa"/>
              <w:right w:w="50" w:type="dxa"/>
            </w:tcMar>
          </w:tcPr>
          <w:p>
            <w:pPr>
              <w:spacing w:after="0"/>
            </w:pPr>
            <w:r>
              <w:rPr>
                <w:rFonts w:ascii="Times New Roman" w:hAnsi="Times New Roman"/>
                <w:sz w:val="16"/>
              </w:rPr>
              <w:t>Poor organization, incoherent answers</w:t>
            </w:r>
          </w:p>
        </w:tc>
        <w:tc>
          <w:tcPr>
            <w:tcW w:type="dxa" w:w="720"/>
            <w:shd w:fill="FFFFFF"/>
            <w:tcMar>
              <w:top w:w="50" w:type="dxa"/>
              <w:bottom w:w="50" w:type="dxa"/>
              <w:left w:w="50" w:type="dxa"/>
              <w:right w:w="50" w:type="dxa"/>
            </w:tcMar>
          </w:tcPr>
          <w:p>
            <w:pPr>
              <w:spacing w:after="0"/>
            </w:pPr>
            <w:r>
              <w:rPr>
                <w:rFonts w:ascii="Times New Roman" w:hAnsi="Times New Roman"/>
                <w:sz w:val="16"/>
              </w:rPr>
            </w:r>
          </w:p>
        </w:tc>
      </w:tr>
      <w:tr>
        <w:tc>
          <w:tcPr>
            <w:tcW w:type="dxa" w:w="1584"/>
            <w:shd w:fill="F4F6F9"/>
            <w:tcMar>
              <w:top w:w="50" w:type="dxa"/>
              <w:bottom w:w="50" w:type="dxa"/>
              <w:left w:w="50" w:type="dxa"/>
              <w:right w:w="50" w:type="dxa"/>
            </w:tcMar>
          </w:tcPr>
          <w:p>
            <w:pPr>
              <w:spacing w:after="0"/>
            </w:pPr>
            <w:r>
              <w:rPr>
                <w:rFonts w:ascii="Times New Roman" w:hAnsi="Times New Roman"/>
                <w:sz w:val="16"/>
              </w:rPr>
              <w:t>Accuracy</w:t>
            </w:r>
          </w:p>
        </w:tc>
        <w:tc>
          <w:tcPr>
            <w:tcW w:type="dxa" w:w="1008"/>
            <w:shd w:fill="F4F6F9"/>
            <w:tcMar>
              <w:top w:w="50" w:type="dxa"/>
              <w:bottom w:w="50" w:type="dxa"/>
              <w:left w:w="50" w:type="dxa"/>
              <w:right w:w="50" w:type="dxa"/>
            </w:tcMar>
          </w:tcPr>
          <w:p>
            <w:pPr>
              <w:spacing w:after="0"/>
            </w:pPr>
            <w:r>
              <w:rPr>
                <w:rFonts w:ascii="Times New Roman" w:hAnsi="Times New Roman"/>
                <w:sz w:val="16"/>
              </w:rPr>
              <w:t>10%</w:t>
            </w:r>
          </w:p>
        </w:tc>
        <w:tc>
          <w:tcPr>
            <w:tcW w:type="dxa" w:w="1728"/>
            <w:shd w:fill="F4F6F9"/>
            <w:tcMar>
              <w:top w:w="50" w:type="dxa"/>
              <w:bottom w:w="50" w:type="dxa"/>
              <w:left w:w="50" w:type="dxa"/>
              <w:right w:w="50" w:type="dxa"/>
            </w:tcMar>
          </w:tcPr>
          <w:p>
            <w:pPr>
              <w:spacing w:after="0"/>
            </w:pPr>
            <w:r>
              <w:rPr>
                <w:rFonts w:ascii="Times New Roman" w:hAnsi="Times New Roman"/>
                <w:sz w:val="16"/>
              </w:rPr>
              <w:t>Completely accurate and covers all required points</w:t>
            </w:r>
          </w:p>
        </w:tc>
        <w:tc>
          <w:tcPr>
            <w:tcW w:type="dxa" w:w="1728"/>
            <w:shd w:fill="F4F6F9"/>
            <w:tcMar>
              <w:top w:w="50" w:type="dxa"/>
              <w:bottom w:w="50" w:type="dxa"/>
              <w:left w:w="50" w:type="dxa"/>
              <w:right w:w="50" w:type="dxa"/>
            </w:tcMar>
          </w:tcPr>
          <w:p>
            <w:pPr>
              <w:spacing w:after="0"/>
            </w:pPr>
            <w:r>
              <w:rPr>
                <w:rFonts w:ascii="Times New Roman" w:hAnsi="Times New Roman"/>
                <w:sz w:val="16"/>
              </w:rPr>
              <w:t>Mostly accurate with minor omissions</w:t>
            </w:r>
          </w:p>
        </w:tc>
        <w:tc>
          <w:tcPr>
            <w:tcW w:type="dxa" w:w="1728"/>
            <w:shd w:fill="F4F6F9"/>
            <w:tcMar>
              <w:top w:w="50" w:type="dxa"/>
              <w:bottom w:w="50" w:type="dxa"/>
              <w:left w:w="50" w:type="dxa"/>
              <w:right w:w="50" w:type="dxa"/>
            </w:tcMar>
          </w:tcPr>
          <w:p>
            <w:pPr>
              <w:spacing w:after="0"/>
            </w:pPr>
            <w:r>
              <w:rPr>
                <w:rFonts w:ascii="Times New Roman" w:hAnsi="Times New Roman"/>
                <w:sz w:val="16"/>
              </w:rPr>
              <w:t>Partially correct with missing points</w:t>
            </w:r>
          </w:p>
        </w:tc>
        <w:tc>
          <w:tcPr>
            <w:tcW w:type="dxa" w:w="1440"/>
            <w:shd w:fill="F4F6F9"/>
            <w:tcMar>
              <w:top w:w="50" w:type="dxa"/>
              <w:bottom w:w="50" w:type="dxa"/>
              <w:left w:w="50" w:type="dxa"/>
              <w:right w:w="50" w:type="dxa"/>
            </w:tcMar>
          </w:tcPr>
          <w:p>
            <w:pPr>
              <w:spacing w:after="0"/>
            </w:pPr>
            <w:r>
              <w:rPr>
                <w:rFonts w:ascii="Times New Roman" w:hAnsi="Times New Roman"/>
                <w:sz w:val="16"/>
              </w:rPr>
              <w:t>Incorrect answers with major gaps</w:t>
            </w:r>
          </w:p>
        </w:tc>
        <w:tc>
          <w:tcPr>
            <w:tcW w:type="dxa" w:w="720"/>
            <w:shd w:fill="F4F6F9"/>
            <w:tcMar>
              <w:top w:w="50" w:type="dxa"/>
              <w:bottom w:w="50" w:type="dxa"/>
              <w:left w:w="50" w:type="dxa"/>
              <w:right w:w="50" w:type="dxa"/>
            </w:tcMar>
          </w:tcPr>
          <w:p>
            <w:pPr>
              <w:spacing w:after="0"/>
            </w:pPr>
            <w:r>
              <w:rPr>
                <w:rFonts w:ascii="Times New Roman" w:hAnsi="Times New Roman"/>
                <w:sz w:val="16"/>
              </w:rPr>
            </w:r>
          </w:p>
        </w:tc>
      </w:tr>
      <w:tr>
        <w:tc>
          <w:tcPr>
            <w:tcW w:type="dxa" w:w="1584"/>
            <w:shd w:fill="FFFFFF"/>
            <w:tcMar>
              <w:top w:w="50" w:type="dxa"/>
              <w:bottom w:w="50" w:type="dxa"/>
              <w:left w:w="50" w:type="dxa"/>
              <w:right w:w="50" w:type="dxa"/>
            </w:tcMar>
          </w:tcPr>
          <w:p>
            <w:pPr>
              <w:spacing w:after="0"/>
            </w:pPr>
            <w:r>
              <w:rPr>
                <w:rFonts w:ascii="Times New Roman" w:hAnsi="Times New Roman"/>
                <w:sz w:val="16"/>
              </w:rPr>
              <w:t>Clarity</w:t>
            </w:r>
          </w:p>
        </w:tc>
        <w:tc>
          <w:tcPr>
            <w:tcW w:type="dxa" w:w="1008"/>
            <w:shd w:fill="FFFFFF"/>
            <w:tcMar>
              <w:top w:w="50" w:type="dxa"/>
              <w:bottom w:w="50" w:type="dxa"/>
              <w:left w:w="50" w:type="dxa"/>
              <w:right w:w="50" w:type="dxa"/>
            </w:tcMar>
          </w:tcPr>
          <w:p>
            <w:pPr>
              <w:spacing w:after="0"/>
            </w:pPr>
            <w:r>
              <w:rPr>
                <w:rFonts w:ascii="Times New Roman" w:hAnsi="Times New Roman"/>
                <w:sz w:val="16"/>
              </w:rPr>
              <w:t>5%</w:t>
            </w:r>
          </w:p>
        </w:tc>
        <w:tc>
          <w:tcPr>
            <w:tcW w:type="dxa" w:w="1728"/>
            <w:shd w:fill="FFFFFF"/>
            <w:tcMar>
              <w:top w:w="50" w:type="dxa"/>
              <w:bottom w:w="50" w:type="dxa"/>
              <w:left w:w="50" w:type="dxa"/>
              <w:right w:w="50" w:type="dxa"/>
            </w:tcMar>
          </w:tcPr>
          <w:p>
            <w:pPr>
              <w:spacing w:after="0"/>
            </w:pPr>
            <w:r>
              <w:rPr>
                <w:rFonts w:ascii="Times New Roman" w:hAnsi="Times New Roman"/>
                <w:sz w:val="16"/>
              </w:rPr>
              <w:t>Clear, neat, professional presentation</w:t>
            </w:r>
          </w:p>
        </w:tc>
        <w:tc>
          <w:tcPr>
            <w:tcW w:type="dxa" w:w="1728"/>
            <w:shd w:fill="FFFFFF"/>
            <w:tcMar>
              <w:top w:w="50" w:type="dxa"/>
              <w:bottom w:w="50" w:type="dxa"/>
              <w:left w:w="50" w:type="dxa"/>
              <w:right w:w="50" w:type="dxa"/>
            </w:tcMar>
          </w:tcPr>
          <w:p>
            <w:pPr>
              <w:spacing w:after="0"/>
            </w:pPr>
            <w:r>
              <w:rPr>
                <w:rFonts w:ascii="Times New Roman" w:hAnsi="Times New Roman"/>
                <w:sz w:val="16"/>
              </w:rPr>
              <w:t>Understandable with minor issues</w:t>
            </w:r>
          </w:p>
        </w:tc>
        <w:tc>
          <w:tcPr>
            <w:tcW w:type="dxa" w:w="1728"/>
            <w:shd w:fill="FFFFFF"/>
            <w:tcMar>
              <w:top w:w="50" w:type="dxa"/>
              <w:bottom w:w="50" w:type="dxa"/>
              <w:left w:w="50" w:type="dxa"/>
              <w:right w:w="50" w:type="dxa"/>
            </w:tcMar>
          </w:tcPr>
          <w:p>
            <w:pPr>
              <w:spacing w:after="0"/>
            </w:pPr>
            <w:r>
              <w:rPr>
                <w:rFonts w:ascii="Times New Roman" w:hAnsi="Times New Roman"/>
                <w:sz w:val="16"/>
              </w:rPr>
              <w:t>Limited clarity, readability issues</w:t>
            </w:r>
          </w:p>
        </w:tc>
        <w:tc>
          <w:tcPr>
            <w:tcW w:type="dxa" w:w="1440"/>
            <w:shd w:fill="FFFFFF"/>
            <w:tcMar>
              <w:top w:w="50" w:type="dxa"/>
              <w:bottom w:w="50" w:type="dxa"/>
              <w:left w:w="50" w:type="dxa"/>
              <w:right w:w="50" w:type="dxa"/>
            </w:tcMar>
          </w:tcPr>
          <w:p>
            <w:pPr>
              <w:spacing w:after="0"/>
            </w:pPr>
            <w:r>
              <w:rPr>
                <w:rFonts w:ascii="Times New Roman" w:hAnsi="Times New Roman"/>
                <w:sz w:val="16"/>
              </w:rPr>
              <w:t>Poorly written, difficult to understand</w:t>
            </w:r>
          </w:p>
        </w:tc>
        <w:tc>
          <w:tcPr>
            <w:tcW w:type="dxa" w:w="720"/>
            <w:shd w:fill="FFFFFF"/>
            <w:tcMar>
              <w:top w:w="50" w:type="dxa"/>
              <w:bottom w:w="50" w:type="dxa"/>
              <w:left w:w="50" w:type="dxa"/>
              <w:right w:w="50" w:type="dxa"/>
            </w:tcMar>
          </w:tcPr>
          <w:p>
            <w:pPr>
              <w:spacing w:after="0"/>
            </w:pPr>
            <w:r>
              <w:rPr>
                <w:rFonts w:ascii="Times New Roman" w:hAnsi="Times New Roman"/>
                <w:sz w:val="16"/>
              </w:rPr>
            </w:r>
          </w:p>
        </w:tc>
      </w:tr>
    </w:tbl>
    <w:p>
      <w:pPr>
        <w:spacing w:after="200"/>
      </w:pPr>
    </w:p>
    <w:p>
      <w:pPr>
        <w:keepNext/>
        <w:spacing w:before="280" w:after="120"/>
        <w:pBdr>
          <w:bottom w:val="single" w:sz="8" w:space="1" w:color="1B365D"/>
        </w:pBdr>
      </w:pPr>
      <w:r>
        <w:rPr>
          <w:rFonts w:ascii="Times New Roman" w:hAnsi="Times New Roman"/>
          <w:b/>
          <w:color w:val="1B365D"/>
          <w:sz w:val="24"/>
        </w:rPr>
        <w:t>Question 1: Image Preprocessing and Feature Extraction (10 Marks)</w:t>
      </w:r>
    </w:p>
    <w:tbl>
      <w:tblPr>
        <w:tblW w:type="auto" w:w="0"/>
        <w:jc w:val="center"/>
        <w:tblLayout w:type="fixed"/>
        <w:tblLook w:firstColumn="1" w:firstRow="1" w:lastColumn="0" w:lastRow="0" w:noHBand="0" w:noVBand="1" w:val="04A0"/>
      </w:tblPr>
      <w:tblGrid>
        <w:gridCol w:w="10080"/>
      </w:tblGrid>
      <w:tr>
        <w:tc>
          <w:tcPr>
            <w:tcW w:type="dxa" w:w="9936"/>
            <w:shd w:fill="F4F6F9"/>
            <w:tcMar>
              <w:top w:w="80" w:type="dxa"/>
              <w:bottom w:w="80" w:type="dxa"/>
              <w:left w:w="120" w:type="dxa"/>
              <w:right w:w="120" w:type="dxa"/>
            </w:tcMar>
            <w:tcBorders>
              <w:left w:val="single" w:sz="24" w:space="0" w:color="1B365D"/>
              <w:top w:val="none"/>
              <w:right w:val="none"/>
              <w:bottom w:val="none"/>
            </w:tcBorders>
          </w:tcPr>
          <w:p>
            <w:pPr>
              <w:spacing w:before="80" w:after="80"/>
            </w:pPr>
            <w:r>
              <w:rPr>
                <w:rFonts w:ascii="Times New Roman" w:hAnsi="Times New Roman"/>
                <w:b/>
                <w:color w:val="1B365D"/>
              </w:rPr>
              <w:t>SCENARIO: Drone Aerial Farmland Pest Damage Identification</w:t>
              <w:br/>
            </w:r>
            <w:r>
              <w:rPr>
                <w:rFonts w:ascii="Times New Roman" w:hAnsi="Times New Roman"/>
                <w:i/>
              </w:rPr>
              <w:t>A drone is used to capture aerial images of a farmland to identify pest-affected crop regions. Due to sensor limitations, wind movement, and changing sunlight, the captured images contain noise, shadows, and uneven illumination. Pest-affected areas usually show visible texture and color variations compared to healthy crop regions.</w:t>
            </w:r>
          </w:p>
        </w:tc>
      </w:tr>
    </w:tbl>
    <w:p>
      <w:pPr>
        <w:spacing w:after="80"/>
      </w:pPr>
    </w:p>
    <w:p>
      <w:pPr>
        <w:keepNext/>
        <w:spacing w:before="200" w:after="80"/>
      </w:pPr>
      <w:r>
        <w:rPr>
          <w:rFonts w:ascii="Times New Roman" w:hAnsi="Times New Roman"/>
          <w:b/>
          <w:color w:val="005588"/>
          <w:sz w:val="22"/>
        </w:rPr>
        <w:t>a) Preprocessing Pipeline — Comprehensive Multi-Stage Architecture (4 Marks)</w:t>
      </w:r>
    </w:p>
    <w:p>
      <w:pPr>
        <w:spacing w:after="80" w:line="276" w:lineRule="auto"/>
      </w:pPr>
      <w:r>
        <w:rPr>
          <w:rFonts w:ascii="Times New Roman" w:hAnsi="Times New Roman"/>
        </w:rPr>
        <w:t>To prepare raw aerial farmland drone images for automated pest detection, a multi-stage sequential image processing pipeline must be implemented. Raw images suffer from atmospheric turbulence, wind-induced motion blur, sensor thermal noise, non-uniform solar illumination, and cloud cast shadows. Below is the complete mathematical and algorithmic formulation of the preprocessing pipeline:</w:t>
      </w:r>
    </w:p>
    <w:p>
      <w:pPr>
        <w:pStyle w:val="ListBullet"/>
        <w:spacing w:after="60" w:line="276" w:lineRule="auto"/>
      </w:pPr>
      <w:r>
        <w:rPr>
          <w:rFonts w:ascii="Times New Roman" w:hAnsi="Times New Roman"/>
          <w:b/>
          <w:color w:val="1B365D"/>
        </w:rPr>
        <w:t xml:space="preserve">Stage 1: Noise Reduction &amp; Edge-Preserving Filtering (Bilateral Filter / Gaussian Smoothing): </w:t>
      </w:r>
      <w:r>
        <w:rPr>
          <w:rFonts w:ascii="Times New Roman" w:hAnsi="Times New Roman"/>
        </w:rPr>
        <w:t>Sensor thermal noise and small motion blur are smoothed using an Edge-Preserving Bilateral Filter. Standard Gaussian filters compute spatial distance weighting, which blurs leaf margins. The Bilateral Filter combines spatial domain Gaussian weighting with intensity range Gaussian weighting:</w:t>
      </w:r>
    </w:p>
    <w:p>
      <w:pPr>
        <w:spacing w:after="80" w:line="276" w:lineRule="auto"/>
      </w:pPr>
      <w:r>
        <w:rPr>
          <w:rFonts w:ascii="Times New Roman" w:hAnsi="Times New Roman"/>
        </w:rPr>
        <w:t xml:space="preserve">    BF[I]_p = (1 / W_p) * Sum_{q in S} I_q * g_{sigma_s}(||p - q||) * g_{sigma_r}(|I_p - I_q|)</w:t>
        <w:br/>
        <w:t xml:space="preserve">    where g_{sigma_s} is the spatial Gaussian kernel controlling spatial neighborhood blur, g_{sigma_r} is the range Gaussian kernel controlling edge thresholding, and W_p is the normalization factor.</w:t>
        <w:br/>
        <w:t xml:space="preserve">    OpenCV Implementation: cv2.bilateralFilter(src, d=9, sigmaColor=75, sigmaSpace=75)</w:t>
        <w:br/>
        <w:t xml:space="preserve">    Engineering Justification: This stage eliminates high-frequency sensor noise and camera jitter while maintaining sharp boundaries between healthy leaf tissue and pest lesions.</w:t>
      </w:r>
    </w:p>
    <w:p>
      <w:pPr>
        <w:pStyle w:val="ListBullet"/>
        <w:spacing w:after="60" w:line="276" w:lineRule="auto"/>
      </w:pPr>
      <w:r>
        <w:rPr>
          <w:rFonts w:ascii="Times New Roman" w:hAnsi="Times New Roman"/>
          <w:b/>
          <w:color w:val="1B365D"/>
        </w:rPr>
        <w:t xml:space="preserve">Stage 2: Illumination Correction &amp; Cloud Shadow Removal (Homomorphic Filtering / Top-Hat Morphological Transform): </w:t>
      </w:r>
      <w:r>
        <w:rPr>
          <w:rFonts w:ascii="Times New Roman" w:hAnsi="Times New Roman"/>
        </w:rPr>
        <w:t>Solar angle changes and cloud shadows introduce non-uniform spatial illumination gradients. Homomorphic filtering models an image as the product of illumination i(x,y) (low spatial frequency) and reflectance r(x,y) (high spatial frequency):</w:t>
        <w:br/>
        <w:t xml:space="preserve">    f(x,y) = i(x,y) * r(x,y) =&gt; ln(f(x,y)) = ln(i(x,y)) + ln(r(x,y))</w:t>
        <w:br/>
        <w:t>Taking the 2D Fast Fourier Transform (FFT): F(u,v) = F(ln(i)) + F(ln(r)). Applying a Butterworth/Gaussian high-pass transfer function H(u,v) suppresses low-frequency illumination i(x,y) while boosting high-frequency reflectance r(x,y):</w:t>
        <w:br/>
        <w:t xml:space="preserve">    H(u,v) = (gamma_H - gamma_L) * [1 - exp(-c * (D^2(u,v) / D_0^2))] + gamma_L</w:t>
        <w:br/>
        <w:t xml:space="preserve">    OpenCV Alternative: Top-Hat Morphological Transform: TopHat(I) = I - (I o SE), using a large structuring element (e.g., 31x31 disk) to subtract uneven background lighting.</w:t>
        <w:br/>
        <w:t xml:space="preserve">    Engineering Justification: Ensures that subsequent thresholding and feature extraction algorithms operate on uniform background illumination across the entire 2D aerial field view.</w:t>
      </w:r>
    </w:p>
    <w:p>
      <w:pPr>
        <w:pStyle w:val="ListBullet"/>
        <w:spacing w:after="60" w:line="276" w:lineRule="auto"/>
      </w:pPr>
      <w:r>
        <w:rPr>
          <w:rFonts w:ascii="Times New Roman" w:hAnsi="Times New Roman"/>
          <w:b/>
          <w:color w:val="1B365D"/>
        </w:rPr>
        <w:t xml:space="preserve">Stage 3: Local Contrast Enhancement via CLAHE (Contrast Limited Adaptive Histogram Equalization): </w:t>
      </w:r>
      <w:r>
        <w:rPr>
          <w:rFonts w:ascii="Times New Roman" w:hAnsi="Times New Roman"/>
        </w:rPr>
        <w:t>Global histogram equalization amplifies background noise in uniform crop areas. CLAHE partitions the image into small contextual 8x8 tiles. For each tile, local intensity histogram is computed and clipped at a predefined limit (e.g., clipLimit=3.0) to prevent over-saturation. The clipped pixels are redistributed uniformly across the histogram before bilinear interpolation.</w:t>
        <w:br/>
        <w:t xml:space="preserve">    Color Space Processing: The image is transformed from RGB to CIE LAB color space. CLAHE is applied exclusively to the L* (Luminance) channel to preserve natural leaf color fidelity:</w:t>
        <w:br/>
        <w:t xml:space="preserve">    OpenCV Implementation: clahe = cv2.createCLAHE(clipLimit=3.0, tileGridSize=(8,8)); L_enhanced = clahe.apply(L_channel)</w:t>
        <w:br/>
        <w:t xml:space="preserve">    Engineering Justification: Enhances subtle local boundary contrast between discolored pest-nibbled leaf patches and healthy green foliage without distorting color channels.</w:t>
      </w:r>
    </w:p>
    <w:p>
      <w:pPr>
        <w:pStyle w:val="ListBullet"/>
        <w:spacing w:after="60" w:line="276" w:lineRule="auto"/>
      </w:pPr>
      <w:r>
        <w:rPr>
          <w:rFonts w:ascii="Times New Roman" w:hAnsi="Times New Roman"/>
          <w:b/>
          <w:color w:val="1B365D"/>
        </w:rPr>
        <w:t xml:space="preserve">Stage 4: Dynamic Range Min-Max Intensity Normalization: </w:t>
      </w:r>
      <w:r>
        <w:rPr>
          <w:rFonts w:ascii="Times New Roman" w:hAnsi="Times New Roman"/>
        </w:rPr>
        <w:t>To standardize pixel intensity scaling across drone flights taken at different times of day:</w:t>
        <w:br/>
        <w:t xml:space="preserve">    I_norm(x,y) = [ (I(x,y) - I_min) / (I_max - I_min) ] * 255</w:t>
        <w:br/>
        <w:t xml:space="preserve">    OpenCV Implementation: cv2.normalize(src, dst, alpha=0, beta=255, norm_type=cv2.NORM_MINMAX)</w:t>
        <w:br/>
        <w:t xml:space="preserve">    Engineering Justification: Converts dynamic range into a unified [0, 255] float/uint8 scale, enabling stable classification thresholds.</w:t>
      </w:r>
    </w:p>
    <w:p>
      <w:pPr>
        <w:spacing w:before="120" w:after="40"/>
        <w:jc w:val="center"/>
      </w:pPr>
      <w:r>
        <w:drawing>
          <wp:inline xmlns:a="http://schemas.openxmlformats.org/drawingml/2006/main" xmlns:pic="http://schemas.openxmlformats.org/drawingml/2006/picture">
            <wp:extent cx="5669280" cy="2213447"/>
            <wp:docPr id="1" name="Picture 1"/>
            <wp:cNvGraphicFramePr>
              <a:graphicFrameLocks noChangeAspect="1"/>
            </wp:cNvGraphicFramePr>
            <a:graphic>
              <a:graphicData uri="http://schemas.openxmlformats.org/drawingml/2006/picture">
                <pic:pic>
                  <pic:nvPicPr>
                    <pic:cNvPr id="0" name="fig9_farmland_crop_damage.png"/>
                    <pic:cNvPicPr/>
                  </pic:nvPicPr>
                  <pic:blipFill>
                    <a:blip r:embed="rId9"/>
                    <a:stretch>
                      <a:fillRect/>
                    </a:stretch>
                  </pic:blipFill>
                  <pic:spPr>
                    <a:xfrm>
                      <a:off x="0" y="0"/>
                      <a:ext cx="5669280" cy="2213447"/>
                    </a:xfrm>
                    <a:prstGeom prst="rect"/>
                  </pic:spPr>
                </pic:pic>
              </a:graphicData>
            </a:graphic>
          </wp:inline>
        </w:drawing>
      </w:r>
    </w:p>
    <w:p>
      <w:pPr>
        <w:spacing w:after="160"/>
        <w:jc w:val="center"/>
      </w:pPr>
      <w:r>
        <w:rPr>
          <w:rFonts w:ascii="Times New Roman" w:hAnsi="Times New Roman"/>
          <w:b/>
          <w:i/>
          <w:color w:val="444444"/>
          <w:sz w:val="19"/>
        </w:rPr>
        <w:t>Figure 9: (a) Aerial Drone Farmland with Pest-Damaged Patch and (b) Local Gradient Texture Map.</w:t>
      </w:r>
    </w:p>
    <w:p>
      <w:pPr>
        <w:keepNext/>
        <w:spacing w:before="200" w:after="80"/>
      </w:pPr>
      <w:r>
        <w:rPr>
          <w:rFonts w:ascii="Times New Roman" w:hAnsi="Times New Roman"/>
          <w:b/>
          <w:color w:val="005588"/>
          <w:sz w:val="22"/>
        </w:rPr>
        <w:t>b) Feature Extraction Selection &amp; Justification (3 Marks)</w:t>
      </w:r>
    </w:p>
    <w:p>
      <w:pPr>
        <w:spacing w:after="80" w:line="276" w:lineRule="auto"/>
      </w:pPr>
      <w:r>
        <w:rPr>
          <w:rFonts w:ascii="Times New Roman" w:hAnsi="Times New Roman"/>
        </w:rPr>
        <w:t>Pest infestations manifest as both structural texture alterations (holes, leaf skeletonization, necrotic spots) and color variations (chlorosis, yellowing, browning). Therefore, a hybrid Feature Extraction Descriptor combining Local Binary Patterns (LBP) for micro-texture and Excess Green Index (ExG) for vegetation color is chosen:</w:t>
      </w:r>
    </w:p>
    <w:p>
      <w:pPr>
        <w:pStyle w:val="ListBullet"/>
        <w:spacing w:after="60" w:line="276" w:lineRule="auto"/>
      </w:pPr>
      <w:r>
        <w:rPr>
          <w:rFonts w:ascii="Times New Roman" w:hAnsi="Times New Roman"/>
          <w:b/>
          <w:color w:val="1B365D"/>
        </w:rPr>
        <w:t xml:space="preserve">1. Local Binary Patterns (LBP) for Texture Analysis: </w:t>
      </w:r>
      <w:r>
        <w:rPr>
          <w:rFonts w:ascii="Times New Roman" w:hAnsi="Times New Roman"/>
        </w:rPr>
        <w:t>LBP is an exceptionally robust micro-texture operator. For each pixel (x_c, y_c), LBP compares its intensity g_c against P circular spatial neighbors g_p at radius R:</w:t>
      </w:r>
    </w:p>
    <w:p>
      <w:pPr>
        <w:spacing w:after="80" w:line="276" w:lineRule="auto"/>
      </w:pPr>
      <w:r>
        <w:rPr>
          <w:rFonts w:ascii="Times New Roman" w:hAnsi="Times New Roman"/>
        </w:rPr>
        <w:t xml:space="preserve">    LBP_{P,R}(x_c, y_c) = Sum_{p=0}^{P-1} s(g_p - g_c) * 2^p</w:t>
        <w:br/>
        <w:t xml:space="preserve">    where threshold function s(x) = 1 if x &gt;= 0 else 0.</w:t>
        <w:br/>
        <w:t xml:space="preserve">    Texture Discrimination Rationale: Healthy crop leaves exhibit smooth, highly uniform LBP codes. Pest damage (caterpillar holes, mite webbing, leaf miner trails) introduces high-frequency random edges and rough spatial discontinuities, altering local LBP histogram distributions.</w:t>
      </w:r>
    </w:p>
    <w:p>
      <w:pPr>
        <w:pStyle w:val="ListBullet"/>
        <w:spacing w:after="60" w:line="276" w:lineRule="auto"/>
      </w:pPr>
      <w:r>
        <w:rPr>
          <w:rFonts w:ascii="Times New Roman" w:hAnsi="Times New Roman"/>
          <w:b/>
          <w:color w:val="1B365D"/>
        </w:rPr>
        <w:t xml:space="preserve">2. Excess Green Vegetation Index (ExG) for Color Feature Extraction: </w:t>
      </w:r>
      <w:r>
        <w:rPr>
          <w:rFonts w:ascii="Times New Roman" w:hAnsi="Times New Roman"/>
        </w:rPr>
        <w:t>RGB channels are normalized to remove overall lighting intensity dependencies:</w:t>
        <w:br/>
        <w:t xml:space="preserve">    r = R / (R + G + B),   g = G / (R + G + B),   b = B / (R + G + B)</w:t>
        <w:br/>
        <w:t xml:space="preserve">    ExG = 2*g - r - b</w:t>
        <w:br/>
        <w:t xml:space="preserve">    Color Discrimination Rationale: Healthy vegetation yields high positive ExG values (&gt; 0.2). Pest-affected damaged crops exhibiting yellowing or browning drop significantly in ExG index. Combining LBP texture histograms with ExG mean/variance vectors produces a highly discriminative feature representation.</w:t>
      </w:r>
    </w:p>
    <w:p>
      <w:pPr>
        <w:keepNext/>
        <w:spacing w:before="200" w:after="80"/>
      </w:pPr>
      <w:r>
        <w:rPr>
          <w:rFonts w:ascii="Times New Roman" w:hAnsi="Times New Roman"/>
          <w:b/>
          <w:color w:val="005588"/>
          <w:sz w:val="22"/>
        </w:rPr>
        <w:t>c) Handling Rotation and Scale Variations in Drone Imagery (3 Marks)</w:t>
      </w:r>
    </w:p>
    <w:p>
      <w:pPr>
        <w:spacing w:after="80" w:line="276" w:lineRule="auto"/>
      </w:pPr>
      <w:r>
        <w:rPr>
          <w:rFonts w:ascii="Times New Roman" w:hAnsi="Times New Roman"/>
        </w:rPr>
        <w:t>Impact of Drone Flight Dynamics:</w:t>
      </w:r>
    </w:p>
    <w:p>
      <w:pPr>
        <w:pStyle w:val="ListBullet"/>
        <w:spacing w:after="60" w:line="276" w:lineRule="auto"/>
      </w:pPr>
      <w:r>
        <w:rPr>
          <w:rFonts w:ascii="Times New Roman" w:hAnsi="Times New Roman"/>
          <w:b/>
          <w:color w:val="1B365D"/>
        </w:rPr>
        <w:t xml:space="preserve">Scale Variations: </w:t>
      </w:r>
      <w:r>
        <w:rPr>
          <w:rFonts w:ascii="Times New Roman" w:hAnsi="Times New Roman"/>
        </w:rPr>
        <w:t>Drones flying at varying altitudes (e.g., 30m vs 100m) change the pixel resolution of individual leaves. A fixed 3x3 filter will capture micro-texture at 30m but macro-field structures at 100m.</w:t>
      </w:r>
    </w:p>
    <w:p>
      <w:pPr>
        <w:pStyle w:val="ListBullet"/>
        <w:spacing w:after="60" w:line="276" w:lineRule="auto"/>
      </w:pPr>
      <w:r>
        <w:rPr>
          <w:rFonts w:ascii="Times New Roman" w:hAnsi="Times New Roman"/>
          <w:b/>
          <w:color w:val="1B365D"/>
        </w:rPr>
        <w:t xml:space="preserve">Rotation Variations: </w:t>
      </w:r>
      <w:r>
        <w:rPr>
          <w:rFonts w:ascii="Times New Roman" w:hAnsi="Times New Roman"/>
        </w:rPr>
        <w:t>Drone yaw angle adjustments, wind-induced camera pitch/roll, and flight path orientation changes rotate the captured farmland scenes arbitrarily.</w:t>
      </w:r>
    </w:p>
    <w:p>
      <w:pPr>
        <w:spacing w:after="80" w:line="276" w:lineRule="auto"/>
      </w:pPr>
      <w:r>
        <w:rPr>
          <w:rFonts w:ascii="Times New Roman" w:hAnsi="Times New Roman"/>
        </w:rPr>
        <w:t>Mitigation Methods for Scale and Rotation Invariance:</w:t>
      </w:r>
    </w:p>
    <w:p>
      <w:pPr>
        <w:pStyle w:val="ListBullet"/>
        <w:spacing w:after="60" w:line="276" w:lineRule="auto"/>
      </w:pPr>
      <w:r>
        <w:rPr>
          <w:rFonts w:ascii="Times New Roman" w:hAnsi="Times New Roman"/>
          <w:b/>
          <w:color w:val="1B365D"/>
        </w:rPr>
        <w:t xml:space="preserve">1. Rotation-Invariant Uniform LBP (LBP_{P,R}^{riu2}): </w:t>
      </w:r>
      <w:r>
        <w:rPr>
          <w:rFonts w:ascii="Times New Roman" w:hAnsi="Times New Roman"/>
        </w:rPr>
        <w:t>Standard LBP is sensitive to rotation. Rotation invariance is achieved by performing bitwise circular right shifts on the binary pattern to find its minimum decimal value. Furthermore, uniform patterns (having at most two 0-to-1 or 1-to-0 transitions) are grouped into dedicated bins:</w:t>
      </w:r>
    </w:p>
    <w:p>
      <w:pPr>
        <w:spacing w:after="80" w:line="276" w:lineRule="auto"/>
      </w:pPr>
      <w:r>
        <w:rPr>
          <w:rFonts w:ascii="Times New Roman" w:hAnsi="Times New Roman"/>
        </w:rPr>
        <w:t xml:space="preserve">    LBP_{P,R}^{riu2} = Sum_{p=0}^{P-1} s(g_p - g_c)   if U(LBP_{P,R}) &lt;= 2   else   P + 1</w:t>
        <w:br/>
        <w:t xml:space="preserve">    where U(LBP) = |s(g_{P-1}-g_c) - s(g_0-g_c)| + Sum_{p=1}^{P-1} |s(g_p-g_c) - s(g_{p-1}-g_c)|.</w:t>
        <w:br/>
        <w:t xml:space="preserve">    This guarantees identical texture descriptor output regardless of drone camera orientation.</w:t>
      </w:r>
    </w:p>
    <w:p>
      <w:pPr>
        <w:pStyle w:val="ListBullet"/>
        <w:spacing w:after="60" w:line="276" w:lineRule="auto"/>
      </w:pPr>
      <w:r>
        <w:rPr>
          <w:rFonts w:ascii="Times New Roman" w:hAnsi="Times New Roman"/>
          <w:b/>
          <w:color w:val="1B365D"/>
        </w:rPr>
        <w:t xml:space="preserve">2. Scale-Space Pyramid &amp; Scale-Invariant Feature Transform (SIFT): </w:t>
      </w:r>
      <w:r>
        <w:rPr>
          <w:rFonts w:ascii="Times New Roman" w:hAnsi="Times New Roman"/>
        </w:rPr>
        <w:t>To handle scale variations, images are constructed into a Gaussian Scale Space Pyramid L(x,y,sigma) = G(x,y,sigma) * I(x,y). Keypoints are detected at local extrema of Difference-of-Gaussians (DoG) octaves: D(x,y,sigma) = L(x,y,k*sigma) - L(x,y,sigma). Dominant keypoint orientation is assigned from local gradient direction histograms, rendering feature vectors fully scale and rotation invariant.</w:t>
      </w:r>
    </w:p>
    <w:p>
      <w:pPr>
        <w:keepNext/>
        <w:spacing w:before="280" w:after="120"/>
        <w:pBdr>
          <w:bottom w:val="single" w:sz="8" w:space="1" w:color="1B365D"/>
        </w:pBdr>
      </w:pPr>
      <w:r>
        <w:rPr>
          <w:rFonts w:ascii="Times New Roman" w:hAnsi="Times New Roman"/>
          <w:b/>
          <w:color w:val="1B365D"/>
          <w:sz w:val="24"/>
        </w:rPr>
        <w:t>Question 2: Stereo Vision and Motion Estimation (10 Marks)</w:t>
      </w:r>
    </w:p>
    <w:tbl>
      <w:tblPr>
        <w:tblW w:type="auto" w:w="0"/>
        <w:jc w:val="center"/>
        <w:tblLayout w:type="fixed"/>
        <w:tblLook w:firstColumn="1" w:firstRow="1" w:lastColumn="0" w:lastRow="0" w:noHBand="0" w:noVBand="1" w:val="04A0"/>
      </w:tblPr>
      <w:tblGrid>
        <w:gridCol w:w="10080"/>
      </w:tblGrid>
      <w:tr>
        <w:tc>
          <w:tcPr>
            <w:tcW w:type="dxa" w:w="9936"/>
            <w:shd w:fill="F4F6F9"/>
            <w:tcMar>
              <w:top w:w="80" w:type="dxa"/>
              <w:bottom w:w="80" w:type="dxa"/>
              <w:left w:w="120" w:type="dxa"/>
              <w:right w:w="120" w:type="dxa"/>
            </w:tcMar>
            <w:tcBorders>
              <w:left w:val="single" w:sz="24" w:space="0" w:color="1B365D"/>
              <w:top w:val="none"/>
              <w:right w:val="none"/>
              <w:bottom w:val="none"/>
            </w:tcBorders>
          </w:tcPr>
          <w:p>
            <w:pPr>
              <w:spacing w:before="80" w:after="80"/>
            </w:pPr>
            <w:r>
              <w:rPr>
                <w:rFonts w:ascii="Times New Roman" w:hAnsi="Times New Roman"/>
                <w:b/>
                <w:color w:val="1B365D"/>
              </w:rPr>
              <w:t>SCENARIO: Autonomous Vehicle Stereo Vision &amp; Motion Tracking</w:t>
              <w:br/>
            </w:r>
            <w:r>
              <w:rPr>
                <w:rFonts w:ascii="Times New Roman" w:hAnsi="Times New Roman"/>
                <w:i/>
              </w:rPr>
              <w:t>A self-driving car is equipped with stereo cameras to navigate through a busy street. The system must estimate the distance of nearby vehicles and pedestrians in real time. It should also track moving objects accurately to avoid collisions, especially when pedestrians or vehicles change speed suddenly.</w:t>
            </w:r>
          </w:p>
        </w:tc>
      </w:tr>
    </w:tbl>
    <w:p>
      <w:pPr>
        <w:spacing w:after="80"/>
      </w:pPr>
    </w:p>
    <w:p>
      <w:pPr>
        <w:keepNext/>
        <w:spacing w:before="200" w:after="80"/>
      </w:pPr>
      <w:r>
        <w:rPr>
          <w:rFonts w:ascii="Times New Roman" w:hAnsi="Times New Roman"/>
          <w:b/>
          <w:color w:val="005588"/>
          <w:sz w:val="22"/>
        </w:rPr>
        <w:t>a) Stereo Disparity and Depth Estimation — Mathematical Derivation (4 Marks)</w:t>
      </w:r>
    </w:p>
    <w:p>
      <w:pPr>
        <w:spacing w:after="80" w:line="276" w:lineRule="auto"/>
      </w:pPr>
      <w:r>
        <w:rPr>
          <w:rFonts w:ascii="Times New Roman" w:hAnsi="Times New Roman"/>
        </w:rPr>
        <w:t>Stereo vision mimics human binocular vision by capturing two horizontal views of a scene using a calibrated left camera C_L and right camera C_R separated by a baseline distance B. The optical axes of both cameras are parallel, having focal length f.</w:t>
      </w:r>
    </w:p>
    <w:p>
      <w:pPr>
        <w:spacing w:before="120" w:after="40"/>
        <w:jc w:val="center"/>
      </w:pPr>
      <w:r>
        <w:drawing>
          <wp:inline xmlns:a="http://schemas.openxmlformats.org/drawingml/2006/main" xmlns:pic="http://schemas.openxmlformats.org/drawingml/2006/picture">
            <wp:extent cx="5669280" cy="2798758"/>
            <wp:docPr id="2" name="Picture 2"/>
            <wp:cNvGraphicFramePr>
              <a:graphicFrameLocks noChangeAspect="1"/>
            </wp:cNvGraphicFramePr>
            <a:graphic>
              <a:graphicData uri="http://schemas.openxmlformats.org/drawingml/2006/picture">
                <pic:pic>
                  <pic:nvPicPr>
                    <pic:cNvPr id="0" name="fig10_stereo_depth_triangulation.png"/>
                    <pic:cNvPicPr/>
                  </pic:nvPicPr>
                  <pic:blipFill>
                    <a:blip r:embed="rId10"/>
                    <a:stretch>
                      <a:fillRect/>
                    </a:stretch>
                  </pic:blipFill>
                  <pic:spPr>
                    <a:xfrm>
                      <a:off x="0" y="0"/>
                      <a:ext cx="5669280" cy="2798758"/>
                    </a:xfrm>
                    <a:prstGeom prst="rect"/>
                  </pic:spPr>
                </pic:pic>
              </a:graphicData>
            </a:graphic>
          </wp:inline>
        </w:drawing>
      </w:r>
    </w:p>
    <w:p>
      <w:pPr>
        <w:spacing w:after="160"/>
        <w:jc w:val="center"/>
      </w:pPr>
      <w:r>
        <w:rPr>
          <w:rFonts w:ascii="Times New Roman" w:hAnsi="Times New Roman"/>
          <w:b/>
          <w:i/>
          <w:color w:val="444444"/>
          <w:sz w:val="19"/>
        </w:rPr>
        <w:t>Figure 10: Stereo Vision Disparity &amp; Depth Triangulation Geometry.</w:t>
      </w:r>
    </w:p>
    <w:p>
      <w:pPr>
        <w:spacing w:after="80" w:line="276" w:lineRule="auto"/>
      </w:pPr>
      <w:r>
        <w:rPr>
          <w:rFonts w:ascii="Times New Roman" w:hAnsi="Times New Roman"/>
        </w:rPr>
        <w:t>Mathematical Derivation of Triangulation:</w:t>
      </w:r>
    </w:p>
    <w:p>
      <w:pPr>
        <w:spacing w:after="80" w:line="276" w:lineRule="auto"/>
      </w:pPr>
      <w:r>
        <w:rPr>
          <w:rFonts w:ascii="Times New Roman" w:hAnsi="Times New Roman"/>
        </w:rPr>
        <w:t>Let P(X, Y, Z) be a 3D point in the physical world. Its projection on the left image plane is x_l and on the right image plane is x_r:</w:t>
        <w:br/>
        <w:t xml:space="preserve">    x_l = f * (X / Z),       x_r = f * ((X - B) / Z)</w:t>
        <w:br/>
        <w:t>Subtracting x_r from x_l yields Disparity d:</w:t>
        <w:br/>
        <w:t xml:space="preserve">    d = x_l - x_r = f * (X / Z) - f * ((X - B) / Z) = (f * B) / Z</w:t>
        <w:br/>
        <w:t>Rearranging for Depth Z:</w:t>
      </w:r>
    </w:p>
    <w:p>
      <w:pPr>
        <w:spacing w:after="80" w:line="276" w:lineRule="auto"/>
      </w:pPr>
      <w:r>
        <w:rPr>
          <w:rFonts w:ascii="Times New Roman" w:hAnsi="Times New Roman"/>
        </w:rPr>
        <w:t xml:space="preserve">    Z = (f * B) / d</w:t>
      </w:r>
    </w:p>
    <w:p>
      <w:pPr>
        <w:spacing w:after="80" w:line="276" w:lineRule="auto"/>
      </w:pPr>
      <w:r>
        <w:rPr>
          <w:rFonts w:ascii="Times New Roman" w:hAnsi="Times New Roman"/>
        </w:rPr>
        <w:t>Analysis of Disparity Behavior:</w:t>
      </w:r>
    </w:p>
    <w:p>
      <w:pPr>
        <w:pStyle w:val="ListBullet"/>
        <w:spacing w:after="60" w:line="276" w:lineRule="auto"/>
      </w:pPr>
      <w:r>
        <w:rPr>
          <w:rFonts w:ascii="Times New Roman" w:hAnsi="Times New Roman"/>
          <w:b/>
          <w:color w:val="1B365D"/>
        </w:rPr>
        <w:t xml:space="preserve">Nearby Objects (Z is small): </w:t>
      </w:r>
      <w:r>
        <w:rPr>
          <w:rFonts w:ascii="Times New Roman" w:hAnsi="Times New Roman"/>
        </w:rPr>
        <w:t>Produce a LARGE disparity value d. Small changes in depth Z create large pixel shifts between left and right images, resulting in high depth precision and accuracy.</w:t>
      </w:r>
    </w:p>
    <w:p>
      <w:pPr>
        <w:pStyle w:val="ListBullet"/>
        <w:spacing w:after="60" w:line="276" w:lineRule="auto"/>
      </w:pPr>
      <w:r>
        <w:rPr>
          <w:rFonts w:ascii="Times New Roman" w:hAnsi="Times New Roman"/>
          <w:b/>
          <w:color w:val="1B365D"/>
        </w:rPr>
        <w:t xml:space="preserve">Distant Objects (Z is large): </w:t>
      </w:r>
      <w:r>
        <w:rPr>
          <w:rFonts w:ascii="Times New Roman" w:hAnsi="Times New Roman"/>
        </w:rPr>
        <w:t>Produce a VERY SMALL disparity value d (approaching 0). Depth error grows quadratically with distance: |dZ / dd| = (f * B) / d^2 = Z^2 / (f * B). Hence, distant object measurements exhibit higher depth quantization uncertainty.</w:t>
      </w:r>
    </w:p>
    <w:p>
      <w:pPr>
        <w:spacing w:after="80" w:line="276" w:lineRule="auto"/>
      </w:pPr>
      <w:r>
        <w:rPr>
          <w:rFonts w:ascii="Times New Roman" w:hAnsi="Times New Roman"/>
        </w:rPr>
        <w:t>Algorithmic Disparity Computation:</w:t>
      </w:r>
    </w:p>
    <w:p>
      <w:pPr>
        <w:spacing w:after="80" w:line="276" w:lineRule="auto"/>
      </w:pPr>
      <w:r>
        <w:rPr>
          <w:rFonts w:ascii="Times New Roman" w:hAnsi="Times New Roman"/>
        </w:rPr>
        <w:t>OpenCV computes dense disparity maps using Semi-Global Block Matching (SGBM), which minimizes an energy function E(D) over 8 path directions:</w:t>
      </w:r>
    </w:p>
    <w:p>
      <w:pPr>
        <w:spacing w:after="80" w:line="276" w:lineRule="auto"/>
      </w:pPr>
      <w:r>
        <w:rPr>
          <w:rFonts w:ascii="Times New Roman" w:hAnsi="Times New Roman"/>
        </w:rPr>
        <w:t xml:space="preserve">    E(D) = Sum_p C(p, d_p) + Sum_{q in N_p} P_1 * I(|d_p - d_q| = 1) + Sum_{q in N_p} P_2 * I(|d_p - d_q| &gt; 1)</w:t>
        <w:br/>
        <w:t xml:space="preserve">    where C(p,d_p) is matching cost (Birchfield-Tomasi), P_1 is penalty for small disparity changes, and P_2 is penalty for sharp depth discontinuities.</w:t>
      </w:r>
    </w:p>
    <w:p>
      <w:pPr>
        <w:keepNext/>
        <w:spacing w:before="200" w:after="80"/>
      </w:pPr>
      <w:r>
        <w:rPr>
          <w:rFonts w:ascii="Times New Roman" w:hAnsi="Times New Roman"/>
          <w:b/>
          <w:color w:val="005588"/>
          <w:sz w:val="22"/>
        </w:rPr>
        <w:t>b) Optical Flow for Motion Tracking (3 Marks)</w:t>
      </w:r>
    </w:p>
    <w:p>
      <w:pPr>
        <w:spacing w:after="80" w:line="276" w:lineRule="auto"/>
      </w:pPr>
      <w:r>
        <w:rPr>
          <w:rFonts w:ascii="Times New Roman" w:hAnsi="Times New Roman"/>
        </w:rPr>
        <w:t>When a pedestrian or vehicle moves between consecutive video frames, Optical Flow computes the 2D instantaneous velocity vector field V = [u, v]^T = [dx/dt, dy/dt]^T for every pixel.</w:t>
      </w:r>
    </w:p>
    <w:p>
      <w:pPr>
        <w:spacing w:after="80" w:line="276" w:lineRule="auto"/>
      </w:pPr>
      <w:r>
        <w:rPr>
          <w:rFonts w:ascii="Times New Roman" w:hAnsi="Times New Roman"/>
        </w:rPr>
        <w:t>Mathematical Formulation — Brightness Constancy Constraint Equation (BCCE):</w:t>
      </w:r>
    </w:p>
    <w:p>
      <w:pPr>
        <w:spacing w:after="80" w:line="276" w:lineRule="auto"/>
      </w:pPr>
      <w:r>
        <w:rPr>
          <w:rFonts w:ascii="Times New Roman" w:hAnsi="Times New Roman"/>
        </w:rPr>
        <w:t>Assuming pixel intensity I(x,y,t) remains constant along the motion trajectory over time interval dt:</w:t>
      </w:r>
    </w:p>
    <w:p>
      <w:pPr>
        <w:spacing w:after="80" w:line="276" w:lineRule="auto"/>
      </w:pPr>
      <w:r>
        <w:rPr>
          <w:rFonts w:ascii="Times New Roman" w:hAnsi="Times New Roman"/>
        </w:rPr>
        <w:t xml:space="preserve">    I(x, y, t) = I(x + dx, y + dy, t + dt)</w:t>
        <w:br/>
        <w:t>Applying 1st-order Taylor Series Expansion:</w:t>
        <w:br/>
        <w:t xml:space="preserve">    I(x + dx, y + dy, t + dt) = I(x,y,t) + (dI/dx)*dx + (dI/dy)*dy + (dI/dt)*dt + H.O.T.</w:t>
        <w:br/>
        <w:t>Subtracting I(x,y,t) and dividing by dt yields the fundamental Optical Flow Constraint Equation:</w:t>
        <w:br/>
        <w:t xml:space="preserve">    I_x * u + I_y * v + I_t = 0</w:t>
        <w:br/>
        <w:t xml:space="preserve">    where I_x = dI/dx, I_y = dI/dy are spatial image gradients, and I_t = dI/dt is temporal derivative.</w:t>
      </w:r>
    </w:p>
    <w:p>
      <w:pPr>
        <w:spacing w:after="80" w:line="276" w:lineRule="auto"/>
      </w:pPr>
      <w:r>
        <w:rPr>
          <w:rFonts w:ascii="Times New Roman" w:hAnsi="Times New Roman"/>
        </w:rPr>
        <w:t>Pyramidal Lucas-Kanade for Large Sudden Movements:</w:t>
      </w:r>
    </w:p>
    <w:p>
      <w:pPr>
        <w:pStyle w:val="ListBullet"/>
        <w:spacing w:after="60" w:line="276" w:lineRule="auto"/>
      </w:pPr>
      <w:r>
        <w:rPr>
          <w:rFonts w:ascii="Times New Roman" w:hAnsi="Times New Roman"/>
          <w:b/>
          <w:color w:val="1B365D"/>
        </w:rPr>
        <w:t xml:space="preserve">Multi-Scale Pyramids: </w:t>
      </w:r>
      <w:r>
        <w:rPr>
          <w:rFonts w:ascii="Times New Roman" w:hAnsi="Times New Roman"/>
        </w:rPr>
        <w:t>Standard Lucas-Kanade fails during sudden pedestrian accelerations or turns because large displacements (&gt; 2-3 pixels) violate Taylor series linearity. Pyramidal LK builds a Gaussian pyramid (L = 0, 1, 2, ...). Motion is estimated first at coarse scale L, upsampled, and refined locally at finer scales.</w:t>
      </w:r>
    </w:p>
    <w:p>
      <w:pPr>
        <w:pStyle w:val="ListBullet"/>
        <w:spacing w:after="60" w:line="276" w:lineRule="auto"/>
      </w:pPr>
      <w:r>
        <w:rPr>
          <w:rFonts w:ascii="Times New Roman" w:hAnsi="Times New Roman"/>
          <w:b/>
          <w:color w:val="1B365D"/>
        </w:rPr>
        <w:t xml:space="preserve">Kalman Filter Trajectory Forecasting: </w:t>
      </w:r>
      <w:r>
        <w:rPr>
          <w:rFonts w:ascii="Times New Roman" w:hAnsi="Times New Roman"/>
        </w:rPr>
        <w:t>The optical flow velocity vectors [u, v]^T update a Kalman Filter motion model state vector X_k = [x, y, v_x, v_y, a_x, a_y]^T. The Kalman filter predicts object position in frame k+1 using dynamic motion equations, enabling real-time collision avoidance even during abrupt turns or sudden braking.</w:t>
      </w:r>
    </w:p>
    <w:p>
      <w:pPr>
        <w:keepNext/>
        <w:spacing w:before="200" w:after="80"/>
      </w:pPr>
      <w:r>
        <w:rPr>
          <w:rFonts w:ascii="Times New Roman" w:hAnsi="Times New Roman"/>
          <w:b/>
          <w:color w:val="005588"/>
          <w:sz w:val="22"/>
        </w:rPr>
        <w:t>c) Errors and Mitigation Techniques in Autonomous Driving (3 Marks)</w:t>
      </w:r>
    </w:p>
    <w:p>
      <w:pPr>
        <w:spacing w:after="80" w:line="276" w:lineRule="auto"/>
      </w:pPr>
      <w:r>
        <w:rPr>
          <w:rFonts w:ascii="Times New Roman" w:hAnsi="Times New Roman"/>
        </w:rPr>
        <w:t>Stereo depth estimation and optical flow tracking face severe real-world operational challenges. Below is a structured analysis of failure modes and mitigation strategies:</w:t>
      </w:r>
    </w:p>
    <w:p>
      <w:pPr>
        <w:spacing w:after="80" w:line="276" w:lineRule="auto"/>
      </w:pPr>
      <w:r>
        <w:rPr>
          <w:rFonts w:ascii="Times New Roman" w:hAnsi="Times New Roman"/>
        </w:rPr>
        <w:t>Failure Modes &amp; Mitigation Matrix:</w:t>
      </w:r>
    </w:p>
    <w:p>
      <w:pPr>
        <w:pStyle w:val="ListBullet"/>
        <w:spacing w:after="60" w:line="276" w:lineRule="auto"/>
      </w:pPr>
      <w:r>
        <w:rPr>
          <w:rFonts w:ascii="Times New Roman" w:hAnsi="Times New Roman"/>
          <w:b/>
          <w:color w:val="1B365D"/>
        </w:rPr>
        <w:t xml:space="preserve">1. Camera Misalignment &amp; Vehicle Vibration: </w:t>
      </w:r>
      <w:r>
        <w:rPr>
          <w:rFonts w:ascii="Times New Roman" w:hAnsi="Times New Roman"/>
        </w:rPr>
        <w:t>Mechanical road shocks shift camera alignment, breaking epipolar geometry assumptions. Mitigation: Continuous online stereo self-calibration using 8-point fundamental matrix estimation (F) and epipolar rectification (cv2.stereoRectify).</w:t>
      </w:r>
    </w:p>
    <w:p>
      <w:pPr>
        <w:pStyle w:val="ListBullet"/>
        <w:spacing w:after="60" w:line="276" w:lineRule="auto"/>
      </w:pPr>
      <w:r>
        <w:rPr>
          <w:rFonts w:ascii="Times New Roman" w:hAnsi="Times New Roman"/>
          <w:b/>
          <w:color w:val="1B365D"/>
        </w:rPr>
        <w:t xml:space="preserve">2. Textureless Surfaces (Smooth Walls, Road Asphalt, Uniform Vehicles): </w:t>
      </w:r>
      <w:r>
        <w:rPr>
          <w:rFonts w:ascii="Times New Roman" w:hAnsi="Times New Roman"/>
        </w:rPr>
        <w:t>Spatial gradients are zero (I_x ≈ 0, I_y ≈ 0), causing singular structure tensor det(A^T A) ≈ 0. Mitigation: Sensor Fusion combining stereo cameras with LiDAR point clouds, and Deep Learning Stereo Matching (RAFT-Stereo / StereoNet).</w:t>
      </w:r>
    </w:p>
    <w:p>
      <w:pPr>
        <w:pStyle w:val="ListBullet"/>
        <w:spacing w:after="60" w:line="276" w:lineRule="auto"/>
      </w:pPr>
      <w:r>
        <w:rPr>
          <w:rFonts w:ascii="Times New Roman" w:hAnsi="Times New Roman"/>
          <w:b/>
          <w:color w:val="1B365D"/>
        </w:rPr>
        <w:t xml:space="preserve">3. Inter-Object Occlusion (Pedestrian crossing behind parked vehicles): </w:t>
      </w:r>
      <w:r>
        <w:rPr>
          <w:rFonts w:ascii="Times New Roman" w:hAnsi="Times New Roman"/>
        </w:rPr>
        <w:t>Disparity cannot be computed for occluded pixels present in left view but hidden in right view. Mitigation: Left-Right Consistency Check |d_L(p) - d_R(p - d_L(p))| &lt;= 1. Unmatched occluded pixels are filled using spatial background interpolation. DeepSORT tracking with Re-ID feature embeddings maintains identity across occlusions.</w:t>
      </w:r>
    </w:p>
    <w:p>
      <w:pPr>
        <w:pStyle w:val="ListBullet"/>
        <w:spacing w:after="60" w:line="276" w:lineRule="auto"/>
      </w:pPr>
      <w:r>
        <w:rPr>
          <w:rFonts w:ascii="Times New Roman" w:hAnsi="Times New Roman"/>
          <w:b/>
          <w:color w:val="1B365D"/>
        </w:rPr>
        <w:t xml:space="preserve">4. Rapid Sudden Displacement &amp; Fast Vehicle Speeds: </w:t>
      </w:r>
      <w:r>
        <w:rPr>
          <w:rFonts w:ascii="Times New Roman" w:hAnsi="Times New Roman"/>
        </w:rPr>
        <w:t>Violates 1st-order small motion assumption. Mitigation: High Frame Rate Cameras (120+ FPS) combined with Pyramidal Coarse-to-Fine Lucas-Kanade optical flow.</w:t>
      </w:r>
    </w:p>
    <w:p>
      <w:pPr>
        <w:pStyle w:val="ListBullet"/>
        <w:spacing w:after="60" w:line="276" w:lineRule="auto"/>
      </w:pPr>
      <w:r>
        <w:rPr>
          <w:rFonts w:ascii="Times New Roman" w:hAnsi="Times New Roman"/>
          <w:b/>
          <w:color w:val="1B365D"/>
        </w:rPr>
        <w:t xml:space="preserve">5. Outdoor Glare, Shadows, and Dynamic Lighting Shifts: </w:t>
      </w:r>
      <w:r>
        <w:rPr>
          <w:rFonts w:ascii="Times New Roman" w:hAnsi="Times New Roman"/>
        </w:rPr>
        <w:t>Violates Brightness Constancy assumption I(x,y,t) = I(x+dx,y+dy,t+dt). Mitigation: Gradient-based optical flow (tracking dI/dx rather than raw intensity I) and Census Transform cost functions.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