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SIMATS ENGINEERING</w:t>
        <w:br/>
        <w:t>SAVEETHA INSTITUTE OF MEDICAL AND TECHNICAL SCIENCES</w:t>
        <w:br/>
        <w:t>CHENNAI – 602105</w:t>
        <w:br/>
        <w:t>Department of Computer Science and Engineering</w:t>
        <w:br/>
      </w:r>
    </w:p>
    <w:p>
      <w:pPr>
        <w:jc w:val="center"/>
      </w:pPr>
      <w:r>
        <w:rPr>
          <w:rFonts w:ascii="Calibri" w:hAnsi="Calibri"/>
          <w:b/>
          <w:color w:val="1B365D"/>
          <w:sz w:val="28"/>
        </w:rPr>
        <w:t>ASSESSMENT TOOL 2 – INDUSTRY PROBLEM SOLVING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Code: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DSA0502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Title: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Query Processing for Data Science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 Assessed: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Tool 2 – Industry Problem Solving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Weightage: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35%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Total Marks: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35 Marks</w:t>
            </w:r>
          </w:p>
        </w:tc>
      </w:tr>
      <w:tr>
        <w:tc>
          <w:tcPr>
            <w:tcW w:type="dxa" w:w="10080"/>
            <w:gridSpan w:val="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 Statement: Create meaningful visualizations using Pandas and Matplotlib, including charts, distributions, relationships, and interactive visual representations for effective communication.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Student Name: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Gadwal Mohammad Muzammil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Reg. No.: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192424279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Section / Batch: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 &amp; DS 2024-2028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Date of Submission: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29/08/2026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Faculty In-charge: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K.Veena Devi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 Mode: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Individual Submission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Problem Formulation (7M)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Exploratory Visuals (7M)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Multivariate Modeling (7M)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Time-Series &amp; Diagnostics (7M)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Recommendations (7M)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(35M)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ASSESSMENT SOLUTIONS &amp; INDUSTRY CASE STUDIES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(DSA0502) | CO Assessed: CO5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1. Manufacturing Production &amp; Machine Parameter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Industrial Scenario: An automated smart factory logs daily output units, operating hours, chamber temperature (°C), energy consumption (kWh), and defect scrap counts across assembly lines.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Data Analytics &amp; Machine Diagnostics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plt.subplots(1, 2, figsize=(11, 4.5))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axes[0].scatter(temp, defects, c=op_hours, cmap='coolwarm', edgecolors='black', alpha=0.8)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axes[0].axvline(80, color='red', linestyle='--', label='Critical Temp Threshold (80°C)')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axes[1].plot(range(1, days+1), production, color='#0056B3')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Critical Temperature Threshold: 80°C | Defect Surge: 6.2x above threshold | Correlation: +0.724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36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Chamber Temperature vs Scrap Defects and Daily Production Trajectory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Engineering Recommendations: </w:t>
      </w:r>
      <w:r>
        <w:rPr>
          <w:rFonts w:ascii="Calibri" w:hAnsi="Calibri"/>
          <w:color w:val="333333"/>
          <w:sz w:val="22"/>
        </w:rPr>
        <w:t>Machine chamber temperature has a critical threshold at 80°C. Above 80°C, thermal expansion in CNC tooling causes scrap defects to jump by 6.2x (r = +0.724). Install automated coolant throttling once operating hours exceed 18 hours/day.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2. E-Commerce Sales Pattern &amp; Pricing Strategy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Industrial Scenario: A multi-category e-commerce platform analyzes the elasticity between promotional discounts (0-50%), quantity purchased, revenue generation, and customer review ratings.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Discount Elasticity &amp; Revenue Optimization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plt.subplots(1, 2, figsize=(11, 4.5))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axes[0].scatter(discount*100, revenue, color='#0056B3', alpha=0.7, edgecolors='black')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axes[1].scatter(discount*100, rating, color='#D9534F', alpha=0.7, edgecolors='black')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Optimal Discount Band: 25-40% ($382.20 avg revenue) | Clearance (&gt;40%): Revenue Cannibalization ($298.50)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36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Discount Rate vs Net Basket Revenue and Customer Rating Elasticity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Pricing Strategy Recommendations: </w:t>
      </w:r>
      <w:r>
        <w:rPr>
          <w:rFonts w:ascii="Calibri" w:hAnsi="Calibri"/>
          <w:color w:val="333333"/>
          <w:sz w:val="22"/>
        </w:rPr>
        <w:t>Moderate to High discounts (20-30%) maximize net basket revenue ($382.20). Deep clearance discounts (&gt;40%) result in margin cannibalization and lower customer perceived quality.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3. Hospital Inpatient Risk Stratification &amp; Clinical Analytics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Industrial Scenario: A multi-specialty healthcare provider analyzes multi-variable physiological risk biomarkers (Systolic Blood Pressure, Fasting Cholesterol, BMI, Age) to optimize clinical pathway intervention and reduce 30-day readmissions.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Clinical Risk Stratification Matrix &amp;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plt.figure(figsize=(7, 4.5))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sc = plt.scatter(sbp, cholesterol, s=bmi*3, c=cost, cmap='YlOrRd', alpha=0.8, edgecolors='black')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plt.axvline(140, color='red', linestyle='--', label='Hypertension Cutoff (140 mmHg)')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plt.axhline(240, color='purple', linestyle='--', label='High Cholesterol Cutoff (240 mg/dL)')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Identified 42 Critical Metabolic Syndrome patients requiring intensive cardiology monitoring.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21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tas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Metabolic Syndrome Clinical Biomarker Risk Stratification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Clinical Intervention Plan: </w:t>
      </w:r>
      <w:r>
        <w:rPr>
          <w:rFonts w:ascii="Calibri" w:hAnsi="Calibri"/>
          <w:color w:val="333333"/>
          <w:sz w:val="22"/>
        </w:rPr>
        <w:t>Automated triage scoring: Patients presenting with SBP &gt;140 mmHg and BMI &gt;30 trigger automatic clinical nutrition consults and preventive cardiology follow-ups.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4. Financial Market Volatility &amp; Quantitative Dependency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Industrial Scenario: A quantitative hedge fund analyzes asset pricing time series, trading volume liquidity shocks, returns fat-tailed distributions, and auto-regressive volatility clustering (GARCH effects).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Quantitative Market Dynamics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plt.subplots(1, 2, figsize=(11, 4.5))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axes[0].hist(daily_returns*100, bins=30, color='#1B365D', edgecolor='black', alpha=0.7, density=True)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stats.probplot(daily_returns, dist='norm', plot=axes[1])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Annualized Volatility: 22.45% | Sharpe Ratio: 0.48 | Excess Kurtosis: 3.8412 (Fat-Tail Dynamics)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37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task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Asset Daily Return Distribution and Normal Q-Q Plot Revealing Fat Tails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Portfolio Risk Management: </w:t>
      </w:r>
      <w:r>
        <w:rPr>
          <w:rFonts w:ascii="Calibri" w:hAnsi="Calibri"/>
          <w:color w:val="333333"/>
          <w:sz w:val="22"/>
        </w:rPr>
        <w:t>Positive excess kurtosis (3.84) indicates pronounced leptokurtic fat tails, requiring dynamic Value-at-Risk (VaR at 99%) risk parity position sizing.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5. Enterprise Workforce Productivity &amp; Efficiency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Industrial Scenario: An enterprise tech firm evaluates workforce engineering productivity across tenure levels, sprint task completions, salary incentive alignments, and monthly performance variability.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Workforce Analytics &amp; Bootstrap Uncertainty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plt.subplots(1, 2, figsize=(11, 4.5))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axes[0].scatter(exp, tasks, color='#0056B3', alpha=0.7, edgecolors='black')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axes[1].hist(boot_seniors, bins=25, color='#5CB85C', edgecolor='black', alpha=0.8)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Senior Quarterly Output Velocity: 52.80 tasks/quarter | Bootstrap 95% CI: [49.82, 55.64]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3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task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Tenure vs Completed Tasks and Bootstrap Senior Velocity Distribution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Management Optimization Policy: </w:t>
      </w:r>
      <w:r>
        <w:rPr>
          <w:rFonts w:ascii="Calibri" w:hAnsi="Calibri"/>
          <w:color w:val="333333"/>
          <w:sz w:val="22"/>
        </w:rPr>
        <w:t>Output velocity scales linearly with tenure (52.8 tasks/quarter for seniors vs 18.5 for juniors). Junior-senior pairing in agile pair-programming maximizes team velocity.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