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Calibri" w:hAnsi="Calibri"/>
          <w:b/>
          <w:color w:val="003366"/>
          <w:sz w:val="44"/>
        </w:rPr>
        <w:t>CLASS ACTIVITY: DATA VISUALIZATION &amp; ANALYSIS</w:t>
      </w:r>
    </w:p>
    <w:p>
      <w:pPr>
        <w:spacing w:after="480"/>
        <w:jc w:val="center"/>
      </w:pPr>
      <w:r>
        <w:rPr>
          <w:rFonts w:ascii="Calibri" w:hAnsi="Calibri"/>
          <w:i/>
          <w:color w:val="646464"/>
          <w:sz w:val="26"/>
        </w:rPr>
        <w:t>Comprehensive Solutions &amp; Case Study Answers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006699"/>
          <w:sz w:val="28"/>
        </w:rPr>
        <w:t>1. Case Study: Monthly Hospital Patient Visits</w:t>
      </w:r>
    </w:p>
    <w:p>
      <w:r>
        <w:rPr>
          <w:rFonts w:ascii="Calibri" w:hAnsi="Calibri"/>
        </w:rPr>
        <w:t>Scenario: A hospital administrator wants to analyze the number of patients visiting the hospital each month during 2025.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Month</w:t>
            </w:r>
          </w:p>
        </w:tc>
        <w:tc>
          <w:tcPr>
            <w:tcW w:type="dxa" w:w="4320"/>
            <w:shd w:fill="00336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Patient Visits</w:t>
            </w:r>
          </w:p>
        </w:tc>
      </w:tr>
      <w:tr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Jan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1200</w:t>
            </w:r>
          </w:p>
        </w:tc>
      </w:tr>
      <w:tr>
        <w:tc>
          <w:tcPr>
            <w:tcW w:type="dxa" w:w="432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Feb</w:t>
            </w:r>
          </w:p>
        </w:tc>
        <w:tc>
          <w:tcPr>
            <w:tcW w:type="dxa" w:w="432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1350</w:t>
            </w:r>
          </w:p>
        </w:tc>
      </w:tr>
      <w:tr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Mar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1500</w:t>
            </w:r>
          </w:p>
        </w:tc>
      </w:tr>
      <w:tr>
        <w:tc>
          <w:tcPr>
            <w:tcW w:type="dxa" w:w="432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Apr</w:t>
            </w:r>
          </w:p>
        </w:tc>
        <w:tc>
          <w:tcPr>
            <w:tcW w:type="dxa" w:w="432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1450</w:t>
            </w:r>
          </w:p>
        </w:tc>
      </w:tr>
      <w:tr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May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1700</w:t>
            </w:r>
          </w:p>
        </w:tc>
      </w:tr>
      <w:tr>
        <w:tc>
          <w:tcPr>
            <w:tcW w:type="dxa" w:w="432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Jun</w:t>
            </w:r>
          </w:p>
        </w:tc>
        <w:tc>
          <w:tcPr>
            <w:tcW w:type="dxa" w:w="432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1850</w:t>
            </w:r>
          </w:p>
        </w:tc>
      </w:tr>
    </w:tbl>
    <w:p/>
    <w:p>
      <w:pPr>
        <w:spacing w:before="120" w:after="40"/>
      </w:pPr>
      <w:r>
        <w:rPr>
          <w:rFonts w:ascii="Calibri" w:hAnsi="Calibri"/>
          <w:b/>
          <w:color w:val="003366"/>
          <w:sz w:val="22"/>
        </w:rPr>
        <w:t xml:space="preserve">Q1. </w:t>
      </w:r>
      <w:r>
        <w:rPr>
          <w:rFonts w:ascii="Calibri" w:hAnsi="Calibri"/>
          <w:b/>
          <w:sz w:val="22"/>
        </w:rPr>
        <w:t>Which visualization is most suitable?</w:t>
      </w:r>
    </w:p>
    <w:p>
      <w:pPr>
        <w:spacing w:before="40" w:after="160"/>
        <w:ind w:left="360"/>
      </w:pPr>
      <w:r>
        <w:rPr>
          <w:rFonts w:ascii="Calibri" w:hAnsi="Calibri"/>
          <w:b/>
          <w:color w:val="008000"/>
          <w:sz w:val="22"/>
        </w:rPr>
        <w:t xml:space="preserve">Answer: </w:t>
      </w:r>
      <w:r>
        <w:rPr>
          <w:rFonts w:ascii="Calibri" w:hAnsi="Calibri"/>
          <w:sz w:val="22"/>
        </w:rPr>
        <w:t>Line Chart (or Line Graph).</w:t>
      </w:r>
    </w:p>
    <w:p>
      <w:pPr>
        <w:spacing w:before="0" w:after="160"/>
        <w:ind w:left="720"/>
      </w:pPr>
      <w:r>
        <w:rPr>
          <w:rFonts w:ascii="Calibri" w:hAnsi="Calibri"/>
          <w:i/>
          <w:color w:val="505050"/>
          <w:sz w:val="20"/>
        </w:rPr>
        <w:t>Explanation / Analysis: Line charts are optimal for displaying continuous time-series data (months) to clearly observe trends, fluctuations, and progression over time. A Bar Chart could also serve for monthly comparison, but Line Chart is best for continuous temporal trends.</w:t>
      </w:r>
    </w:p>
    <w:p>
      <w:pPr>
        <w:spacing w:before="120" w:after="40"/>
      </w:pPr>
      <w:r>
        <w:rPr>
          <w:rFonts w:ascii="Calibri" w:hAnsi="Calibri"/>
          <w:b/>
          <w:color w:val="003366"/>
          <w:sz w:val="22"/>
        </w:rPr>
        <w:t xml:space="preserve">Q2. </w:t>
      </w:r>
      <w:r>
        <w:rPr>
          <w:rFonts w:ascii="Calibri" w:hAnsi="Calibri"/>
          <w:b/>
          <w:sz w:val="22"/>
        </w:rPr>
        <w:t>What trend can be observed?</w:t>
      </w:r>
    </w:p>
    <w:p>
      <w:pPr>
        <w:spacing w:before="40" w:after="160"/>
        <w:ind w:left="360"/>
      </w:pPr>
      <w:r>
        <w:rPr>
          <w:rFonts w:ascii="Calibri" w:hAnsi="Calibri"/>
          <w:b/>
          <w:color w:val="008000"/>
          <w:sz w:val="22"/>
        </w:rPr>
        <w:t xml:space="preserve">Answer: </w:t>
      </w:r>
      <w:r>
        <w:rPr>
          <w:rFonts w:ascii="Calibri" w:hAnsi="Calibri"/>
          <w:sz w:val="22"/>
        </w:rPr>
        <w:t>An overall upward (increasing) trend in patient visits.</w:t>
      </w:r>
    </w:p>
    <w:p>
      <w:pPr>
        <w:spacing w:before="0" w:after="160"/>
        <w:ind w:left="720"/>
      </w:pPr>
      <w:r>
        <w:rPr>
          <w:rFonts w:ascii="Calibri" w:hAnsi="Calibri"/>
          <w:i/>
          <w:color w:val="505050"/>
          <w:sz w:val="20"/>
        </w:rPr>
        <w:t>Explanation / Analysis: Patient visits grow steadily from 1,200 in January to 1,850 in June, with a minor temporary dip in April (from 1,500 down to 1,450) before resuming strong upward momentum in May and June.</w:t>
      </w:r>
    </w:p>
    <w:p>
      <w:pPr>
        <w:spacing w:before="120" w:after="40"/>
      </w:pPr>
      <w:r>
        <w:rPr>
          <w:rFonts w:ascii="Calibri" w:hAnsi="Calibri"/>
          <w:b/>
          <w:color w:val="003366"/>
          <w:sz w:val="22"/>
        </w:rPr>
        <w:t xml:space="preserve">Q3. </w:t>
      </w:r>
      <w:r>
        <w:rPr>
          <w:rFonts w:ascii="Calibri" w:hAnsi="Calibri"/>
          <w:b/>
          <w:sz w:val="22"/>
        </w:rPr>
        <w:t>Identify the month with the highest patient count.</w:t>
      </w:r>
    </w:p>
    <w:p>
      <w:pPr>
        <w:spacing w:before="40" w:after="160"/>
        <w:ind w:left="360"/>
      </w:pPr>
      <w:r>
        <w:rPr>
          <w:rFonts w:ascii="Calibri" w:hAnsi="Calibri"/>
          <w:b/>
          <w:color w:val="008000"/>
          <w:sz w:val="22"/>
        </w:rPr>
        <w:t xml:space="preserve">Answer: </w:t>
      </w:r>
      <w:r>
        <w:rPr>
          <w:rFonts w:ascii="Calibri" w:hAnsi="Calibri"/>
          <w:sz w:val="22"/>
        </w:rPr>
        <w:t>June (with 1,850 patients).</w:t>
      </w:r>
    </w:p>
    <w:p>
      <w:pPr>
        <w:spacing w:before="0" w:after="160"/>
        <w:ind w:left="720"/>
      </w:pPr>
      <w:r>
        <w:rPr>
          <w:rFonts w:ascii="Calibri" w:hAnsi="Calibri"/>
          <w:i/>
          <w:color w:val="505050"/>
          <w:sz w:val="20"/>
        </w:rPr>
        <w:t>Explanation / Analysis: June recorded the maximum number of patient visits (1,850), representing the peak month in the 6-month period.</w:t>
      </w:r>
    </w:p>
    <w:p>
      <w:pPr>
        <w:spacing w:before="120" w:after="40"/>
      </w:pPr>
      <w:r>
        <w:rPr>
          <w:rFonts w:ascii="Calibri" w:hAnsi="Calibri"/>
          <w:b/>
          <w:color w:val="003366"/>
          <w:sz w:val="22"/>
        </w:rPr>
        <w:t xml:space="preserve">Q4. </w:t>
      </w:r>
      <w:r>
        <w:rPr>
          <w:rFonts w:ascii="Calibri" w:hAnsi="Calibri"/>
          <w:b/>
          <w:sz w:val="22"/>
        </w:rPr>
        <w:t>Predict whether visits are increasing or decreasing.</w:t>
      </w:r>
    </w:p>
    <w:p>
      <w:pPr>
        <w:spacing w:before="40" w:after="160"/>
        <w:ind w:left="360"/>
      </w:pPr>
      <w:r>
        <w:rPr>
          <w:rFonts w:ascii="Calibri" w:hAnsi="Calibri"/>
          <w:b/>
          <w:color w:val="008000"/>
          <w:sz w:val="22"/>
        </w:rPr>
        <w:t xml:space="preserve">Answer: </w:t>
      </w:r>
      <w:r>
        <w:rPr>
          <w:rFonts w:ascii="Calibri" w:hAnsi="Calibri"/>
          <w:sz w:val="22"/>
        </w:rPr>
        <w:t>Visits are predicted to continue increasing.</w:t>
      </w:r>
    </w:p>
    <w:p>
      <w:pPr>
        <w:spacing w:before="0" w:after="160"/>
        <w:ind w:left="720"/>
      </w:pPr>
      <w:r>
        <w:rPr>
          <w:rFonts w:ascii="Calibri" w:hAnsi="Calibri"/>
          <w:i/>
          <w:color w:val="505050"/>
          <w:sz w:val="20"/>
        </w:rPr>
        <w:t>Explanation / Analysis: Over the 6-month period, patient visits increased by +650 patients (+54.17%). Given the positive slope of the trajectory, the hospital should plan for continued growth in patient intake.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006699"/>
          <w:sz w:val="28"/>
        </w:rPr>
        <w:t>2. Case Study: Study Hours vs Exam Marks</w:t>
      </w:r>
    </w:p>
    <w:p>
      <w:r>
        <w:rPr>
          <w:rFonts w:ascii="Calibri" w:hAnsi="Calibri"/>
        </w:rPr>
        <w:t>Scenario: A teacher wants to determine whether studying more hours improves exam performance.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Student</w:t>
            </w:r>
          </w:p>
        </w:tc>
        <w:tc>
          <w:tcPr>
            <w:tcW w:type="dxa" w:w="2880"/>
            <w:shd w:fill="00336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Study Hours</w:t>
            </w:r>
          </w:p>
        </w:tc>
        <w:tc>
          <w:tcPr>
            <w:tcW w:type="dxa" w:w="2880"/>
            <w:shd w:fill="00336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Marks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A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45</w:t>
            </w:r>
          </w:p>
        </w:tc>
      </w:tr>
      <w:tr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B</w:t>
            </w:r>
          </w:p>
        </w:tc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3</w:t>
            </w:r>
          </w:p>
        </w:tc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52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C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4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58</w:t>
            </w:r>
          </w:p>
        </w:tc>
      </w:tr>
      <w:tr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D</w:t>
            </w:r>
          </w:p>
        </w:tc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5</w:t>
            </w:r>
          </w:p>
        </w:tc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68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E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7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82</w:t>
            </w:r>
          </w:p>
        </w:tc>
      </w:tr>
    </w:tbl>
    <w:p/>
    <w:p>
      <w:pPr>
        <w:spacing w:before="120" w:after="40"/>
      </w:pPr>
      <w:r>
        <w:rPr>
          <w:rFonts w:ascii="Calibri" w:hAnsi="Calibri"/>
          <w:b/>
          <w:color w:val="003366"/>
          <w:sz w:val="22"/>
        </w:rPr>
        <w:t xml:space="preserve">Q1. </w:t>
      </w:r>
      <w:r>
        <w:rPr>
          <w:rFonts w:ascii="Calibri" w:hAnsi="Calibri"/>
          <w:b/>
          <w:sz w:val="22"/>
        </w:rPr>
        <w:t>Which chart is appropriate?</w:t>
      </w:r>
    </w:p>
    <w:p>
      <w:pPr>
        <w:spacing w:before="40" w:after="160"/>
        <w:ind w:left="360"/>
      </w:pPr>
      <w:r>
        <w:rPr>
          <w:rFonts w:ascii="Calibri" w:hAnsi="Calibri"/>
          <w:b/>
          <w:color w:val="008000"/>
          <w:sz w:val="22"/>
        </w:rPr>
        <w:t xml:space="preserve">Answer: </w:t>
      </w:r>
      <w:r>
        <w:rPr>
          <w:rFonts w:ascii="Calibri" w:hAnsi="Calibri"/>
          <w:sz w:val="22"/>
        </w:rPr>
        <w:t>Scatter Plot (with a linear regression / trend line).</w:t>
      </w:r>
    </w:p>
    <w:p>
      <w:pPr>
        <w:spacing w:before="0" w:after="160"/>
        <w:ind w:left="720"/>
      </w:pPr>
      <w:r>
        <w:rPr>
          <w:rFonts w:ascii="Calibri" w:hAnsi="Calibri"/>
          <w:i/>
          <w:color w:val="505050"/>
          <w:sz w:val="20"/>
        </w:rPr>
        <w:t>Explanation / Analysis: Scatter plots are specifically designed to illustrate the relationship and correlation between two continuous numeric variables (Study Hours on X-axis, Marks on Y-axis).</w:t>
      </w:r>
    </w:p>
    <w:p>
      <w:pPr>
        <w:spacing w:before="120" w:after="40"/>
      </w:pPr>
      <w:r>
        <w:rPr>
          <w:rFonts w:ascii="Calibri" w:hAnsi="Calibri"/>
          <w:b/>
          <w:color w:val="003366"/>
          <w:sz w:val="22"/>
        </w:rPr>
        <w:t xml:space="preserve">Q2. </w:t>
      </w:r>
      <w:r>
        <w:rPr>
          <w:rFonts w:ascii="Calibri" w:hAnsi="Calibri"/>
          <w:b/>
          <w:sz w:val="22"/>
        </w:rPr>
        <w:t>Is there a positive or negative relationship?</w:t>
      </w:r>
    </w:p>
    <w:p>
      <w:pPr>
        <w:spacing w:before="40" w:after="160"/>
        <w:ind w:left="360"/>
      </w:pPr>
      <w:r>
        <w:rPr>
          <w:rFonts w:ascii="Calibri" w:hAnsi="Calibri"/>
          <w:b/>
          <w:color w:val="008000"/>
          <w:sz w:val="22"/>
        </w:rPr>
        <w:t xml:space="preserve">Answer: </w:t>
      </w:r>
      <w:r>
        <w:rPr>
          <w:rFonts w:ascii="Calibri" w:hAnsi="Calibri"/>
          <w:sz w:val="22"/>
        </w:rPr>
        <w:t>Strong Positive Relationship (Positive Correlation).</w:t>
      </w:r>
    </w:p>
    <w:p>
      <w:pPr>
        <w:spacing w:before="0" w:after="160"/>
        <w:ind w:left="720"/>
      </w:pPr>
      <w:r>
        <w:rPr>
          <w:rFonts w:ascii="Calibri" w:hAnsi="Calibri"/>
          <w:i/>
          <w:color w:val="505050"/>
          <w:sz w:val="20"/>
        </w:rPr>
        <w:t>Explanation / Analysis: As the number of study hours increases, exam marks consistently increase. The correlation coefficient is near +1.0.</w:t>
      </w:r>
    </w:p>
    <w:p>
      <w:pPr>
        <w:spacing w:before="120" w:after="40"/>
      </w:pPr>
      <w:r>
        <w:rPr>
          <w:rFonts w:ascii="Calibri" w:hAnsi="Calibri"/>
          <w:b/>
          <w:color w:val="003366"/>
          <w:sz w:val="22"/>
        </w:rPr>
        <w:t xml:space="preserve">Q3. </w:t>
      </w:r>
      <w:r>
        <w:rPr>
          <w:rFonts w:ascii="Calibri" w:hAnsi="Calibri"/>
          <w:b/>
          <w:sz w:val="22"/>
        </w:rPr>
        <w:t>Which student is an outlier, if any?</w:t>
      </w:r>
    </w:p>
    <w:p>
      <w:pPr>
        <w:spacing w:before="40" w:after="160"/>
        <w:ind w:left="360"/>
      </w:pPr>
      <w:r>
        <w:rPr>
          <w:rFonts w:ascii="Calibri" w:hAnsi="Calibri"/>
          <w:b/>
          <w:color w:val="008000"/>
          <w:sz w:val="22"/>
        </w:rPr>
        <w:t xml:space="preserve">Answer: </w:t>
      </w:r>
      <w:r>
        <w:rPr>
          <w:rFonts w:ascii="Calibri" w:hAnsi="Calibri"/>
          <w:sz w:val="22"/>
        </w:rPr>
        <w:t>No student is an outlier.</w:t>
      </w:r>
    </w:p>
    <w:p>
      <w:pPr>
        <w:spacing w:before="0" w:after="160"/>
        <w:ind w:left="720"/>
      </w:pPr>
      <w:r>
        <w:rPr>
          <w:rFonts w:ascii="Calibri" w:hAnsi="Calibri"/>
          <w:i/>
          <w:color w:val="505050"/>
          <w:sz w:val="20"/>
        </w:rPr>
        <w:t>Explanation / Analysis: All data points follow a strict, nearly perfect linear pattern (approx. 7.36 marks per hour of study + baseline of ~30 marks). Every student's score closely fits the linear trendline.</w:t>
      </w:r>
    </w:p>
    <w:p>
      <w:pPr>
        <w:spacing w:before="120" w:after="40"/>
      </w:pPr>
      <w:r>
        <w:rPr>
          <w:rFonts w:ascii="Calibri" w:hAnsi="Calibri"/>
          <w:b/>
          <w:color w:val="003366"/>
          <w:sz w:val="22"/>
        </w:rPr>
        <w:t xml:space="preserve">Q4. </w:t>
      </w:r>
      <w:r>
        <w:rPr>
          <w:rFonts w:ascii="Calibri" w:hAnsi="Calibri"/>
          <w:b/>
          <w:sz w:val="22"/>
        </w:rPr>
        <w:t>Can marks be predicted from study hours?</w:t>
      </w:r>
    </w:p>
    <w:p>
      <w:pPr>
        <w:spacing w:before="40" w:after="160"/>
        <w:ind w:left="360"/>
      </w:pPr>
      <w:r>
        <w:rPr>
          <w:rFonts w:ascii="Calibri" w:hAnsi="Calibri"/>
          <w:b/>
          <w:color w:val="008000"/>
          <w:sz w:val="22"/>
        </w:rPr>
        <w:t xml:space="preserve">Answer: </w:t>
      </w:r>
      <w:r>
        <w:rPr>
          <w:rFonts w:ascii="Calibri" w:hAnsi="Calibri"/>
          <w:sz w:val="22"/>
        </w:rPr>
        <w:t>Yes, marks can be accurately predicted using Linear Regression.</w:t>
      </w:r>
    </w:p>
    <w:p>
      <w:pPr>
        <w:spacing w:before="0" w:after="160"/>
        <w:ind w:left="720"/>
      </w:pPr>
      <w:r>
        <w:rPr>
          <w:rFonts w:ascii="Calibri" w:hAnsi="Calibri"/>
          <w:i/>
          <w:color w:val="505050"/>
          <w:sz w:val="20"/>
        </w:rPr>
        <w:t>Explanation / Analysis: Because of the strong linear correlation, a simple linear model (Marks ≈ 7.36 × Study Hours + 29.8) yields highly reliable predictions for exam performance.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006699"/>
          <w:sz w:val="28"/>
        </w:rPr>
        <w:t>3. Case Study: Employee Salary Distribution</w:t>
      </w:r>
    </w:p>
    <w:p>
      <w:r>
        <w:rPr>
          <w:rFonts w:ascii="Calibri" w:hAnsi="Calibri"/>
        </w:rPr>
        <w:t>Scenario: A company wants to understand how salaries are distributed among employees.</w:t>
        <w:br/>
        <w:t>Salary Data (₹ in Thousands): 25, 28, 30, 32, 35, 35, 36, 38, 40, 42, 45, 48, 50, 52, 55, 60, 65, 70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Salary Range (₹ in Thousands)</w:t>
            </w:r>
          </w:p>
        </w:tc>
        <w:tc>
          <w:tcPr>
            <w:tcW w:type="dxa" w:w="2880"/>
            <w:shd w:fill="00336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Number of Employees</w:t>
            </w:r>
          </w:p>
        </w:tc>
        <w:tc>
          <w:tcPr>
            <w:tcW w:type="dxa" w:w="2880"/>
            <w:shd w:fill="00336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Employee Values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20k - 30k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25, 28</w:t>
            </w:r>
          </w:p>
        </w:tc>
      </w:tr>
      <w:tr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30k - 40k</w:t>
            </w:r>
          </w:p>
        </w:tc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7</w:t>
            </w:r>
          </w:p>
        </w:tc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30, 32, 35, 35, 36, 38, 40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40k - 50k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4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42, 45, 48, 50</w:t>
            </w:r>
          </w:p>
        </w:tc>
      </w:tr>
      <w:tr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50k - 60k</w:t>
            </w:r>
          </w:p>
        </w:tc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3</w:t>
            </w:r>
          </w:p>
        </w:tc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52, 55, 60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60k - 70k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65, 70</w:t>
            </w:r>
          </w:p>
        </w:tc>
      </w:tr>
    </w:tbl>
    <w:p/>
    <w:p>
      <w:pPr>
        <w:spacing w:before="120" w:after="40"/>
      </w:pPr>
      <w:r>
        <w:rPr>
          <w:rFonts w:ascii="Calibri" w:hAnsi="Calibri"/>
          <w:b/>
          <w:color w:val="003366"/>
          <w:sz w:val="22"/>
        </w:rPr>
        <w:t xml:space="preserve">Q1. </w:t>
      </w:r>
      <w:r>
        <w:rPr>
          <w:rFonts w:ascii="Calibri" w:hAnsi="Calibri"/>
          <w:b/>
          <w:sz w:val="22"/>
        </w:rPr>
        <w:t>Which graph should be used?</w:t>
      </w:r>
    </w:p>
    <w:p>
      <w:pPr>
        <w:spacing w:before="40" w:after="160"/>
        <w:ind w:left="360"/>
      </w:pPr>
      <w:r>
        <w:rPr>
          <w:rFonts w:ascii="Calibri" w:hAnsi="Calibri"/>
          <w:b/>
          <w:color w:val="008000"/>
          <w:sz w:val="22"/>
        </w:rPr>
        <w:t xml:space="preserve">Answer: </w:t>
      </w:r>
      <w:r>
        <w:rPr>
          <w:rFonts w:ascii="Calibri" w:hAnsi="Calibri"/>
          <w:sz w:val="22"/>
        </w:rPr>
        <w:t>Histogram and/or Box Plot.</w:t>
      </w:r>
    </w:p>
    <w:p>
      <w:pPr>
        <w:spacing w:before="0" w:after="160"/>
        <w:ind w:left="720"/>
      </w:pPr>
      <w:r>
        <w:rPr>
          <w:rFonts w:ascii="Calibri" w:hAnsi="Calibri"/>
          <w:i/>
          <w:color w:val="505050"/>
          <w:sz w:val="20"/>
        </w:rPr>
        <w:t>Explanation / Analysis: A Histogram shows the shape, frequency, and density of continuous numeric salary distributions across ranges. A Box Plot complements it by highlighting median, quartiles, and range.</w:t>
      </w:r>
    </w:p>
    <w:p>
      <w:pPr>
        <w:spacing w:before="120" w:after="40"/>
      </w:pPr>
      <w:r>
        <w:rPr>
          <w:rFonts w:ascii="Calibri" w:hAnsi="Calibri"/>
          <w:b/>
          <w:color w:val="003366"/>
          <w:sz w:val="22"/>
        </w:rPr>
        <w:t xml:space="preserve">Q2. </w:t>
      </w:r>
      <w:r>
        <w:rPr>
          <w:rFonts w:ascii="Calibri" w:hAnsi="Calibri"/>
          <w:b/>
          <w:sz w:val="22"/>
        </w:rPr>
        <w:t>In which salary range do most employees fall?</w:t>
      </w:r>
    </w:p>
    <w:p>
      <w:pPr>
        <w:spacing w:before="40" w:after="160"/>
        <w:ind w:left="360"/>
      </w:pPr>
      <w:r>
        <w:rPr>
          <w:rFonts w:ascii="Calibri" w:hAnsi="Calibri"/>
          <w:b/>
          <w:color w:val="008000"/>
          <w:sz w:val="22"/>
        </w:rPr>
        <w:t xml:space="preserve">Answer: </w:t>
      </w:r>
      <w:r>
        <w:rPr>
          <w:rFonts w:ascii="Calibri" w:hAnsi="Calibri"/>
          <w:sz w:val="22"/>
        </w:rPr>
        <w:t>₹30,000 – ₹40,000 range.</w:t>
      </w:r>
    </w:p>
    <w:p>
      <w:pPr>
        <w:spacing w:before="0" w:after="160"/>
        <w:ind w:left="720"/>
      </w:pPr>
      <w:r>
        <w:rPr>
          <w:rFonts w:ascii="Calibri" w:hAnsi="Calibri"/>
          <w:i/>
          <w:color w:val="505050"/>
          <w:sz w:val="20"/>
        </w:rPr>
        <w:t>Explanation / Analysis: 7 out of 18 employees (~38.9%) earn between ₹30k and ₹40k. Expanding slightly, 11 out of 18 employees (~61.1%) earn between ₹30k and ₹50k.</w:t>
      </w:r>
    </w:p>
    <w:p>
      <w:pPr>
        <w:spacing w:before="120" w:after="40"/>
      </w:pPr>
      <w:r>
        <w:rPr>
          <w:rFonts w:ascii="Calibri" w:hAnsi="Calibri"/>
          <w:b/>
          <w:color w:val="003366"/>
          <w:sz w:val="22"/>
        </w:rPr>
        <w:t xml:space="preserve">Q3. </w:t>
      </w:r>
      <w:r>
        <w:rPr>
          <w:rFonts w:ascii="Calibri" w:hAnsi="Calibri"/>
          <w:b/>
          <w:sz w:val="22"/>
        </w:rPr>
        <w:t>Is the distribution symmetric or skewed?</w:t>
      </w:r>
    </w:p>
    <w:p>
      <w:pPr>
        <w:spacing w:before="40" w:after="160"/>
        <w:ind w:left="360"/>
      </w:pPr>
      <w:r>
        <w:rPr>
          <w:rFonts w:ascii="Calibri" w:hAnsi="Calibri"/>
          <w:b/>
          <w:color w:val="008000"/>
          <w:sz w:val="22"/>
        </w:rPr>
        <w:t xml:space="preserve">Answer: </w:t>
      </w:r>
      <w:r>
        <w:rPr>
          <w:rFonts w:ascii="Calibri" w:hAnsi="Calibri"/>
          <w:sz w:val="22"/>
        </w:rPr>
        <w:t>Slightly Right-Skewed (Positively Skewed).</w:t>
      </w:r>
    </w:p>
    <w:p>
      <w:pPr>
        <w:spacing w:before="0" w:after="160"/>
        <w:ind w:left="720"/>
      </w:pPr>
      <w:r>
        <w:rPr>
          <w:rFonts w:ascii="Calibri" w:hAnsi="Calibri"/>
          <w:i/>
          <w:color w:val="505050"/>
          <w:sz w:val="20"/>
        </w:rPr>
        <w:t>Explanation / Analysis: Mean = ₹44.11k, Median = ₹41.0k, Mode = ₹35.0k. Since Mean &gt; Median &gt; Mode, the bulk of salaries are concentrated in the ₹30k–₹45k range, with a tail extending towards higher executive salaries (up to ₹70k).</w:t>
      </w:r>
    </w:p>
    <w:p>
      <w:pPr>
        <w:spacing w:before="120" w:after="40"/>
      </w:pPr>
      <w:r>
        <w:rPr>
          <w:rFonts w:ascii="Calibri" w:hAnsi="Calibri"/>
          <w:b/>
          <w:color w:val="003366"/>
          <w:sz w:val="22"/>
        </w:rPr>
        <w:t xml:space="preserve">Q4. </w:t>
      </w:r>
      <w:r>
        <w:rPr>
          <w:rFonts w:ascii="Calibri" w:hAnsi="Calibri"/>
          <w:b/>
          <w:sz w:val="22"/>
        </w:rPr>
        <w:t>Are there any salary ranges with very few employees?</w:t>
      </w:r>
    </w:p>
    <w:p>
      <w:pPr>
        <w:spacing w:before="40" w:after="160"/>
        <w:ind w:left="360"/>
      </w:pPr>
      <w:r>
        <w:rPr>
          <w:rFonts w:ascii="Calibri" w:hAnsi="Calibri"/>
          <w:b/>
          <w:color w:val="008000"/>
          <w:sz w:val="22"/>
        </w:rPr>
        <w:t xml:space="preserve">Answer: </w:t>
      </w:r>
      <w:r>
        <w:rPr>
          <w:rFonts w:ascii="Calibri" w:hAnsi="Calibri"/>
          <w:sz w:val="22"/>
        </w:rPr>
        <w:t>Yes, the lowest range (₹20k–₹30k: 2 employees) and highest range (₹60k–₹70k: 2 employees).</w:t>
      </w:r>
    </w:p>
    <w:p>
      <w:pPr>
        <w:spacing w:before="0" w:after="160"/>
        <w:ind w:left="720"/>
      </w:pPr>
      <w:r>
        <w:rPr>
          <w:rFonts w:ascii="Calibri" w:hAnsi="Calibri"/>
          <w:i/>
          <w:color w:val="505050"/>
          <w:sz w:val="20"/>
        </w:rPr>
        <w:t>Explanation / Analysis: The extremes have low frequencies compared to the central salary brackets.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006699"/>
          <w:sz w:val="28"/>
        </w:rPr>
        <w:t>4. Case Study: Favorite Programming Language</w:t>
      </w:r>
    </w:p>
    <w:p>
      <w:r>
        <w:rPr>
          <w:rFonts w:ascii="Calibri" w:hAnsi="Calibri"/>
        </w:rPr>
        <w:t>Scenario: A survey was conducted among 200 students.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Language</w:t>
            </w:r>
          </w:p>
        </w:tc>
        <w:tc>
          <w:tcPr>
            <w:tcW w:type="dxa" w:w="2880"/>
            <w:shd w:fill="00336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Number of Students</w:t>
            </w:r>
          </w:p>
        </w:tc>
        <w:tc>
          <w:tcPr>
            <w:tcW w:type="dxa" w:w="2880"/>
            <w:shd w:fill="00336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Percentage (%)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Python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80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40.0%</w:t>
            </w:r>
          </w:p>
        </w:tc>
      </w:tr>
      <w:tr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Java</w:t>
            </w:r>
          </w:p>
        </w:tc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50</w:t>
            </w:r>
          </w:p>
        </w:tc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25.0%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C++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30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15.0%</w:t>
            </w:r>
          </w:p>
        </w:tc>
      </w:tr>
      <w:tr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JavaScript</w:t>
            </w:r>
          </w:p>
        </w:tc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25</w:t>
            </w:r>
          </w:p>
        </w:tc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12.5%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R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15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7.5%</w:t>
            </w:r>
          </w:p>
        </w:tc>
      </w:tr>
    </w:tbl>
    <w:p/>
    <w:p>
      <w:pPr>
        <w:spacing w:before="120" w:after="40"/>
      </w:pPr>
      <w:r>
        <w:rPr>
          <w:rFonts w:ascii="Calibri" w:hAnsi="Calibri"/>
          <w:b/>
          <w:color w:val="003366"/>
          <w:sz w:val="22"/>
        </w:rPr>
        <w:t xml:space="preserve">Q1. </w:t>
      </w:r>
      <w:r>
        <w:rPr>
          <w:rFonts w:ascii="Calibri" w:hAnsi="Calibri"/>
          <w:b/>
          <w:sz w:val="22"/>
        </w:rPr>
        <w:t>Which visualization is suitable?</w:t>
      </w:r>
    </w:p>
    <w:p>
      <w:pPr>
        <w:spacing w:before="40" w:after="160"/>
        <w:ind w:left="360"/>
      </w:pPr>
      <w:r>
        <w:rPr>
          <w:rFonts w:ascii="Calibri" w:hAnsi="Calibri"/>
          <w:b/>
          <w:color w:val="008000"/>
          <w:sz w:val="22"/>
        </w:rPr>
        <w:t xml:space="preserve">Answer: </w:t>
      </w:r>
      <w:r>
        <w:rPr>
          <w:rFonts w:ascii="Calibri" w:hAnsi="Calibri"/>
          <w:sz w:val="22"/>
        </w:rPr>
        <w:t>Bar Chart (Vertical or Horizontal) or Pie / Donut Chart.</w:t>
      </w:r>
    </w:p>
    <w:p>
      <w:pPr>
        <w:spacing w:before="0" w:after="160"/>
        <w:ind w:left="720"/>
      </w:pPr>
      <w:r>
        <w:rPr>
          <w:rFonts w:ascii="Calibri" w:hAnsi="Calibri"/>
          <w:i/>
          <w:color w:val="505050"/>
          <w:sz w:val="20"/>
        </w:rPr>
        <w:t>Explanation / Analysis: Bar charts enable discrete visual comparison of discrete categories. Pie/Donut charts display relative market share out of 100%.</w:t>
      </w:r>
    </w:p>
    <w:p>
      <w:pPr>
        <w:spacing w:before="120" w:after="40"/>
      </w:pPr>
      <w:r>
        <w:rPr>
          <w:rFonts w:ascii="Calibri" w:hAnsi="Calibri"/>
          <w:b/>
          <w:color w:val="003366"/>
          <w:sz w:val="22"/>
        </w:rPr>
        <w:t xml:space="preserve">Q2. </w:t>
      </w:r>
      <w:r>
        <w:rPr>
          <w:rFonts w:ascii="Calibri" w:hAnsi="Calibri"/>
          <w:b/>
          <w:sz w:val="22"/>
        </w:rPr>
        <w:t>Which language is most popular?</w:t>
      </w:r>
    </w:p>
    <w:p>
      <w:pPr>
        <w:spacing w:before="40" w:after="160"/>
        <w:ind w:left="360"/>
      </w:pPr>
      <w:r>
        <w:rPr>
          <w:rFonts w:ascii="Calibri" w:hAnsi="Calibri"/>
          <w:b/>
          <w:color w:val="008000"/>
          <w:sz w:val="22"/>
        </w:rPr>
        <w:t xml:space="preserve">Answer: </w:t>
      </w:r>
      <w:r>
        <w:rPr>
          <w:rFonts w:ascii="Calibri" w:hAnsi="Calibri"/>
          <w:sz w:val="22"/>
        </w:rPr>
        <w:t>Python (80 students / 40.0%).</w:t>
      </w:r>
    </w:p>
    <w:p>
      <w:pPr>
        <w:spacing w:before="0" w:after="160"/>
        <w:ind w:left="720"/>
      </w:pPr>
      <w:r>
        <w:rPr>
          <w:rFonts w:ascii="Calibri" w:hAnsi="Calibri"/>
          <w:i/>
          <w:color w:val="505050"/>
          <w:sz w:val="20"/>
        </w:rPr>
        <w:t>Explanation / Analysis: Python holds the largest share of student preference.</w:t>
      </w:r>
    </w:p>
    <w:p>
      <w:pPr>
        <w:spacing w:before="120" w:after="40"/>
      </w:pPr>
      <w:r>
        <w:rPr>
          <w:rFonts w:ascii="Calibri" w:hAnsi="Calibri"/>
          <w:b/>
          <w:color w:val="003366"/>
          <w:sz w:val="22"/>
        </w:rPr>
        <w:t xml:space="preserve">Q3. </w:t>
      </w:r>
      <w:r>
        <w:rPr>
          <w:rFonts w:ascii="Calibri" w:hAnsi="Calibri"/>
          <w:b/>
          <w:sz w:val="22"/>
        </w:rPr>
        <w:t>Which language is least preferred?</w:t>
      </w:r>
    </w:p>
    <w:p>
      <w:pPr>
        <w:spacing w:before="40" w:after="160"/>
        <w:ind w:left="360"/>
      </w:pPr>
      <w:r>
        <w:rPr>
          <w:rFonts w:ascii="Calibri" w:hAnsi="Calibri"/>
          <w:b/>
          <w:color w:val="008000"/>
          <w:sz w:val="22"/>
        </w:rPr>
        <w:t xml:space="preserve">Answer: </w:t>
      </w:r>
      <w:r>
        <w:rPr>
          <w:rFonts w:ascii="Calibri" w:hAnsi="Calibri"/>
          <w:sz w:val="22"/>
        </w:rPr>
        <w:t>R (15 students / 7.5%).</w:t>
      </w:r>
    </w:p>
    <w:p>
      <w:pPr>
        <w:spacing w:before="0" w:after="160"/>
        <w:ind w:left="720"/>
      </w:pPr>
      <w:r>
        <w:rPr>
          <w:rFonts w:ascii="Calibri" w:hAnsi="Calibri"/>
          <w:i/>
          <w:color w:val="505050"/>
          <w:sz w:val="20"/>
        </w:rPr>
        <w:t>Explanation / Analysis: R recorded the lowest count among surveyed choices.</w:t>
      </w:r>
    </w:p>
    <w:p>
      <w:pPr>
        <w:spacing w:before="120" w:after="40"/>
      </w:pPr>
      <w:r>
        <w:rPr>
          <w:rFonts w:ascii="Calibri" w:hAnsi="Calibri"/>
          <w:b/>
          <w:color w:val="003366"/>
          <w:sz w:val="22"/>
        </w:rPr>
        <w:t xml:space="preserve">Q4. </w:t>
      </w:r>
      <w:r>
        <w:rPr>
          <w:rFonts w:ascii="Calibri" w:hAnsi="Calibri"/>
          <w:b/>
          <w:sz w:val="22"/>
        </w:rPr>
        <w:t>Compare Python and Java popularity.</w:t>
      </w:r>
    </w:p>
    <w:p>
      <w:pPr>
        <w:spacing w:before="40" w:after="160"/>
        <w:ind w:left="360"/>
      </w:pPr>
      <w:r>
        <w:rPr>
          <w:rFonts w:ascii="Calibri" w:hAnsi="Calibri"/>
          <w:b/>
          <w:color w:val="008000"/>
          <w:sz w:val="22"/>
        </w:rPr>
        <w:t xml:space="preserve">Answer: </w:t>
      </w:r>
      <w:r>
        <w:rPr>
          <w:rFonts w:ascii="Calibri" w:hAnsi="Calibri"/>
          <w:sz w:val="22"/>
        </w:rPr>
        <w:t>Python is 60% more popular than Java.</w:t>
      </w:r>
    </w:p>
    <w:p>
      <w:pPr>
        <w:spacing w:before="0" w:after="160"/>
        <w:ind w:left="720"/>
      </w:pPr>
      <w:r>
        <w:rPr>
          <w:rFonts w:ascii="Calibri" w:hAnsi="Calibri"/>
          <w:i/>
          <w:color w:val="505050"/>
          <w:sz w:val="20"/>
        </w:rPr>
        <w:t>Explanation / Analysis: Python (80 students, 40%) leads Java (50 students, 25%) by 30 students. Python accounts for 40% of all votes compared to Java's 25%.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006699"/>
          <w:sz w:val="28"/>
        </w:rPr>
        <w:t>5. Case Study: Household Monthly Expenses</w:t>
      </w:r>
    </w:p>
    <w:p>
      <w:r>
        <w:rPr>
          <w:rFonts w:ascii="Calibri" w:hAnsi="Calibri"/>
        </w:rPr>
        <w:t>Scenario: A family spends money in the following categories: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Category</w:t>
            </w:r>
          </w:p>
        </w:tc>
        <w:tc>
          <w:tcPr>
            <w:tcW w:type="dxa" w:w="4320"/>
            <w:shd w:fill="00336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Expense (%)</w:t>
            </w:r>
          </w:p>
        </w:tc>
      </w:tr>
      <w:tr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Rent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40%</w:t>
            </w:r>
          </w:p>
        </w:tc>
      </w:tr>
      <w:tr>
        <w:tc>
          <w:tcPr>
            <w:tcW w:type="dxa" w:w="432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Food</w:t>
            </w:r>
          </w:p>
        </w:tc>
        <w:tc>
          <w:tcPr>
            <w:tcW w:type="dxa" w:w="432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25%</w:t>
            </w:r>
          </w:p>
        </w:tc>
      </w:tr>
      <w:tr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Education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15%</w:t>
            </w:r>
          </w:p>
        </w:tc>
      </w:tr>
      <w:tr>
        <w:tc>
          <w:tcPr>
            <w:tcW w:type="dxa" w:w="432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Transportation</w:t>
            </w:r>
          </w:p>
        </w:tc>
        <w:tc>
          <w:tcPr>
            <w:tcW w:type="dxa" w:w="432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10%</w:t>
            </w:r>
          </w:p>
        </w:tc>
      </w:tr>
      <w:tr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Entertainment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10%</w:t>
            </w:r>
          </w:p>
        </w:tc>
      </w:tr>
    </w:tbl>
    <w:p/>
    <w:p>
      <w:pPr>
        <w:spacing w:before="120" w:after="40"/>
      </w:pPr>
      <w:r>
        <w:rPr>
          <w:rFonts w:ascii="Calibri" w:hAnsi="Calibri"/>
          <w:b/>
          <w:color w:val="003366"/>
          <w:sz w:val="22"/>
        </w:rPr>
        <w:t xml:space="preserve">Q1. </w:t>
      </w:r>
      <w:r>
        <w:rPr>
          <w:rFonts w:ascii="Calibri" w:hAnsi="Calibri"/>
          <w:b/>
          <w:sz w:val="22"/>
        </w:rPr>
        <w:t>Which chart best represents the data?</w:t>
      </w:r>
    </w:p>
    <w:p>
      <w:pPr>
        <w:spacing w:before="40" w:after="160"/>
        <w:ind w:left="360"/>
      </w:pPr>
      <w:r>
        <w:rPr>
          <w:rFonts w:ascii="Calibri" w:hAnsi="Calibri"/>
          <w:b/>
          <w:color w:val="008000"/>
          <w:sz w:val="22"/>
        </w:rPr>
        <w:t xml:space="preserve">Answer: </w:t>
      </w:r>
      <w:r>
        <w:rPr>
          <w:rFonts w:ascii="Calibri" w:hAnsi="Calibri"/>
          <w:sz w:val="22"/>
        </w:rPr>
        <w:t>Pie Chart or Donut Chart.</w:t>
      </w:r>
    </w:p>
    <w:p>
      <w:pPr>
        <w:spacing w:before="0" w:after="160"/>
        <w:ind w:left="720"/>
      </w:pPr>
      <w:r>
        <w:rPr>
          <w:rFonts w:ascii="Calibri" w:hAnsi="Calibri"/>
          <w:i/>
          <w:color w:val="505050"/>
          <w:sz w:val="20"/>
        </w:rPr>
        <w:t>Explanation / Analysis: Pie charts are best suited for compositional proportional data where all categories sum up to 100%.</w:t>
      </w:r>
    </w:p>
    <w:p>
      <w:pPr>
        <w:spacing w:before="120" w:after="40"/>
      </w:pPr>
      <w:r>
        <w:rPr>
          <w:rFonts w:ascii="Calibri" w:hAnsi="Calibri"/>
          <w:b/>
          <w:color w:val="003366"/>
          <w:sz w:val="22"/>
        </w:rPr>
        <w:t xml:space="preserve">Q2. </w:t>
      </w:r>
      <w:r>
        <w:rPr>
          <w:rFonts w:ascii="Calibri" w:hAnsi="Calibri"/>
          <w:b/>
          <w:sz w:val="22"/>
        </w:rPr>
        <w:t>Which category consumes the largest budget?</w:t>
      </w:r>
    </w:p>
    <w:p>
      <w:pPr>
        <w:spacing w:before="40" w:after="160"/>
        <w:ind w:left="360"/>
      </w:pPr>
      <w:r>
        <w:rPr>
          <w:rFonts w:ascii="Calibri" w:hAnsi="Calibri"/>
          <w:b/>
          <w:color w:val="008000"/>
          <w:sz w:val="22"/>
        </w:rPr>
        <w:t xml:space="preserve">Answer: </w:t>
      </w:r>
      <w:r>
        <w:rPr>
          <w:rFonts w:ascii="Calibri" w:hAnsi="Calibri"/>
          <w:sz w:val="22"/>
        </w:rPr>
        <w:t>Rent (40%).</w:t>
      </w:r>
    </w:p>
    <w:p>
      <w:pPr>
        <w:spacing w:before="0" w:after="160"/>
        <w:ind w:left="720"/>
      </w:pPr>
      <w:r>
        <w:rPr>
          <w:rFonts w:ascii="Calibri" w:hAnsi="Calibri"/>
          <w:i/>
          <w:color w:val="505050"/>
          <w:sz w:val="20"/>
        </w:rPr>
        <w:t>Explanation / Analysis: Rent takes up the largest single allocation of the household budget.</w:t>
      </w:r>
    </w:p>
    <w:p>
      <w:pPr>
        <w:spacing w:before="120" w:after="40"/>
      </w:pPr>
      <w:r>
        <w:rPr>
          <w:rFonts w:ascii="Calibri" w:hAnsi="Calibri"/>
          <w:b/>
          <w:color w:val="003366"/>
          <w:sz w:val="22"/>
        </w:rPr>
        <w:t xml:space="preserve">Q3. </w:t>
      </w:r>
      <w:r>
        <w:rPr>
          <w:rFonts w:ascii="Calibri" w:hAnsi="Calibri"/>
          <w:b/>
          <w:sz w:val="22"/>
        </w:rPr>
        <w:t>What percentage is spent on Food and Education together?</w:t>
      </w:r>
    </w:p>
    <w:p>
      <w:pPr>
        <w:spacing w:before="40" w:after="160"/>
        <w:ind w:left="360"/>
      </w:pPr>
      <w:r>
        <w:rPr>
          <w:rFonts w:ascii="Calibri" w:hAnsi="Calibri"/>
          <w:b/>
          <w:color w:val="008000"/>
          <w:sz w:val="22"/>
        </w:rPr>
        <w:t xml:space="preserve">Answer: </w:t>
      </w:r>
      <w:r>
        <w:rPr>
          <w:rFonts w:ascii="Calibri" w:hAnsi="Calibri"/>
          <w:sz w:val="22"/>
        </w:rPr>
        <w:t>40% total (Food 25% + Education 15%).</w:t>
      </w:r>
    </w:p>
    <w:p>
      <w:pPr>
        <w:spacing w:before="0" w:after="160"/>
        <w:ind w:left="720"/>
      </w:pPr>
      <w:r>
        <w:rPr>
          <w:rFonts w:ascii="Calibri" w:hAnsi="Calibri"/>
          <w:i/>
          <w:color w:val="505050"/>
          <w:sz w:val="20"/>
        </w:rPr>
        <w:t>Explanation / Analysis: Combined, Food and Education equal the exact amount spent on Rent.</w:t>
      </w:r>
    </w:p>
    <w:p>
      <w:pPr>
        <w:spacing w:before="120" w:after="40"/>
      </w:pPr>
      <w:r>
        <w:rPr>
          <w:rFonts w:ascii="Calibri" w:hAnsi="Calibri"/>
          <w:b/>
          <w:color w:val="003366"/>
          <w:sz w:val="22"/>
        </w:rPr>
        <w:t xml:space="preserve">Q4. </w:t>
      </w:r>
      <w:r>
        <w:rPr>
          <w:rFonts w:ascii="Calibri" w:hAnsi="Calibri"/>
          <w:b/>
          <w:sz w:val="22"/>
        </w:rPr>
        <w:t>Which categories occupy the smallest share?</w:t>
      </w:r>
    </w:p>
    <w:p>
      <w:pPr>
        <w:spacing w:before="40" w:after="160"/>
        <w:ind w:left="360"/>
      </w:pPr>
      <w:r>
        <w:rPr>
          <w:rFonts w:ascii="Calibri" w:hAnsi="Calibri"/>
          <w:b/>
          <w:color w:val="008000"/>
          <w:sz w:val="22"/>
        </w:rPr>
        <w:t xml:space="preserve">Answer: </w:t>
      </w:r>
      <w:r>
        <w:rPr>
          <w:rFonts w:ascii="Calibri" w:hAnsi="Calibri"/>
          <w:sz w:val="22"/>
        </w:rPr>
        <w:t>Transportation and Entertainment (tied at 10% each).</w:t>
      </w:r>
    </w:p>
    <w:p>
      <w:pPr>
        <w:spacing w:before="0" w:after="160"/>
        <w:ind w:left="720"/>
      </w:pPr>
      <w:r>
        <w:rPr>
          <w:rFonts w:ascii="Calibri" w:hAnsi="Calibri"/>
          <w:i/>
          <w:color w:val="505050"/>
          <w:sz w:val="20"/>
        </w:rPr>
        <w:t>Explanation / Analysis: Together they constitute 20% of the overall budget.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006699"/>
          <w:sz w:val="28"/>
        </w:rPr>
        <w:t>6. Case Study: Student Test Scores</w:t>
      </w:r>
    </w:p>
    <w:p>
      <w:r>
        <w:rPr>
          <w:rFonts w:ascii="Calibri" w:hAnsi="Calibri"/>
        </w:rPr>
        <w:t>Scenario: Scores obtained by 15 students:</w:t>
        <w:br/>
        <w:t>45, 50, 52, 55, 58, 60, 62, 65, 68, 70, 72, 75, 78, 80, 95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Metric</w:t>
            </w:r>
          </w:p>
        </w:tc>
        <w:tc>
          <w:tcPr>
            <w:tcW w:type="dxa" w:w="4320"/>
            <w:shd w:fill="00336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Calculated Value</w:t>
            </w:r>
          </w:p>
        </w:tc>
      </w:tr>
      <w:tr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Total Students (N)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15</w:t>
            </w:r>
          </w:p>
        </w:tc>
      </w:tr>
      <w:tr>
        <w:tc>
          <w:tcPr>
            <w:tcW w:type="dxa" w:w="432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Minimum Score</w:t>
            </w:r>
          </w:p>
        </w:tc>
        <w:tc>
          <w:tcPr>
            <w:tcW w:type="dxa" w:w="432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45</w:t>
            </w:r>
          </w:p>
        </w:tc>
      </w:tr>
      <w:tr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Lower Quartile (Q1)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55</w:t>
            </w:r>
          </w:p>
        </w:tc>
      </w:tr>
      <w:tr>
        <w:tc>
          <w:tcPr>
            <w:tcW w:type="dxa" w:w="432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Median Score (Q2)</w:t>
            </w:r>
          </w:p>
        </w:tc>
        <w:tc>
          <w:tcPr>
            <w:tcW w:type="dxa" w:w="432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65</w:t>
            </w:r>
          </w:p>
        </w:tc>
      </w:tr>
      <w:tr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Upper Quartile (Q3)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75</w:t>
            </w:r>
          </w:p>
        </w:tc>
      </w:tr>
      <w:tr>
        <w:tc>
          <w:tcPr>
            <w:tcW w:type="dxa" w:w="432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Maximum Score</w:t>
            </w:r>
          </w:p>
        </w:tc>
        <w:tc>
          <w:tcPr>
            <w:tcW w:type="dxa" w:w="432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95</w:t>
            </w:r>
          </w:p>
        </w:tc>
      </w:tr>
      <w:tr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Interquartile Range (IQR)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20 (75 - 55)</w:t>
            </w:r>
          </w:p>
        </w:tc>
      </w:tr>
      <w:tr>
        <w:tc>
          <w:tcPr>
            <w:tcW w:type="dxa" w:w="432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1"/>
              </w:rPr>
              <w:t>Range</w:t>
            </w:r>
          </w:p>
        </w:tc>
        <w:tc>
          <w:tcPr>
            <w:tcW w:type="dxa" w:w="432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1"/>
              </w:rPr>
              <w:t>50 (95 - 45)</w:t>
            </w:r>
          </w:p>
        </w:tc>
      </w:tr>
    </w:tbl>
    <w:p/>
    <w:p>
      <w:pPr>
        <w:spacing w:before="120" w:after="40"/>
      </w:pPr>
      <w:r>
        <w:rPr>
          <w:rFonts w:ascii="Calibri" w:hAnsi="Calibri"/>
          <w:b/>
          <w:color w:val="003366"/>
          <w:sz w:val="22"/>
        </w:rPr>
        <w:t xml:space="preserve">Q1. </w:t>
      </w:r>
      <w:r>
        <w:rPr>
          <w:rFonts w:ascii="Calibri" w:hAnsi="Calibri"/>
          <w:b/>
          <w:sz w:val="22"/>
        </w:rPr>
        <w:t>Which plot should be used?</w:t>
      </w:r>
    </w:p>
    <w:p>
      <w:pPr>
        <w:spacing w:before="40" w:after="160"/>
        <w:ind w:left="360"/>
      </w:pPr>
      <w:r>
        <w:rPr>
          <w:rFonts w:ascii="Calibri" w:hAnsi="Calibri"/>
          <w:b/>
          <w:color w:val="008000"/>
          <w:sz w:val="22"/>
        </w:rPr>
        <w:t xml:space="preserve">Answer: </w:t>
      </w:r>
      <w:r>
        <w:rPr>
          <w:rFonts w:ascii="Calibri" w:hAnsi="Calibri"/>
          <w:sz w:val="22"/>
        </w:rPr>
        <w:t>Box Plot (Box-and-Whisker Plot).</w:t>
      </w:r>
    </w:p>
    <w:p>
      <w:pPr>
        <w:spacing w:before="0" w:after="160"/>
        <w:ind w:left="720"/>
      </w:pPr>
      <w:r>
        <w:rPr>
          <w:rFonts w:ascii="Calibri" w:hAnsi="Calibri"/>
          <w:i/>
          <w:color w:val="505050"/>
          <w:sz w:val="20"/>
        </w:rPr>
        <w:t>Explanation / Analysis: A Box plot effectively summarizes Five-Number Summary statistics (Min, Q1, Median, Q3, Max) and identifies outliers.</w:t>
      </w:r>
    </w:p>
    <w:p>
      <w:pPr>
        <w:spacing w:before="120" w:after="40"/>
      </w:pPr>
      <w:r>
        <w:rPr>
          <w:rFonts w:ascii="Calibri" w:hAnsi="Calibri"/>
          <w:b/>
          <w:color w:val="003366"/>
          <w:sz w:val="22"/>
        </w:rPr>
        <w:t xml:space="preserve">Q2. </w:t>
      </w:r>
      <w:r>
        <w:rPr>
          <w:rFonts w:ascii="Calibri" w:hAnsi="Calibri"/>
          <w:b/>
          <w:sz w:val="22"/>
        </w:rPr>
        <w:t>What is the median score?</w:t>
      </w:r>
    </w:p>
    <w:p>
      <w:pPr>
        <w:spacing w:before="40" w:after="160"/>
        <w:ind w:left="360"/>
      </w:pPr>
      <w:r>
        <w:rPr>
          <w:rFonts w:ascii="Calibri" w:hAnsi="Calibri"/>
          <w:b/>
          <w:color w:val="008000"/>
          <w:sz w:val="22"/>
        </w:rPr>
        <w:t xml:space="preserve">Answer: </w:t>
      </w:r>
      <w:r>
        <w:rPr>
          <w:rFonts w:ascii="Calibri" w:hAnsi="Calibri"/>
          <w:sz w:val="22"/>
        </w:rPr>
        <w:t>65.</w:t>
      </w:r>
    </w:p>
    <w:p>
      <w:pPr>
        <w:spacing w:before="0" w:after="160"/>
        <w:ind w:left="720"/>
      </w:pPr>
      <w:r>
        <w:rPr>
          <w:rFonts w:ascii="Calibri" w:hAnsi="Calibri"/>
          <w:i/>
          <w:color w:val="505050"/>
          <w:sz w:val="20"/>
        </w:rPr>
        <w:t>Explanation / Analysis: In a sorted list of 15 items, the 8th value is the exact middle element: 65.</w:t>
      </w:r>
    </w:p>
    <w:p>
      <w:pPr>
        <w:spacing w:before="120" w:after="40"/>
      </w:pPr>
      <w:r>
        <w:rPr>
          <w:rFonts w:ascii="Calibri" w:hAnsi="Calibri"/>
          <w:b/>
          <w:color w:val="003366"/>
          <w:sz w:val="22"/>
        </w:rPr>
        <w:t xml:space="preserve">Q3. </w:t>
      </w:r>
      <w:r>
        <w:rPr>
          <w:rFonts w:ascii="Calibri" w:hAnsi="Calibri"/>
          <w:b/>
          <w:sz w:val="22"/>
        </w:rPr>
        <w:t>Are there any outliers?</w:t>
      </w:r>
    </w:p>
    <w:p>
      <w:pPr>
        <w:spacing w:before="40" w:after="160"/>
        <w:ind w:left="360"/>
      </w:pPr>
      <w:r>
        <w:rPr>
          <w:rFonts w:ascii="Calibri" w:hAnsi="Calibri"/>
          <w:b/>
          <w:color w:val="008000"/>
          <w:sz w:val="22"/>
        </w:rPr>
        <w:t xml:space="preserve">Answer: </w:t>
      </w:r>
      <w:r>
        <w:rPr>
          <w:rFonts w:ascii="Calibri" w:hAnsi="Calibri"/>
          <w:sz w:val="22"/>
        </w:rPr>
        <w:t>95 is a potential mild upper outlier.</w:t>
      </w:r>
    </w:p>
    <w:p>
      <w:pPr>
        <w:spacing w:before="0" w:after="160"/>
        <w:ind w:left="720"/>
      </w:pPr>
      <w:r>
        <w:rPr>
          <w:rFonts w:ascii="Calibri" w:hAnsi="Calibri"/>
          <w:i/>
          <w:color w:val="505050"/>
          <w:sz w:val="20"/>
        </w:rPr>
        <w:t>Explanation / Analysis: Tukey's IQR fences: Q1 = 55, Q3 = 75, IQR = 20. Upper Fence = 75 + 1.5(20) = 105. While 95 falls inside the 1.5×IQR boundary (105), it is 15 points higher than the next nearest score (80), making it an extreme upper value relative to the cluster.</w:t>
      </w:r>
    </w:p>
    <w:p>
      <w:pPr>
        <w:spacing w:before="120" w:after="40"/>
      </w:pPr>
      <w:r>
        <w:rPr>
          <w:rFonts w:ascii="Calibri" w:hAnsi="Calibri"/>
          <w:b/>
          <w:color w:val="003366"/>
          <w:sz w:val="22"/>
        </w:rPr>
        <w:t xml:space="preserve">Q4. </w:t>
      </w:r>
      <w:r>
        <w:rPr>
          <w:rFonts w:ascii="Calibri" w:hAnsi="Calibri"/>
          <w:b/>
          <w:sz w:val="22"/>
        </w:rPr>
        <w:t>What is the spread of the data?</w:t>
      </w:r>
    </w:p>
    <w:p>
      <w:pPr>
        <w:spacing w:before="40" w:after="160"/>
        <w:ind w:left="360"/>
      </w:pPr>
      <w:r>
        <w:rPr>
          <w:rFonts w:ascii="Calibri" w:hAnsi="Calibri"/>
          <w:b/>
          <w:color w:val="008000"/>
          <w:sz w:val="22"/>
        </w:rPr>
        <w:t xml:space="preserve">Answer: </w:t>
      </w:r>
      <w:r>
        <w:rPr>
          <w:rFonts w:ascii="Calibri" w:hAnsi="Calibri"/>
          <w:sz w:val="22"/>
        </w:rPr>
        <w:t>Range = 50, IQR = 20, Standard Deviation ≈ 12.35.</w:t>
      </w:r>
    </w:p>
    <w:p>
      <w:pPr>
        <w:spacing w:before="0" w:after="160"/>
        <w:ind w:left="720"/>
      </w:pPr>
      <w:r>
        <w:rPr>
          <w:rFonts w:ascii="Calibri" w:hAnsi="Calibri"/>
          <w:i/>
          <w:color w:val="505050"/>
          <w:sz w:val="20"/>
        </w:rPr>
        <w:t>Explanation / Analysis: The middle 50% of the class scores fall within a tight range of 55 to 75 marks, showing good baseline consistency.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