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9105" w14:textId="690C07A2" w:rsidR="009D4BBB" w:rsidRPr="009D4BBB" w:rsidRDefault="0004178D" w:rsidP="0004178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 : Gadwal </w:t>
      </w:r>
      <w:r w:rsidR="00D54FC4">
        <w:rPr>
          <w:rFonts w:ascii="Times New Roman" w:hAnsi="Times New Roman" w:cs="Times New Roman"/>
          <w:b/>
          <w:bCs/>
          <w:sz w:val="32"/>
          <w:szCs w:val="32"/>
        </w:rPr>
        <w:t>Mohammad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Muzammil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Reg: 192424279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Course code :DSA0607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 xml:space="preserve">Course : Data Handling and </w:t>
      </w:r>
      <w:r w:rsidR="00D54FC4">
        <w:rPr>
          <w:rFonts w:ascii="Times New Roman" w:hAnsi="Times New Roman" w:cs="Times New Roman"/>
          <w:b/>
          <w:bCs/>
          <w:sz w:val="32"/>
          <w:szCs w:val="32"/>
        </w:rPr>
        <w:t>Visualization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 xml:space="preserve">                                          </w:t>
      </w:r>
      <w:r w:rsidR="009D4BBB" w:rsidRPr="009D4BBB">
        <w:rPr>
          <w:rFonts w:ascii="Times New Roman" w:hAnsi="Times New Roman" w:cs="Times New Roman"/>
          <w:b/>
          <w:bCs/>
          <w:sz w:val="32"/>
          <w:szCs w:val="32"/>
        </w:rPr>
        <w:t xml:space="preserve">DESIGN </w:t>
      </w:r>
      <w:r w:rsidR="009D4BBB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9D4BBB" w:rsidRPr="009D4BBB">
        <w:rPr>
          <w:rFonts w:ascii="Times New Roman" w:hAnsi="Times New Roman" w:cs="Times New Roman"/>
          <w:b/>
          <w:bCs/>
          <w:sz w:val="32"/>
          <w:szCs w:val="32"/>
        </w:rPr>
        <w:t>ASK</w:t>
      </w:r>
    </w:p>
    <w:p w14:paraId="13FE162E" w14:textId="77777777" w:rsidR="00B00907" w:rsidRPr="00B00907" w:rsidRDefault="00B00907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B00907">
        <w:rPr>
          <w:rFonts w:ascii="Times New Roman" w:hAnsi="Times New Roman" w:cs="Times New Roman"/>
          <w:sz w:val="24"/>
          <w:szCs w:val="24"/>
        </w:rPr>
        <w:t>. A healthcare organization has collected patient waiting-time data from 20 hospitals over one year.</w:t>
      </w:r>
      <w:r w:rsidRPr="00B00907">
        <w:rPr>
          <w:rFonts w:ascii="Times New Roman" w:hAnsi="Times New Roman" w:cs="Times New Roman"/>
          <w:sz w:val="24"/>
          <w:szCs w:val="24"/>
        </w:rPr>
        <w:br/>
        <w:t>Task: Design a visualization dashboard that:</w:t>
      </w:r>
      <w:r w:rsidRPr="00B00907">
        <w:rPr>
          <w:rFonts w:ascii="Times New Roman" w:hAnsi="Times New Roman" w:cs="Times New Roman"/>
          <w:sz w:val="24"/>
          <w:szCs w:val="24"/>
        </w:rPr>
        <w:br/>
        <w:t>● Shows Box Plots and Violin Plots for waiting times across hospitals.</w:t>
      </w:r>
      <w:r w:rsidRPr="00B00907">
        <w:rPr>
          <w:rFonts w:ascii="Times New Roman" w:hAnsi="Times New Roman" w:cs="Times New Roman"/>
          <w:sz w:val="24"/>
          <w:szCs w:val="24"/>
        </w:rPr>
        <w:br/>
        <w:t>● Identifies outliers and extreme waiting-time cases.</w:t>
      </w:r>
      <w:r w:rsidRPr="00B00907">
        <w:rPr>
          <w:rFonts w:ascii="Times New Roman" w:hAnsi="Times New Roman" w:cs="Times New Roman"/>
          <w:sz w:val="24"/>
          <w:szCs w:val="24"/>
        </w:rPr>
        <w:br/>
        <w:t>● Highlights differences in median waiting times and variability among hospitals.</w:t>
      </w:r>
    </w:p>
    <w:p w14:paraId="15A5A061" w14:textId="77777777" w:rsidR="00B00907" w:rsidRPr="00B00907" w:rsidRDefault="00B00907" w:rsidP="00B00907">
      <w:pPr>
        <w:rPr>
          <w:rFonts w:ascii="Times New Roman" w:hAnsi="Times New Roman" w:cs="Times New Roman"/>
          <w:sz w:val="24"/>
          <w:szCs w:val="24"/>
        </w:rPr>
      </w:pPr>
      <w:r w:rsidRPr="00B00907">
        <w:rPr>
          <w:rFonts w:ascii="Times New Roman" w:hAnsi="Times New Roman" w:cs="Times New Roman"/>
          <w:sz w:val="24"/>
          <w:szCs w:val="24"/>
        </w:rPr>
        <w:t>Objective: Help hospital administrators identify service inefficiencies and improve patient care quality.</w:t>
      </w:r>
    </w:p>
    <w:p w14:paraId="0E066F86" w14:textId="77777777" w:rsidR="00E41174" w:rsidRDefault="00000000">
      <w:r>
        <w:rPr>
          <w:b/>
        </w:rPr>
        <w:br/>
      </w:r>
      <w:r>
        <w:t>Visualization Dashboard Solution &amp; Implementation:</w:t>
      </w:r>
    </w:p>
    <w:p w14:paraId="27F129B1" w14:textId="77777777" w:rsidR="00E41174" w:rsidRDefault="00000000">
      <w:r>
        <w:rPr>
          <w:b/>
        </w:rPr>
        <w:t xml:space="preserve">• </w:t>
      </w:r>
      <w:r>
        <w:t>1. Boxplot &amp; IQR Analysis: Visualizes the median waiting time and interquartile range (IQR) across all 20 hospitals. Outliers beyond 1.5×IQR are explicitly flagged in red to identify severe administrative delays.</w:t>
      </w:r>
    </w:p>
    <w:p w14:paraId="69D9461D" w14:textId="77777777" w:rsidR="00E41174" w:rsidRDefault="00000000">
      <w:pPr>
        <w:jc w:val="center"/>
      </w:pPr>
      <w:r>
        <w:rPr>
          <w:noProof/>
        </w:rPr>
        <w:drawing>
          <wp:inline distT="0" distB="0" distL="0" distR="0" wp14:anchorId="54458FB1" wp14:editId="0BA66BA5">
            <wp:extent cx="5029200" cy="3481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t1_p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A611" w14:textId="77777777" w:rsidR="00E41174" w:rsidRDefault="00000000">
      <w:pPr>
        <w:jc w:val="center"/>
      </w:pPr>
      <w:r>
        <w:rPr>
          <w:i/>
          <w:sz w:val="19"/>
        </w:rPr>
        <w:t>Figure 1.1: Boxplot of patient waiting times across 20 hospitals.</w:t>
      </w:r>
    </w:p>
    <w:p w14:paraId="3CE6CAB8" w14:textId="77777777" w:rsidR="00E41174" w:rsidRDefault="00000000">
      <w:r>
        <w:rPr>
          <w:b/>
        </w:rPr>
        <w:t xml:space="preserve">• </w:t>
      </w:r>
      <w:r>
        <w:t>2. Violin &amp; Probability Density Overlay: Displays full probability density distributions for hospital waiting times, revealing multimodal distributions (e.g., peak waiting times during shift changes).</w:t>
      </w:r>
    </w:p>
    <w:p w14:paraId="7CFBC7F0" w14:textId="77777777" w:rsidR="00E4117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7C5377" wp14:editId="5E9AAA62">
            <wp:extent cx="5029200" cy="34817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t1_p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2CE2" w14:textId="77777777" w:rsidR="00E41174" w:rsidRDefault="00000000">
      <w:pPr>
        <w:jc w:val="center"/>
      </w:pPr>
      <w:r>
        <w:rPr>
          <w:i/>
          <w:sz w:val="19"/>
        </w:rPr>
        <w:t>Figure 1.2: Violin plot showing waiting-time probability density distributions.</w:t>
      </w:r>
    </w:p>
    <w:p w14:paraId="39F0CD1E" w14:textId="77777777" w:rsidR="00E41174" w:rsidRDefault="00000000">
      <w:r>
        <w:rPr>
          <w:b/>
        </w:rPr>
        <w:t xml:space="preserve">• </w:t>
      </w:r>
      <w:r>
        <w:t>3. Hospital Inefficiency Scatter Map: Correlates median waiting times with variance (IQR) and outlier frequency. Hospitals in the top-right quadrant (high median, high variability) represent urgent targets for process optimization.</w:t>
      </w:r>
    </w:p>
    <w:p w14:paraId="65F9CAC4" w14:textId="77777777" w:rsidR="00E41174" w:rsidRDefault="00000000">
      <w:pPr>
        <w:jc w:val="center"/>
      </w:pPr>
      <w:r>
        <w:rPr>
          <w:noProof/>
        </w:rPr>
        <w:drawing>
          <wp:inline distT="0" distB="0" distL="0" distR="0" wp14:anchorId="6E876D9B" wp14:editId="5C84C4C0">
            <wp:extent cx="5029200" cy="34817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t1_p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BD5C" w14:textId="77777777" w:rsidR="00E41174" w:rsidRDefault="00000000">
      <w:pPr>
        <w:jc w:val="center"/>
      </w:pPr>
      <w:r>
        <w:rPr>
          <w:i/>
          <w:sz w:val="19"/>
        </w:rPr>
        <w:t>Figure 1.3: Inefficiency scatter map of median waiting times vs. variability (IQR).</w:t>
      </w:r>
    </w:p>
    <w:p w14:paraId="74414B6F" w14:textId="77777777" w:rsidR="00B00907" w:rsidRPr="00B00907" w:rsidRDefault="00B00907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</w:t>
      </w:r>
      <w:r w:rsidRPr="00B00907">
        <w:rPr>
          <w:rFonts w:ascii="Times New Roman" w:hAnsi="Times New Roman" w:cs="Times New Roman"/>
          <w:sz w:val="24"/>
          <w:szCs w:val="24"/>
        </w:rPr>
        <w:t>. A smart city project monitors hourly air quality data (PM2.5, PM10, NO₂, and CO) from 15 monitoring stations.</w:t>
      </w:r>
      <w:r w:rsidRPr="00B00907">
        <w:rPr>
          <w:rFonts w:ascii="Times New Roman" w:hAnsi="Times New Roman" w:cs="Times New Roman"/>
          <w:sz w:val="24"/>
          <w:szCs w:val="24"/>
        </w:rPr>
        <w:br/>
        <w:t>Task: Create a visualization design that:</w:t>
      </w:r>
      <w:r w:rsidRPr="00B00907">
        <w:rPr>
          <w:rFonts w:ascii="Times New Roman" w:hAnsi="Times New Roman" w:cs="Times New Roman"/>
          <w:sz w:val="24"/>
          <w:szCs w:val="24"/>
        </w:rPr>
        <w:br/>
        <w:t>● Uses Heatmaps to display pollution intensity across locations and time periods.</w:t>
      </w:r>
      <w:r w:rsidRPr="00B00907">
        <w:rPr>
          <w:rFonts w:ascii="Times New Roman" w:hAnsi="Times New Roman" w:cs="Times New Roman"/>
          <w:sz w:val="24"/>
          <w:szCs w:val="24"/>
        </w:rPr>
        <w:br/>
        <w:t>● Employs Ridgeline Plots to compare pollutant distributions among stations.</w:t>
      </w:r>
      <w:r w:rsidRPr="00B00907">
        <w:rPr>
          <w:rFonts w:ascii="Times New Roman" w:hAnsi="Times New Roman" w:cs="Times New Roman"/>
          <w:sz w:val="24"/>
          <w:szCs w:val="24"/>
        </w:rPr>
        <w:br/>
        <w:t>● Highlights pollution spikes and abnormal environmental conditions.</w:t>
      </w:r>
    </w:p>
    <w:p w14:paraId="07F7D970" w14:textId="77777777" w:rsidR="00B00907" w:rsidRPr="00B00907" w:rsidRDefault="00B00907" w:rsidP="00B00907">
      <w:pPr>
        <w:rPr>
          <w:rFonts w:ascii="Times New Roman" w:hAnsi="Times New Roman" w:cs="Times New Roman"/>
          <w:sz w:val="24"/>
          <w:szCs w:val="24"/>
        </w:rPr>
      </w:pPr>
      <w:r w:rsidRPr="00B00907">
        <w:rPr>
          <w:rFonts w:ascii="Times New Roman" w:hAnsi="Times New Roman" w:cs="Times New Roman"/>
          <w:sz w:val="24"/>
          <w:szCs w:val="24"/>
        </w:rPr>
        <w:t>Objective: Assist environmental authorities in identifying pollution hotspots and planning mitigation measures.</w:t>
      </w:r>
    </w:p>
    <w:p w14:paraId="4A5D57C2" w14:textId="77777777" w:rsidR="00E41174" w:rsidRDefault="00000000">
      <w:r>
        <w:rPr>
          <w:b/>
        </w:rPr>
        <w:br/>
      </w:r>
      <w:r>
        <w:t>Visualization Dashboard Solution &amp; Implementation:</w:t>
      </w:r>
    </w:p>
    <w:p w14:paraId="79FC7E8C" w14:textId="77777777" w:rsidR="00E41174" w:rsidRDefault="00000000">
      <w:r>
        <w:rPr>
          <w:b/>
        </w:rPr>
        <w:t xml:space="preserve">• </w:t>
      </w:r>
      <w:r>
        <w:t>1. Spatio-Temporal Heatmap: Displays hourly PM2.5 concentrations across 15 monitoring stations using a continuous color gradient, capturing diurnal rush-hour pollution spikes at a glance.</w:t>
      </w:r>
    </w:p>
    <w:p w14:paraId="668FAF3A" w14:textId="77777777" w:rsidR="00E41174" w:rsidRDefault="00000000">
      <w:pPr>
        <w:jc w:val="center"/>
      </w:pPr>
      <w:r>
        <w:rPr>
          <w:noProof/>
        </w:rPr>
        <w:drawing>
          <wp:inline distT="0" distB="0" distL="0" distR="0" wp14:anchorId="6C7CD3E3" wp14:editId="0BD99903">
            <wp:extent cx="5029200" cy="34817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t2_p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3357" w14:textId="77777777" w:rsidR="00E41174" w:rsidRDefault="00000000">
      <w:pPr>
        <w:jc w:val="center"/>
      </w:pPr>
      <w:r>
        <w:rPr>
          <w:i/>
          <w:sz w:val="19"/>
        </w:rPr>
        <w:t>Figure 2.1: Hourly PM2.5 pollution intensity heatmap across 15 monitoring stations.</w:t>
      </w:r>
    </w:p>
    <w:p w14:paraId="53B86054" w14:textId="77777777" w:rsidR="00E41174" w:rsidRDefault="00000000">
      <w:r>
        <w:rPr>
          <w:b/>
        </w:rPr>
        <w:t xml:space="preserve">• </w:t>
      </w:r>
      <w:r>
        <w:t>2. Ridgeline Distribution Comparison: Stacks kernel density estimates for each station vertically, allowing environmental authorities to rapidly compare average pollutant loads and skewness.</w:t>
      </w:r>
    </w:p>
    <w:p w14:paraId="63545A8B" w14:textId="77777777" w:rsidR="00E4117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CFD125" wp14:editId="0097561B">
            <wp:extent cx="5029200" cy="34817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t2_p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7325" w14:textId="77777777" w:rsidR="00E41174" w:rsidRDefault="00000000">
      <w:pPr>
        <w:jc w:val="center"/>
      </w:pPr>
      <w:r>
        <w:rPr>
          <w:i/>
          <w:sz w:val="19"/>
        </w:rPr>
        <w:t>Figure 2.2: Ridgeline plot comparing PM2.5 pollutant distributions among stations.</w:t>
      </w:r>
    </w:p>
    <w:p w14:paraId="62A81474" w14:textId="77777777" w:rsidR="00E41174" w:rsidRDefault="00000000">
      <w:r>
        <w:rPr>
          <w:b/>
        </w:rPr>
        <w:t xml:space="preserve">• </w:t>
      </w:r>
      <w:r>
        <w:t>3. Real-Time Spike &amp; Anomaly Alert: Plots temporal concentration lines against safety thresholds (90 µg/m³), triggering automated alerts when industrial or vehicular emissions spike abnormally.</w:t>
      </w:r>
    </w:p>
    <w:p w14:paraId="652580F4" w14:textId="77777777" w:rsidR="00E41174" w:rsidRDefault="00000000">
      <w:pPr>
        <w:jc w:val="center"/>
      </w:pPr>
      <w:r>
        <w:rPr>
          <w:noProof/>
        </w:rPr>
        <w:drawing>
          <wp:inline distT="0" distB="0" distL="0" distR="0" wp14:anchorId="48CEFF3B" wp14:editId="482267D4">
            <wp:extent cx="5029200" cy="34817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t2_p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F02C" w14:textId="77777777" w:rsidR="00E41174" w:rsidRDefault="00000000">
      <w:pPr>
        <w:jc w:val="center"/>
      </w:pPr>
      <w:r>
        <w:rPr>
          <w:i/>
          <w:sz w:val="19"/>
        </w:rPr>
        <w:t>Figure 2.3: Real-time air quality monitoring line plot highlighting pollution spikes.</w:t>
      </w:r>
    </w:p>
    <w:p w14:paraId="6C9AB886" w14:textId="77777777" w:rsidR="00B00907" w:rsidRPr="00B00907" w:rsidRDefault="00B00907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B00907">
        <w:rPr>
          <w:rFonts w:ascii="Times New Roman" w:hAnsi="Times New Roman" w:cs="Times New Roman"/>
          <w:sz w:val="24"/>
          <w:szCs w:val="24"/>
        </w:rPr>
        <w:t>. A university tracks student academic performance across multiple departments over five academic years.</w:t>
      </w:r>
      <w:r w:rsidRPr="00B00907">
        <w:rPr>
          <w:rFonts w:ascii="Times New Roman" w:hAnsi="Times New Roman" w:cs="Times New Roman"/>
          <w:sz w:val="24"/>
          <w:szCs w:val="24"/>
        </w:rPr>
        <w:br/>
      </w:r>
      <w:r w:rsidRPr="00B00907">
        <w:rPr>
          <w:rFonts w:ascii="Times New Roman" w:hAnsi="Times New Roman" w:cs="Times New Roman"/>
          <w:sz w:val="24"/>
          <w:szCs w:val="24"/>
        </w:rPr>
        <w:lastRenderedPageBreak/>
        <w:t>Task: Design a visualization dashboard that:</w:t>
      </w:r>
      <w:r w:rsidRPr="00B00907">
        <w:rPr>
          <w:rFonts w:ascii="Times New Roman" w:hAnsi="Times New Roman" w:cs="Times New Roman"/>
          <w:sz w:val="24"/>
          <w:szCs w:val="24"/>
        </w:rPr>
        <w:br/>
        <w:t>● Uses Line Charts to show performance trends over time.</w:t>
      </w:r>
      <w:r w:rsidRPr="00B00907">
        <w:rPr>
          <w:rFonts w:ascii="Times New Roman" w:hAnsi="Times New Roman" w:cs="Times New Roman"/>
          <w:sz w:val="24"/>
          <w:szCs w:val="24"/>
        </w:rPr>
        <w:br/>
        <w:t xml:space="preserve">● Incorporates Scatter Plots to </w:t>
      </w:r>
      <w:proofErr w:type="spellStart"/>
      <w:r w:rsidRPr="00B0090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00907">
        <w:rPr>
          <w:rFonts w:ascii="Times New Roman" w:hAnsi="Times New Roman" w:cs="Times New Roman"/>
          <w:sz w:val="24"/>
          <w:szCs w:val="24"/>
        </w:rPr>
        <w:t xml:space="preserve"> the relationship between attendance and grades.</w:t>
      </w:r>
      <w:r w:rsidRPr="00B00907">
        <w:rPr>
          <w:rFonts w:ascii="Times New Roman" w:hAnsi="Times New Roman" w:cs="Times New Roman"/>
          <w:sz w:val="24"/>
          <w:szCs w:val="24"/>
        </w:rPr>
        <w:br/>
        <w:t>● Uses Facet Grids to compare departmental performance simultaneously.</w:t>
      </w:r>
    </w:p>
    <w:p w14:paraId="06A5E64B" w14:textId="77777777" w:rsidR="00B00907" w:rsidRPr="00B00907" w:rsidRDefault="00B00907" w:rsidP="00B00907">
      <w:pPr>
        <w:rPr>
          <w:rFonts w:ascii="Times New Roman" w:hAnsi="Times New Roman" w:cs="Times New Roman"/>
          <w:sz w:val="24"/>
          <w:szCs w:val="24"/>
        </w:rPr>
      </w:pPr>
      <w:r w:rsidRPr="00B00907">
        <w:rPr>
          <w:rFonts w:ascii="Times New Roman" w:hAnsi="Times New Roman" w:cs="Times New Roman"/>
          <w:sz w:val="24"/>
          <w:szCs w:val="24"/>
        </w:rPr>
        <w:t>Objective: Enable academic administrators to identify performance trends and factors affecting student success.</w:t>
      </w:r>
    </w:p>
    <w:p w14:paraId="2580773B" w14:textId="77777777" w:rsidR="00E41174" w:rsidRDefault="00000000">
      <w:r>
        <w:rPr>
          <w:b/>
        </w:rPr>
        <w:br/>
      </w:r>
      <w:r>
        <w:t>Visualization Dashboard Solution &amp; Implementation:</w:t>
      </w:r>
    </w:p>
    <w:p w14:paraId="4C6ADDD0" w14:textId="77777777" w:rsidR="00E41174" w:rsidRDefault="00000000">
      <w:r>
        <w:rPr>
          <w:b/>
        </w:rPr>
        <w:t xml:space="preserve">• </w:t>
      </w:r>
      <w:r>
        <w:t>1. 5-Year Performance Trend Line Chart: Tracks departmental average GPAs over five consecutive academic years to identify long-term academic growth or decline.</w:t>
      </w:r>
    </w:p>
    <w:p w14:paraId="3ACC4410" w14:textId="77777777" w:rsidR="00E41174" w:rsidRDefault="00000000">
      <w:pPr>
        <w:jc w:val="center"/>
      </w:pPr>
      <w:r>
        <w:rPr>
          <w:noProof/>
        </w:rPr>
        <w:drawing>
          <wp:inline distT="0" distB="0" distL="0" distR="0" wp14:anchorId="6AF61CCF" wp14:editId="7EBC2782">
            <wp:extent cx="5029200" cy="34817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t3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E8F0" w14:textId="77777777" w:rsidR="00E41174" w:rsidRDefault="00000000">
      <w:pPr>
        <w:jc w:val="center"/>
      </w:pPr>
      <w:r>
        <w:rPr>
          <w:i/>
          <w:sz w:val="19"/>
        </w:rPr>
        <w:t>Figure 3.1: 5-year academic performance trends across university departments.</w:t>
      </w:r>
    </w:p>
    <w:p w14:paraId="660411D5" w14:textId="77777777" w:rsidR="00E41174" w:rsidRDefault="00000000">
      <w:r>
        <w:rPr>
          <w:b/>
        </w:rPr>
        <w:t xml:space="preserve">• </w:t>
      </w:r>
      <w:r>
        <w:t>2. Attendance vs. GPA Scatter Plot: Analyzes the correlation between student attendance percentages and final GPAs, featuring a fitted linear regression line (R² evaluation).</w:t>
      </w:r>
    </w:p>
    <w:p w14:paraId="452CFFA1" w14:textId="77777777" w:rsidR="00E4117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3449F3D" wp14:editId="4A9DA81F">
            <wp:extent cx="5029200" cy="34817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t3_p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A8DD" w14:textId="77777777" w:rsidR="00E41174" w:rsidRDefault="00000000">
      <w:pPr>
        <w:jc w:val="center"/>
      </w:pPr>
      <w:r>
        <w:rPr>
          <w:i/>
          <w:sz w:val="19"/>
        </w:rPr>
        <w:t>Figure 3.2: Scatter plot illustrating attendance percentage vs. cumulative GPA.</w:t>
      </w:r>
    </w:p>
    <w:p w14:paraId="3FF61D46" w14:textId="77777777" w:rsidR="00E41174" w:rsidRDefault="00000000">
      <w:r>
        <w:rPr>
          <w:b/>
        </w:rPr>
        <w:t xml:space="preserve">• </w:t>
      </w:r>
      <w:r>
        <w:t>3. Multi-Department Facet Grid: Panels departmental attendance and GPA scatter points side-by-side, enabling comparative evaluation across engineering, science, and arts faculties.</w:t>
      </w:r>
    </w:p>
    <w:p w14:paraId="5FCDCAFD" w14:textId="77777777" w:rsidR="00E41174" w:rsidRDefault="00000000">
      <w:pPr>
        <w:jc w:val="center"/>
      </w:pPr>
      <w:r>
        <w:rPr>
          <w:noProof/>
        </w:rPr>
        <w:drawing>
          <wp:inline distT="0" distB="0" distL="0" distR="0" wp14:anchorId="1D47999C" wp14:editId="5EDCC22C">
            <wp:extent cx="5029200" cy="34817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t3_p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2D77" w14:textId="77777777" w:rsidR="00E41174" w:rsidRDefault="00000000">
      <w:pPr>
        <w:jc w:val="center"/>
      </w:pPr>
      <w:r>
        <w:rPr>
          <w:i/>
          <w:sz w:val="19"/>
        </w:rPr>
        <w:t>Figure 3.3: Facet grid comparing attendance and grade performance by department.</w:t>
      </w:r>
    </w:p>
    <w:p w14:paraId="636A1B19" w14:textId="77777777" w:rsidR="00B00907" w:rsidRPr="00B00907" w:rsidRDefault="00B00907" w:rsidP="00B009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B00907">
        <w:rPr>
          <w:rFonts w:ascii="Times New Roman" w:hAnsi="Times New Roman" w:cs="Times New Roman"/>
          <w:sz w:val="24"/>
          <w:szCs w:val="24"/>
        </w:rPr>
        <w:t>. A logistics company records delivery times for thousands of shipments using Road, Rail, Air, and Sea transportation modes.</w:t>
      </w:r>
      <w:r w:rsidRPr="00B00907">
        <w:rPr>
          <w:rFonts w:ascii="Times New Roman" w:hAnsi="Times New Roman" w:cs="Times New Roman"/>
          <w:sz w:val="24"/>
          <w:szCs w:val="24"/>
        </w:rPr>
        <w:br/>
      </w:r>
      <w:r w:rsidRPr="00B00907">
        <w:rPr>
          <w:rFonts w:ascii="Times New Roman" w:hAnsi="Times New Roman" w:cs="Times New Roman"/>
          <w:sz w:val="24"/>
          <w:szCs w:val="24"/>
        </w:rPr>
        <w:lastRenderedPageBreak/>
        <w:t>Task: Create a visualization design that:</w:t>
      </w:r>
      <w:r w:rsidRPr="00B00907">
        <w:rPr>
          <w:rFonts w:ascii="Times New Roman" w:hAnsi="Times New Roman" w:cs="Times New Roman"/>
          <w:sz w:val="24"/>
          <w:szCs w:val="24"/>
        </w:rPr>
        <w:br/>
        <w:t>● Uses Histograms and ECDFs to compare delivery-time distributions across transportation modes.</w:t>
      </w:r>
      <w:r w:rsidRPr="00B00907">
        <w:rPr>
          <w:rFonts w:ascii="Times New Roman" w:hAnsi="Times New Roman" w:cs="Times New Roman"/>
          <w:sz w:val="24"/>
          <w:szCs w:val="24"/>
        </w:rPr>
        <w:br/>
        <w:t>● Employs Q-Q Plots to assess whether delivery times follow a theoretical normal distribution.</w:t>
      </w:r>
      <w:r w:rsidRPr="00B00907">
        <w:rPr>
          <w:rFonts w:ascii="Times New Roman" w:hAnsi="Times New Roman" w:cs="Times New Roman"/>
          <w:sz w:val="24"/>
          <w:szCs w:val="24"/>
        </w:rPr>
        <w:br/>
        <w:t>● Highlights delays, variability, and outliers in delivery performance.</w:t>
      </w:r>
    </w:p>
    <w:p w14:paraId="789E8B6F" w14:textId="77777777" w:rsidR="00B00907" w:rsidRPr="00B00907" w:rsidRDefault="00B00907" w:rsidP="00B00907">
      <w:pPr>
        <w:rPr>
          <w:rFonts w:ascii="Times New Roman" w:hAnsi="Times New Roman" w:cs="Times New Roman"/>
          <w:sz w:val="24"/>
          <w:szCs w:val="24"/>
        </w:rPr>
      </w:pPr>
      <w:r w:rsidRPr="00B00907">
        <w:rPr>
          <w:rFonts w:ascii="Times New Roman" w:hAnsi="Times New Roman" w:cs="Times New Roman"/>
          <w:sz w:val="24"/>
          <w:szCs w:val="24"/>
        </w:rPr>
        <w:t>Objective: Support operational teams in optimizing transportation strategies and improving delivery reliability.</w:t>
      </w:r>
    </w:p>
    <w:p w14:paraId="75581D1A" w14:textId="77777777" w:rsidR="00E41174" w:rsidRDefault="00000000">
      <w:r>
        <w:rPr>
          <w:b/>
        </w:rPr>
        <w:br/>
      </w:r>
      <w:r>
        <w:t>Visualization Dashboard Solution &amp; Implementation:</w:t>
      </w:r>
    </w:p>
    <w:p w14:paraId="50617158" w14:textId="77777777" w:rsidR="00E41174" w:rsidRDefault="00000000">
      <w:r>
        <w:rPr>
          <w:b/>
        </w:rPr>
        <w:t xml:space="preserve">• </w:t>
      </w:r>
      <w:r>
        <w:t>1. Empirical Cumulative Distribution Function (ECDF): Evaluates cumulative delivery-time probabilities across Road, Rail, Air, and Sea, determining the exact percentage of shipments delivered within Target SLAs.</w:t>
      </w:r>
    </w:p>
    <w:p w14:paraId="45462365" w14:textId="77777777" w:rsidR="00E41174" w:rsidRDefault="00000000">
      <w:pPr>
        <w:jc w:val="center"/>
      </w:pPr>
      <w:r>
        <w:rPr>
          <w:noProof/>
        </w:rPr>
        <w:drawing>
          <wp:inline distT="0" distB="0" distL="0" distR="0" wp14:anchorId="5611FD48" wp14:editId="0B2E9132">
            <wp:extent cx="5029200" cy="34817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t4_p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BF25" w14:textId="77777777" w:rsidR="00E41174" w:rsidRDefault="00000000">
      <w:pPr>
        <w:jc w:val="center"/>
      </w:pPr>
      <w:r>
        <w:rPr>
          <w:i/>
          <w:sz w:val="19"/>
        </w:rPr>
        <w:t>Figure 4.1: ECDF of shipment delivery times across transportation modes.</w:t>
      </w:r>
    </w:p>
    <w:p w14:paraId="6659C608" w14:textId="77777777" w:rsidR="00E41174" w:rsidRDefault="00000000">
      <w:r>
        <w:rPr>
          <w:b/>
        </w:rPr>
        <w:t xml:space="preserve">• </w:t>
      </w:r>
      <w:r>
        <w:t>2. Normal Q-Q Plot: Compares sample delivery times against theoretical normal quantiles. Systematic upward curvature confirms positive skewness (delivery delays and log-normal behavior).</w:t>
      </w:r>
    </w:p>
    <w:p w14:paraId="1D0F07B6" w14:textId="77777777" w:rsidR="00E4117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84DD12" wp14:editId="4821ADF7">
            <wp:extent cx="5029200" cy="34817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t4_p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8CAF" w14:textId="77777777" w:rsidR="00E41174" w:rsidRDefault="00000000">
      <w:pPr>
        <w:jc w:val="center"/>
      </w:pPr>
      <w:r>
        <w:rPr>
          <w:i/>
          <w:sz w:val="19"/>
        </w:rPr>
        <w:t>Figure 4.2: Normal Q-Q plot for road transportation delivery times.</w:t>
      </w:r>
    </w:p>
    <w:p w14:paraId="0ACCFEED" w14:textId="77777777" w:rsidR="00E41174" w:rsidRDefault="00000000">
      <w:r>
        <w:rPr>
          <w:b/>
        </w:rPr>
        <w:t xml:space="preserve">• </w:t>
      </w:r>
      <w:r>
        <w:t>3. Delivery Delay &amp; Outlier Boxplot: Highlights median delivery durations, interquartile variability, and extreme bottleneck delays across all four modal choices.</w:t>
      </w:r>
    </w:p>
    <w:p w14:paraId="755C8C68" w14:textId="77777777" w:rsidR="00E41174" w:rsidRDefault="00000000">
      <w:pPr>
        <w:jc w:val="center"/>
      </w:pPr>
      <w:r>
        <w:rPr>
          <w:noProof/>
        </w:rPr>
        <w:drawing>
          <wp:inline distT="0" distB="0" distL="0" distR="0" wp14:anchorId="4F1BBFEF" wp14:editId="769F208B">
            <wp:extent cx="5029200" cy="34817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t4_p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6877" w14:textId="77777777" w:rsidR="00E41174" w:rsidRDefault="00000000">
      <w:pPr>
        <w:jc w:val="center"/>
      </w:pPr>
      <w:r>
        <w:rPr>
          <w:i/>
          <w:sz w:val="19"/>
        </w:rPr>
        <w:t>Figure 4.3: Boxplot analysis of delivery performance and outliers by mode.</w:t>
      </w:r>
    </w:p>
    <w:p w14:paraId="1E4B92A5" w14:textId="77777777" w:rsidR="0084359F" w:rsidRPr="00B00907" w:rsidRDefault="0084359F" w:rsidP="00B00907"/>
    <w:sectPr w:rsidR="0084359F" w:rsidRPr="00B00907" w:rsidSect="00C01281">
      <w:pgSz w:w="12240" w:h="15840"/>
      <w:pgMar w:top="1296" w:right="1440" w:bottom="810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07"/>
    <w:rsid w:val="0004178D"/>
    <w:rsid w:val="000F3C63"/>
    <w:rsid w:val="00366876"/>
    <w:rsid w:val="004D68DC"/>
    <w:rsid w:val="004E2370"/>
    <w:rsid w:val="0084359F"/>
    <w:rsid w:val="009D4BBB"/>
    <w:rsid w:val="00AC1075"/>
    <w:rsid w:val="00B00907"/>
    <w:rsid w:val="00C01281"/>
    <w:rsid w:val="00C54A79"/>
    <w:rsid w:val="00D35789"/>
    <w:rsid w:val="00D54FC4"/>
    <w:rsid w:val="00E41174"/>
    <w:rsid w:val="00E6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B167"/>
  <w15:chartTrackingRefBased/>
  <w15:docId w15:val="{8A7DFAF1-BC76-4778-AE86-1873DDE12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gracia</dc:creator>
  <cp:keywords/>
  <dc:description/>
  <cp:lastModifiedBy>Muzammil Gadwal</cp:lastModifiedBy>
  <cp:revision>5</cp:revision>
  <dcterms:created xsi:type="dcterms:W3CDTF">2026-06-10T02:35:00Z</dcterms:created>
  <dcterms:modified xsi:type="dcterms:W3CDTF">2026-08-03T04:42:00Z</dcterms:modified>
</cp:coreProperties>
</file>