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40"/>
        <w:jc w:val="center"/>
      </w:pPr>
      <w:r>
        <w:rPr>
          <w:rFonts w:ascii="Calibri" w:hAnsi="Calibri"/>
          <w:b/>
          <w:color w:val="002060"/>
          <w:sz w:val="26"/>
        </w:rPr>
        <w:t>SIMATS ENGINEERING (SAVEETHA SCHOOL OF ENGINEERING)</w:t>
      </w:r>
    </w:p>
    <w:p>
      <w:pPr>
        <w:spacing w:after="80" w:before="40"/>
        <w:jc w:val="center"/>
      </w:pPr>
      <w:r>
        <w:rPr>
          <w:rFonts w:ascii="Calibri" w:hAnsi="Calibri"/>
          <w:b w:val="0"/>
          <w:color w:val="333333"/>
          <w:sz w:val="22"/>
        </w:rPr>
        <w:t>Department of Computer Science and Engineering</w:t>
      </w:r>
    </w:p>
    <w:p>
      <w:pPr>
        <w:spacing w:after="80" w:before="40"/>
        <w:jc w:val="center"/>
      </w:pPr>
      <w:r>
        <w:rPr>
          <w:rFonts w:ascii="Calibri" w:hAnsi="Calibri"/>
          <w:b/>
          <w:color w:val="1F497D"/>
          <w:sz w:val="24"/>
        </w:rPr>
        <w:t>ASSESSMENT TOOL 2  –  SCENARIO BASED ASSESSMENT (3 Questions)</w:t>
      </w:r>
    </w:p>
    <w:p>
      <w:pPr>
        <w:spacing w:after="80" w:before="40"/>
      </w:pPr>
    </w:p>
    <w:p>
      <w:pPr>
        <w:spacing w:after="80" w:before="40"/>
      </w:pPr>
    </w:p>
    <w:p>
      <w:pPr>
        <w:spacing w:after="80" w:before="40"/>
      </w:pPr>
    </w:p>
    <w:p>
      <w:pPr>
        <w:spacing w:after="80" w:before="40"/>
      </w:pPr>
    </w:p>
    <w:p>
      <w:pPr>
        <w:spacing w:after="80" w:before="40"/>
        <w:jc w:val="left"/>
      </w:pPr>
      <w:r>
        <w:rPr>
          <w:rFonts w:ascii="Calibri" w:hAnsi="Calibri"/>
          <w:b/>
          <w:color w:val="002060"/>
          <w:sz w:val="24"/>
        </w:rPr>
        <w:t>Annexure A – Scenario Based Assessment</w:t>
      </w:r>
    </w:p>
    <w:p>
      <w:pPr>
        <w:spacing w:before="240" w:after="80" w:line="276" w:lineRule="auto"/>
      </w:pPr>
      <w:r>
        <w:rPr>
          <w:rFonts w:ascii="Calibri" w:hAnsi="Calibri"/>
          <w:b/>
          <w:color w:val="002060"/>
          <w:sz w:val="22"/>
        </w:rPr>
        <w:t>1. A weather forecasting agency predicts rainfall probability (%) for a week along with uncertainty:</w:t>
      </w:r>
    </w:p>
    <w:p>
      <w:pPr>
        <w:spacing w:after="80" w:before="40"/>
      </w:pPr>
    </w:p>
    <w:p>
      <w:pPr>
        <w:spacing w:before="40" w:after="120" w:line="276" w:lineRule="auto"/>
      </w:pPr>
      <w:r>
        <w:rPr>
          <w:rFonts w:ascii="Calibri" w:hAnsi="Calibri"/>
          <w:i/>
          <w:color w:val="333333"/>
          <w:sz w:val="21"/>
        </w:rPr>
        <w:t>As a data analyst, design a visualization that clearly communicates both probability and uncertainty. Which day’s prediction is most reliable? Justify your answer using visualization principles.</w:t>
      </w:r>
    </w:p>
    <w:p>
      <w:pPr>
        <w:spacing w:before="120" w:after="80"/>
      </w:pPr>
      <w:r>
        <w:rPr>
          <w:rFonts w:ascii="Calibri" w:hAnsi="Calibri"/>
          <w:b/>
          <w:color w:val="1F497D"/>
          <w:sz w:val="22"/>
        </w:rPr>
        <w:t>Solution Explanation &amp; Implementation: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Proposed Visualization Design: </w:t>
      </w:r>
      <w:r>
        <w:rPr>
          <w:rFonts w:ascii="Calibri" w:hAnsi="Calibri"/>
          <w:color w:val="262626"/>
          <w:sz w:val="21"/>
        </w:rPr>
        <w:t>Line &amp; Point Chart with 95% Confidence Interval Error Bars and Shaded Uncertainty Bands.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Forecast Interval Calculations: </w:t>
      </w:r>
      <w:r>
        <w:rPr>
          <w:rFonts w:ascii="Calibri" w:hAnsi="Calibri"/>
          <w:color w:val="262626"/>
          <w:sz w:val="21"/>
        </w:rPr>
        <w:t>Mon: 60% ± 10% [CI: 50%–70%]; Tue: 65% ± 20% [CI: 45%–85%]; Wed: 70% ± 5% [CI: 65%–75%]; Thu: 55% ± 15% [CI: 40%–70%]; Fri: 80% ± 25% [CI: 55%–100%].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Most Reliable Day Determination: </w:t>
      </w:r>
      <w:r>
        <w:rPr>
          <w:rFonts w:ascii="Calibri" w:hAnsi="Calibri"/>
          <w:color w:val="262626"/>
          <w:sz w:val="21"/>
        </w:rPr>
        <w:t>Wednesday's prediction (70% ± 5%) is the most reliable.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Visualization Principles Justification: </w:t>
      </w:r>
      <w:r>
        <w:rPr>
          <w:rFonts w:ascii="Calibri" w:hAnsi="Calibri"/>
          <w:color w:val="262626"/>
          <w:sz w:val="21"/>
        </w:rPr>
        <w:t>Wednesday has the smallest confidence interval margin (±5%), reflecting high forecast precision, tight estimation bounds, and minimal uncertainty variance (SE ≈ 2.55%). Although Friday boasts a higher point estimate (80%), its uncertainty interval is extremely wide (±25%, spanning 55% to 100%), reflecting high volatility and unpredictable atmospheric conditions. Thus, Wednesday offers the tightest precision and most reliable forecast for planning.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q1_weather_uncertain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2.1: Weekly Rainfall Probability Forecast with 95% Confidence Intervals Highlighting Wednesday's Reliability.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002060"/>
          <w:sz w:val="22"/>
        </w:rPr>
        <w:t>2. A mobile app company collects user ratings (1–5) from 500 users. Many users give the same ratings:</w:t>
      </w:r>
    </w:p>
    <w:p>
      <w:pPr>
        <w:spacing w:after="80" w:before="40"/>
      </w:pPr>
    </w:p>
    <w:p>
      <w:pPr>
        <w:spacing w:before="40" w:after="120" w:line="276" w:lineRule="auto"/>
      </w:pPr>
      <w:r>
        <w:rPr>
          <w:rFonts w:ascii="Calibri" w:hAnsi="Calibri"/>
          <w:i/>
          <w:color w:val="333333"/>
          <w:sz w:val="21"/>
        </w:rPr>
        <w:t>If plotted directly, the visualization suffers from overplotting. Propose a suitable visualization technique and explain how transparency or jittering can improve clarity. Suggest an alternative plot if needed.</w:t>
      </w:r>
    </w:p>
    <w:p>
      <w:pPr>
        <w:spacing w:before="120" w:after="80"/>
      </w:pPr>
      <w:r>
        <w:rPr>
          <w:rFonts w:ascii="Calibri" w:hAnsi="Calibri"/>
          <w:b/>
          <w:color w:val="1F497D"/>
          <w:sz w:val="22"/>
        </w:rPr>
        <w:t>Solution Explanation &amp; Implementation: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Overplotting Cause Analysis: </w:t>
      </w:r>
      <w:r>
        <w:rPr>
          <w:rFonts w:ascii="Calibri" w:hAnsi="Calibri"/>
          <w:color w:val="262626"/>
          <w:sz w:val="21"/>
        </w:rPr>
        <w:t>Plotting 500 discrete rating responses (integers 1–5: 50, 80, 150, 140, 80) directly on a scatter plot collapses 495 points onto 5 discrete coordinates, rendering sample size and rating density invisible.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Jittering Technique: </w:t>
      </w:r>
      <w:r>
        <w:rPr>
          <w:rFonts w:ascii="Calibri" w:hAnsi="Calibri"/>
          <w:color w:val="262626"/>
          <w:sz w:val="21"/>
        </w:rPr>
        <w:t>Adding uniform pseudo-random horizontal offset U(-0.25, +0.25) spreads overlapping points across rating bands so individual user entries become visually countable.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Alpha Transparency: </w:t>
      </w:r>
      <w:r>
        <w:rPr>
          <w:rFonts w:ascii="Calibri" w:hAnsi="Calibri"/>
          <w:color w:val="262626"/>
          <w:sz w:val="21"/>
        </w:rPr>
        <w:t>Applying point transparency (α = 0.25) allows overlapping points to build up darker color density in high-frequency rating regions (e.g. Rating 3 with n=150).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Recommended Alternative Plots: </w:t>
      </w:r>
      <w:r>
        <w:rPr>
          <w:rFonts w:ascii="Calibri" w:hAnsi="Calibri"/>
          <w:color w:val="262626"/>
          <w:sz w:val="21"/>
        </w:rPr>
        <w:t>A Frequency Bar Chart or Boxplot explicitly quantifies rating counts and distribution medians without point overlap.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00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q2_ratings_overplot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2.2: Mobile App Ratings Visualized via Direct Scatter (Overplotted), Jittered Scatter with Transparency, and Frequency Bar Chart.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002060"/>
          <w:sz w:val="22"/>
        </w:rPr>
        <w:t>3. A company presents employee satisfaction scores:</w:t>
      </w:r>
    </w:p>
    <w:p>
      <w:pPr>
        <w:spacing w:after="80" w:before="40"/>
      </w:pPr>
    </w:p>
    <w:p>
      <w:pPr>
        <w:spacing w:before="40" w:after="120" w:line="276" w:lineRule="auto"/>
      </w:pPr>
      <w:r>
        <w:rPr>
          <w:rFonts w:ascii="Calibri" w:hAnsi="Calibri"/>
          <w:i/>
          <w:color w:val="333333"/>
          <w:sz w:val="21"/>
        </w:rPr>
        <w:t>The chart uses a truncated y-axis (starting at 65) and red-green color coding.</w:t>
        <w:br/>
        <w:t>Identify the issues in this visualization. Redesign it using proper axis design, proportional ink principle, and accessible color choices. Explain how your design avoids misleading interpretation.</w:t>
      </w:r>
    </w:p>
    <w:p>
      <w:pPr>
        <w:spacing w:before="120" w:after="80"/>
      </w:pPr>
      <w:r>
        <w:rPr>
          <w:rFonts w:ascii="Calibri" w:hAnsi="Calibri"/>
          <w:b/>
          <w:color w:val="1F497D"/>
          <w:sz w:val="22"/>
        </w:rPr>
        <w:t>Solution Explanation &amp; Implementation: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Identified Flaws Diagnosis: </w:t>
      </w:r>
      <w:r>
        <w:rPr>
          <w:rFonts w:ascii="Calibri" w:hAnsi="Calibri"/>
          <w:color w:val="262626"/>
          <w:sz w:val="21"/>
        </w:rPr>
        <w:t>1) Truncated Y-Axis (65%–82%): Violates the Proportional Ink Principle. HR (70%) appears to have a bar height of 5 units while Finance (80%) has a height of 15 units (a 300% visual height difference), falsely exaggerating a small 10% numerical gap. 2) Red-Green Color Coding: Inaccessible to colorblind users (Deuteranopia/Protanopia) and introduces misleading moral connotation (framing 70% as a failure/danger in red).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Redesign Strategy: </w:t>
      </w:r>
      <w:r>
        <w:rPr>
          <w:rFonts w:ascii="Calibri" w:hAnsi="Calibri"/>
          <w:color w:val="262626"/>
          <w:sz w:val="21"/>
        </w:rPr>
        <w:t>Enforce a zero baseline (0%–100%) for honest visual proportions. Use a monochromatic colorblind-safe blue palette (#0072B2) and direct numerical data labels.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1F497D"/>
          <w:sz w:val="21"/>
        </w:rPr>
        <w:t xml:space="preserve">• </w:t>
      </w:r>
      <w:r>
        <w:rPr>
          <w:rFonts w:ascii="Calibri" w:hAnsi="Calibri"/>
          <w:b/>
          <w:color w:val="1F497D"/>
          <w:sz w:val="21"/>
        </w:rPr>
        <w:t xml:space="preserve">Impact on Interpretation: </w:t>
      </w:r>
      <w:r>
        <w:rPr>
          <w:rFonts w:ascii="Calibri" w:hAnsi="Calibri"/>
          <w:color w:val="262626"/>
          <w:sz w:val="21"/>
        </w:rPr>
        <w:t>The redesigned chart preserves baseline integrity, presents honest visual proportions between departments, ensures colorblind accessibility, and eliminates artificial visual exaggeration.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44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q3_satisfaction_re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2.3: Employee Satisfaction Visualization Redesign: Truncated Red-Green Chart vs. Accessible Proportional Ink Chart.</w:t>
      </w:r>
    </w:p>
    <w:p>
      <w:pPr>
        <w:spacing w:after="80" w:before="40"/>
        <w:jc w:val="left"/>
      </w:pPr>
      <w:r>
        <w:rPr>
          <w:rFonts w:ascii="Calibri" w:hAnsi="Calibri"/>
          <w:b/>
          <w:color w:val="002060"/>
          <w:sz w:val="24"/>
        </w:rPr>
        <w:t>Rubrics for Calculation</w:t>
      </w:r>
    </w:p>
    <w:p>
      <w:pPr>
        <w:spacing w:after="80" w:before="40"/>
      </w:pPr>
    </w:p>
    <w:p>
      <w:pPr>
        <w:spacing w:after="80" w:before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CF60D9" w14:paraId="1C76517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5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6" w14:textId="54B2F5A6" w:rsidR="00CF60D9" w:rsidRDefault="00883D17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7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8" w14:textId="39A1B4AA" w:rsidR="00CF60D9" w:rsidRDefault="00883D17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CF60D9" w14:paraId="1C76517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A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B" w14:textId="72A8BAC7" w:rsidR="00CF60D9" w:rsidRDefault="003A3DD0">
            <w:r>
              <w:rPr>
                <w:sz w:val="18"/>
                <w:szCs w:val="18"/>
              </w:rPr>
              <w:t>CO</w:t>
            </w:r>
            <w:r w:rsidR="00777585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777585">
              <w:rPr>
                <w:sz w:val="18"/>
                <w:szCs w:val="18"/>
              </w:rPr>
              <w:t>Precision</w:t>
            </w:r>
            <w:r>
              <w:rPr>
                <w:sz w:val="18"/>
                <w:szCs w:val="18"/>
              </w:rPr>
              <w:t xml:space="preserve"> (BL</w:t>
            </w:r>
            <w:r w:rsidR="0077758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D" w14:textId="18B91DB5" w:rsidR="00CF60D9" w:rsidRDefault="003A3DD0">
            <w:r>
              <w:rPr>
                <w:sz w:val="18"/>
                <w:szCs w:val="18"/>
              </w:rPr>
              <w:t xml:space="preserve">Assessment Tool </w:t>
            </w:r>
            <w:r w:rsidR="00EB575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40711">
              <w:rPr>
                <w:sz w:val="18"/>
                <w:szCs w:val="18"/>
              </w:rPr>
              <w:t>Scenario Based Assessment</w:t>
            </w:r>
          </w:p>
        </w:tc>
      </w:tr>
      <w:tr w:rsidR="00CF60D9" w14:paraId="1C7651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F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0" w14:textId="2DC32D97" w:rsidR="00CF60D9" w:rsidRDefault="00777585"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1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2" w14:textId="0A7236DF" w:rsidR="00CF60D9" w:rsidRDefault="00EB5757">
            <w:r>
              <w:rPr>
                <w:sz w:val="18"/>
                <w:szCs w:val="18"/>
              </w:rPr>
              <w:t>3</w:t>
            </w:r>
            <w:r w:rsidR="003A3DD0">
              <w:rPr>
                <w:sz w:val="18"/>
                <w:szCs w:val="18"/>
              </w:rPr>
              <w:t xml:space="preserve">0  </w:t>
            </w:r>
            <w:r>
              <w:rPr>
                <w:sz w:val="18"/>
                <w:szCs w:val="18"/>
              </w:rPr>
              <w:t>(3</w:t>
            </w:r>
            <w:r w:rsidR="003A3DD0">
              <w:rPr>
                <w:sz w:val="18"/>
                <w:szCs w:val="18"/>
              </w:rPr>
              <w:t xml:space="preserve"> Questions × 1</w:t>
            </w:r>
            <w:r>
              <w:rPr>
                <w:sz w:val="18"/>
                <w:szCs w:val="18"/>
              </w:rPr>
              <w:t>0</w:t>
            </w:r>
            <w:r w:rsidR="003A3DD0">
              <w:rPr>
                <w:sz w:val="18"/>
                <w:szCs w:val="18"/>
              </w:rPr>
              <w:t xml:space="preserve"> Mark</w:t>
            </w:r>
            <w:r>
              <w:rPr>
                <w:sz w:val="18"/>
                <w:szCs w:val="18"/>
              </w:rPr>
              <w:t>s</w:t>
            </w:r>
            <w:r w:rsidR="003A3DD0">
              <w:rPr>
                <w:sz w:val="18"/>
                <w:szCs w:val="18"/>
              </w:rPr>
              <w:t>)</w:t>
            </w:r>
          </w:p>
        </w:tc>
      </w:tr>
      <w:tr w:rsidR="00CF60D9" w14:paraId="1C76518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4" w14:textId="161F7B8D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883D17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65185" w14:textId="75D0ACC5" w:rsidR="00CF60D9" w:rsidRPr="00777585" w:rsidRDefault="00777585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Create effective and interactive visualizations by integrating data wrangling and advanced visualization tools (BL6)</w:t>
            </w:r>
          </w:p>
        </w:tc>
      </w:tr>
      <w:tr w:rsidR="00CF60D9" w14:paraId="1C76518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7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8" w14:textId="77777777" w:rsidR="00CF60D9" w:rsidRDefault="00CF60D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9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A" w14:textId="77777777" w:rsidR="00CF60D9" w:rsidRDefault="00CF60D9"/>
        </w:tc>
      </w:tr>
      <w:tr w:rsidR="00CF60D9" w14:paraId="1C76519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D" w14:textId="77777777" w:rsidR="00CF60D9" w:rsidRDefault="00CF60D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E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F" w14:textId="77777777" w:rsidR="00CF60D9" w:rsidRDefault="00CF60D9"/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F60D9" w14:paraId="1C76519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765192" w14:textId="77777777" w:rsidR="00CF60D9" w:rsidRDefault="003A3DD0">
            <w:r>
              <w:rPr>
                <w:b/>
                <w:bCs/>
                <w:color w:val="C00000"/>
              </w:rPr>
              <w:t>Code of Conduct</w:t>
            </w:r>
          </w:p>
          <w:p w14:paraId="1C765193" w14:textId="77777777" w:rsidR="00CF60D9" w:rsidRDefault="003A3DD0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C744902" w14:textId="77777777" w:rsidR="00240711" w:rsidRDefault="00240711">
            <w:pPr>
              <w:spacing w:after="60"/>
            </w:pPr>
          </w:p>
          <w:p w14:paraId="1C765194" w14:textId="77777777" w:rsidR="00CF60D9" w:rsidRDefault="003A3DD0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F60D9" w14:paraId="1C76519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765197" w14:textId="77777777" w:rsidR="00CF60D9" w:rsidRDefault="003A3DD0">
            <w:r>
              <w:rPr>
                <w:b/>
                <w:bCs/>
                <w:color w:val="C00000"/>
              </w:rPr>
              <w:t>Instructions</w:t>
            </w:r>
          </w:p>
          <w:p w14:paraId="1C765199" w14:textId="0FC73C2A" w:rsidR="00CF60D9" w:rsidRDefault="003A3DD0" w:rsidP="002407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240711">
              <w:rPr>
                <w:color w:val="000000"/>
                <w:sz w:val="18"/>
                <w:szCs w:val="18"/>
              </w:rPr>
              <w:t xml:space="preserve">3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240711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</w:t>
            </w:r>
            <w:r w:rsidR="00240711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240711"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0 Marks.</w:t>
            </w:r>
          </w:p>
          <w:p w14:paraId="1C76519A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1C76519B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1C76519C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18455C" w14:paraId="1C7651A3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9F" w14:textId="139F596A" w:rsidR="0018455C" w:rsidRDefault="0018455C" w:rsidP="0018455C">
            <w:pPr>
              <w:jc w:val="center"/>
            </w:pPr>
            <w:r>
              <w:rPr>
                <w:b/>
                <w:bCs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0" w14:textId="25D25F3D" w:rsidR="0018455C" w:rsidRDefault="0018455C" w:rsidP="0018455C">
            <w:pPr>
              <w:jc w:val="center"/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1" w14:textId="170845F4" w:rsidR="0018455C" w:rsidRDefault="0018455C" w:rsidP="0018455C">
            <w:pPr>
              <w:jc w:val="center"/>
            </w:pPr>
            <w:r>
              <w:rPr>
                <w:b/>
                <w:bCs/>
              </w:rPr>
              <w:t>Q. Nos.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2" w14:textId="795B5C19" w:rsidR="0018455C" w:rsidRDefault="0018455C" w:rsidP="0018455C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18455C" w14:paraId="1C7651A8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4" w14:textId="4D1456EB" w:rsidR="0018455C" w:rsidRDefault="0018455C" w:rsidP="0018455C">
            <w:r>
              <w:t>Visualizing Uncertainty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5" w14:textId="53D69623" w:rsidR="0018455C" w:rsidRDefault="0018455C" w:rsidP="0018455C">
            <w:r>
              <w:t>Probability visualization, confidence intervals, uncertainty interpretation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6" w14:textId="4C366378" w:rsidR="0018455C" w:rsidRDefault="0018455C" w:rsidP="0018455C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7" w14:textId="66E70B65" w:rsidR="0018455C" w:rsidRDefault="0018455C" w:rsidP="0018455C">
            <w:pPr>
              <w:jc w:val="center"/>
            </w:pPr>
            <w:r>
              <w:t>1</w:t>
            </w:r>
          </w:p>
        </w:tc>
      </w:tr>
      <w:tr w:rsidR="0018455C" w14:paraId="1C7651AD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9" w14:textId="329B9B27" w:rsidR="0018455C" w:rsidRDefault="0018455C" w:rsidP="0018455C">
            <w:r>
              <w:t>Handling Overplotting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A" w14:textId="77E2B249" w:rsidR="0018455C" w:rsidRDefault="0018455C" w:rsidP="0018455C">
            <w:r>
              <w:t>Overplotting, transparency, jittering, alternative plots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B" w14:textId="4CE55CC0" w:rsidR="0018455C" w:rsidRDefault="0018455C" w:rsidP="0018455C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C" w14:textId="7F2E196A" w:rsidR="0018455C" w:rsidRDefault="0018455C" w:rsidP="0018455C">
            <w:pPr>
              <w:jc w:val="center"/>
            </w:pPr>
            <w:r>
              <w:t>1</w:t>
            </w:r>
          </w:p>
        </w:tc>
      </w:tr>
      <w:tr w:rsidR="0018455C" w14:paraId="1C7651B2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E" w14:textId="4635512E" w:rsidR="0018455C" w:rsidRDefault="0018455C" w:rsidP="0018455C">
            <w:r>
              <w:t>Principles of Effective Visualization &amp; Accessibility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F" w14:textId="4C81A281" w:rsidR="0018455C" w:rsidRDefault="0018455C" w:rsidP="0018455C">
            <w:r>
              <w:t>Proportional ink principle, misleading axes, accessible color design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B0" w14:textId="623C857B" w:rsidR="0018455C" w:rsidRDefault="0018455C" w:rsidP="0018455C">
            <w:pPr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B1" w14:textId="28F6EC68" w:rsidR="0018455C" w:rsidRDefault="0018455C" w:rsidP="0018455C">
            <w:pPr>
              <w:jc w:val="center"/>
            </w:pPr>
            <w:r>
              <w:t>1</w:t>
            </w:r>
          </w:p>
        </w:tc>
      </w:tr>
      <w:tr w:rsidR="00CF60D9" w14:paraId="1C7651D8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51D6" w14:textId="77777777" w:rsidR="00CF60D9" w:rsidRDefault="003A3DD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51D7" w14:textId="059EC9EC" w:rsidR="00CF60D9" w:rsidRDefault="0018455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  <w:r w:rsidR="003A3DD0">
              <w:rPr>
                <w:b/>
                <w:bCs/>
                <w:color w:val="FFFFFF"/>
                <w:sz w:val="22"/>
                <w:szCs w:val="22"/>
              </w:rPr>
              <w:t>0 Marks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W w:w="65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2127"/>
        <w:gridCol w:w="2693"/>
      </w:tblGrid>
      <w:tr w:rsidR="00B0645D" w14:paraId="582A1E65" w14:textId="77777777" w:rsidTr="00A671AE">
        <w:trPr>
          <w:jc w:val="center"/>
        </w:trPr>
        <w:tc>
          <w:tcPr>
            <w:tcW w:w="1696" w:type="dxa"/>
            <w:vAlign w:val="center"/>
          </w:tcPr>
          <w:p w14:paraId="3A51E943" w14:textId="77777777" w:rsidR="00B0645D" w:rsidRDefault="00B0645D" w:rsidP="00A671AE">
            <w:pPr>
              <w:jc w:val="both"/>
            </w:pPr>
            <w:r>
              <w:rPr>
                <w:b/>
                <w:bCs/>
              </w:rPr>
              <w:t>Day</w:t>
            </w:r>
          </w:p>
        </w:tc>
        <w:tc>
          <w:tcPr>
            <w:tcW w:w="2127" w:type="dxa"/>
            <w:vAlign w:val="center"/>
          </w:tcPr>
          <w:p w14:paraId="736E8787" w14:textId="77777777" w:rsidR="00B0645D" w:rsidRDefault="00B0645D" w:rsidP="00A671AE">
            <w:pPr>
              <w:jc w:val="both"/>
            </w:pPr>
            <w:r>
              <w:rPr>
                <w:b/>
                <w:bCs/>
              </w:rPr>
              <w:t>Rainfall Probability</w:t>
            </w:r>
          </w:p>
        </w:tc>
        <w:tc>
          <w:tcPr>
            <w:tcW w:w="2693" w:type="dxa"/>
            <w:vAlign w:val="center"/>
          </w:tcPr>
          <w:p w14:paraId="72523E3A" w14:textId="77777777" w:rsidR="00B0645D" w:rsidRDefault="00B0645D" w:rsidP="00A671AE">
            <w:pPr>
              <w:jc w:val="both"/>
            </w:pPr>
            <w:r>
              <w:rPr>
                <w:b/>
                <w:bCs/>
              </w:rPr>
              <w:t>Confidence Interval</w:t>
            </w:r>
          </w:p>
        </w:tc>
      </w:tr>
      <w:tr w:rsidR="00B0645D" w14:paraId="1D7D9A8B" w14:textId="77777777" w:rsidTr="00A671AE">
        <w:trPr>
          <w:jc w:val="center"/>
        </w:trPr>
        <w:tc>
          <w:tcPr>
            <w:tcW w:w="1696" w:type="dxa"/>
            <w:vAlign w:val="center"/>
          </w:tcPr>
          <w:p w14:paraId="62DCF51C" w14:textId="77777777" w:rsidR="00B0645D" w:rsidRDefault="00B0645D" w:rsidP="00A671AE">
            <w:pPr>
              <w:jc w:val="both"/>
            </w:pPr>
            <w:r>
              <w:t>Mon</w:t>
            </w:r>
          </w:p>
        </w:tc>
        <w:tc>
          <w:tcPr>
            <w:tcW w:w="2127" w:type="dxa"/>
            <w:vAlign w:val="center"/>
          </w:tcPr>
          <w:p w14:paraId="51B42D01" w14:textId="77777777" w:rsidR="00B0645D" w:rsidRDefault="00B0645D" w:rsidP="00A671AE">
            <w:pPr>
              <w:jc w:val="both"/>
            </w:pPr>
            <w:r>
              <w:t>60</w:t>
            </w:r>
          </w:p>
        </w:tc>
        <w:tc>
          <w:tcPr>
            <w:tcW w:w="2693" w:type="dxa"/>
            <w:vAlign w:val="center"/>
          </w:tcPr>
          <w:p w14:paraId="082F668B" w14:textId="77777777" w:rsidR="00B0645D" w:rsidRDefault="00B0645D" w:rsidP="00A671AE">
            <w:pPr>
              <w:jc w:val="both"/>
            </w:pPr>
            <w:r>
              <w:t>10</w:t>
            </w:r>
          </w:p>
        </w:tc>
      </w:tr>
      <w:tr w:rsidR="00B0645D" w14:paraId="632BFF3B" w14:textId="77777777" w:rsidTr="00A671AE">
        <w:trPr>
          <w:jc w:val="center"/>
        </w:trPr>
        <w:tc>
          <w:tcPr>
            <w:tcW w:w="1696" w:type="dxa"/>
            <w:vAlign w:val="center"/>
          </w:tcPr>
          <w:p w14:paraId="769E9B3D" w14:textId="77777777" w:rsidR="00B0645D" w:rsidRDefault="00B0645D" w:rsidP="00A671AE">
            <w:pPr>
              <w:jc w:val="both"/>
            </w:pPr>
            <w:r>
              <w:t>Tue</w:t>
            </w:r>
          </w:p>
        </w:tc>
        <w:tc>
          <w:tcPr>
            <w:tcW w:w="2127" w:type="dxa"/>
            <w:vAlign w:val="center"/>
          </w:tcPr>
          <w:p w14:paraId="3DB65DB5" w14:textId="77777777" w:rsidR="00B0645D" w:rsidRDefault="00B0645D" w:rsidP="00A671AE">
            <w:pPr>
              <w:jc w:val="both"/>
            </w:pPr>
            <w:r>
              <w:t>65</w:t>
            </w:r>
          </w:p>
        </w:tc>
        <w:tc>
          <w:tcPr>
            <w:tcW w:w="2693" w:type="dxa"/>
            <w:vAlign w:val="center"/>
          </w:tcPr>
          <w:p w14:paraId="1835CDFC" w14:textId="77777777" w:rsidR="00B0645D" w:rsidRDefault="00B0645D" w:rsidP="00A671AE">
            <w:pPr>
              <w:jc w:val="both"/>
            </w:pPr>
            <w:r>
              <w:t>20</w:t>
            </w:r>
          </w:p>
        </w:tc>
      </w:tr>
      <w:tr w:rsidR="00B0645D" w14:paraId="1A107581" w14:textId="77777777" w:rsidTr="00A671AE">
        <w:trPr>
          <w:jc w:val="center"/>
        </w:trPr>
        <w:tc>
          <w:tcPr>
            <w:tcW w:w="1696" w:type="dxa"/>
            <w:vAlign w:val="center"/>
          </w:tcPr>
          <w:p w14:paraId="29EB6D9A" w14:textId="77777777" w:rsidR="00B0645D" w:rsidRDefault="00B0645D" w:rsidP="00A671AE">
            <w:pPr>
              <w:jc w:val="both"/>
            </w:pPr>
            <w:r>
              <w:t>Wed</w:t>
            </w:r>
          </w:p>
        </w:tc>
        <w:tc>
          <w:tcPr>
            <w:tcW w:w="2127" w:type="dxa"/>
            <w:vAlign w:val="center"/>
          </w:tcPr>
          <w:p w14:paraId="47D86764" w14:textId="77777777" w:rsidR="00B0645D" w:rsidRDefault="00B0645D" w:rsidP="00A671AE">
            <w:pPr>
              <w:jc w:val="both"/>
            </w:pPr>
            <w:r>
              <w:t>70</w:t>
            </w:r>
          </w:p>
        </w:tc>
        <w:tc>
          <w:tcPr>
            <w:tcW w:w="2693" w:type="dxa"/>
            <w:vAlign w:val="center"/>
          </w:tcPr>
          <w:p w14:paraId="540334E1" w14:textId="77777777" w:rsidR="00B0645D" w:rsidRDefault="00B0645D" w:rsidP="00A671AE">
            <w:pPr>
              <w:jc w:val="both"/>
            </w:pPr>
            <w:r>
              <w:t>5</w:t>
            </w:r>
          </w:p>
        </w:tc>
      </w:tr>
      <w:tr w:rsidR="00B0645D" w14:paraId="5CF20128" w14:textId="77777777" w:rsidTr="00A671AE">
        <w:trPr>
          <w:jc w:val="center"/>
        </w:trPr>
        <w:tc>
          <w:tcPr>
            <w:tcW w:w="1696" w:type="dxa"/>
            <w:vAlign w:val="center"/>
          </w:tcPr>
          <w:p w14:paraId="0478A092" w14:textId="77777777" w:rsidR="00B0645D" w:rsidRDefault="00B0645D" w:rsidP="00A671AE">
            <w:pPr>
              <w:jc w:val="both"/>
            </w:pPr>
            <w:r>
              <w:t>Thu</w:t>
            </w:r>
          </w:p>
        </w:tc>
        <w:tc>
          <w:tcPr>
            <w:tcW w:w="2127" w:type="dxa"/>
            <w:vAlign w:val="center"/>
          </w:tcPr>
          <w:p w14:paraId="22B4B830" w14:textId="77777777" w:rsidR="00B0645D" w:rsidRDefault="00B0645D" w:rsidP="00A671AE">
            <w:pPr>
              <w:jc w:val="both"/>
            </w:pPr>
            <w:r>
              <w:t>55</w:t>
            </w:r>
          </w:p>
        </w:tc>
        <w:tc>
          <w:tcPr>
            <w:tcW w:w="2693" w:type="dxa"/>
            <w:vAlign w:val="center"/>
          </w:tcPr>
          <w:p w14:paraId="0A0AD74B" w14:textId="77777777" w:rsidR="00B0645D" w:rsidRDefault="00B0645D" w:rsidP="00A671AE">
            <w:pPr>
              <w:jc w:val="both"/>
            </w:pPr>
            <w:r>
              <w:t>15</w:t>
            </w:r>
          </w:p>
        </w:tc>
      </w:tr>
      <w:tr w:rsidR="00B0645D" w14:paraId="69B0B0B4" w14:textId="77777777" w:rsidTr="00A671AE">
        <w:trPr>
          <w:jc w:val="center"/>
        </w:trPr>
        <w:tc>
          <w:tcPr>
            <w:tcW w:w="1696" w:type="dxa"/>
            <w:vAlign w:val="center"/>
          </w:tcPr>
          <w:p w14:paraId="4B233C1D" w14:textId="77777777" w:rsidR="00B0645D" w:rsidRDefault="00B0645D" w:rsidP="00A671AE">
            <w:pPr>
              <w:jc w:val="both"/>
            </w:pPr>
            <w:r>
              <w:t>Fri</w:t>
            </w:r>
          </w:p>
        </w:tc>
        <w:tc>
          <w:tcPr>
            <w:tcW w:w="2127" w:type="dxa"/>
            <w:vAlign w:val="center"/>
          </w:tcPr>
          <w:p w14:paraId="21C6038C" w14:textId="77777777" w:rsidR="00B0645D" w:rsidRDefault="00B0645D" w:rsidP="00A671AE">
            <w:pPr>
              <w:jc w:val="both"/>
            </w:pPr>
            <w:r>
              <w:t>80</w:t>
            </w:r>
          </w:p>
        </w:tc>
        <w:tc>
          <w:tcPr>
            <w:tcW w:w="2693" w:type="dxa"/>
            <w:vAlign w:val="center"/>
          </w:tcPr>
          <w:p w14:paraId="4482D1A0" w14:textId="77777777" w:rsidR="00B0645D" w:rsidRDefault="00B0645D" w:rsidP="00A671AE">
            <w:pPr>
              <w:jc w:val="both"/>
            </w:pPr>
            <w:r>
              <w:t>25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W w:w="51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4"/>
        <w:gridCol w:w="3021"/>
      </w:tblGrid>
      <w:tr w:rsidR="00B0645D" w14:paraId="5A9AAED9" w14:textId="77777777" w:rsidTr="00A671AE">
        <w:trPr>
          <w:jc w:val="center"/>
        </w:trPr>
        <w:tc>
          <w:tcPr>
            <w:tcW w:w="2174" w:type="dxa"/>
            <w:vAlign w:val="center"/>
          </w:tcPr>
          <w:p w14:paraId="2B4EAA48" w14:textId="77777777" w:rsidR="00B0645D" w:rsidRDefault="00B0645D" w:rsidP="00A671AE">
            <w:pPr>
              <w:jc w:val="both"/>
            </w:pPr>
            <w:r>
              <w:rPr>
                <w:b/>
                <w:bCs/>
              </w:rPr>
              <w:t>Rating</w:t>
            </w:r>
          </w:p>
        </w:tc>
        <w:tc>
          <w:tcPr>
            <w:tcW w:w="3021" w:type="dxa"/>
            <w:vAlign w:val="center"/>
          </w:tcPr>
          <w:p w14:paraId="03E746FB" w14:textId="77777777" w:rsidR="00B0645D" w:rsidRDefault="00B0645D" w:rsidP="00A671AE">
            <w:pPr>
              <w:jc w:val="both"/>
            </w:pPr>
            <w:r>
              <w:rPr>
                <w:b/>
                <w:bCs/>
              </w:rPr>
              <w:t>Frequency</w:t>
            </w:r>
          </w:p>
        </w:tc>
      </w:tr>
      <w:tr w:rsidR="00B0645D" w14:paraId="598BE244" w14:textId="77777777" w:rsidTr="00A671AE">
        <w:trPr>
          <w:jc w:val="center"/>
        </w:trPr>
        <w:tc>
          <w:tcPr>
            <w:tcW w:w="2174" w:type="dxa"/>
            <w:vAlign w:val="center"/>
          </w:tcPr>
          <w:p w14:paraId="7B32A65A" w14:textId="77777777" w:rsidR="00B0645D" w:rsidRDefault="00B0645D" w:rsidP="00A671AE">
            <w:pPr>
              <w:jc w:val="both"/>
            </w:pPr>
            <w:r>
              <w:t>1</w:t>
            </w:r>
          </w:p>
        </w:tc>
        <w:tc>
          <w:tcPr>
            <w:tcW w:w="3021" w:type="dxa"/>
            <w:vAlign w:val="center"/>
          </w:tcPr>
          <w:p w14:paraId="6124BDA2" w14:textId="77777777" w:rsidR="00B0645D" w:rsidRDefault="00B0645D" w:rsidP="00A671AE">
            <w:pPr>
              <w:jc w:val="both"/>
            </w:pPr>
            <w:r>
              <w:t>50</w:t>
            </w:r>
          </w:p>
        </w:tc>
      </w:tr>
      <w:tr w:rsidR="00B0645D" w14:paraId="0E243691" w14:textId="77777777" w:rsidTr="00A671AE">
        <w:trPr>
          <w:jc w:val="center"/>
        </w:trPr>
        <w:tc>
          <w:tcPr>
            <w:tcW w:w="2174" w:type="dxa"/>
            <w:vAlign w:val="center"/>
          </w:tcPr>
          <w:p w14:paraId="6674328D" w14:textId="77777777" w:rsidR="00B0645D" w:rsidRDefault="00B0645D" w:rsidP="00A671AE">
            <w:pPr>
              <w:jc w:val="both"/>
            </w:pPr>
            <w:r>
              <w:t>2</w:t>
            </w:r>
          </w:p>
        </w:tc>
        <w:tc>
          <w:tcPr>
            <w:tcW w:w="3021" w:type="dxa"/>
            <w:vAlign w:val="center"/>
          </w:tcPr>
          <w:p w14:paraId="12C441FD" w14:textId="77777777" w:rsidR="00B0645D" w:rsidRDefault="00B0645D" w:rsidP="00A671AE">
            <w:pPr>
              <w:jc w:val="both"/>
            </w:pPr>
            <w:r>
              <w:t>80</w:t>
            </w:r>
          </w:p>
        </w:tc>
      </w:tr>
      <w:tr w:rsidR="00B0645D" w14:paraId="05E4BD32" w14:textId="77777777" w:rsidTr="00A671AE">
        <w:trPr>
          <w:jc w:val="center"/>
        </w:trPr>
        <w:tc>
          <w:tcPr>
            <w:tcW w:w="2174" w:type="dxa"/>
            <w:vAlign w:val="center"/>
          </w:tcPr>
          <w:p w14:paraId="1E4E203C" w14:textId="77777777" w:rsidR="00B0645D" w:rsidRDefault="00B0645D" w:rsidP="00A671AE">
            <w:pPr>
              <w:jc w:val="both"/>
            </w:pPr>
            <w:r>
              <w:t>3</w:t>
            </w:r>
          </w:p>
        </w:tc>
        <w:tc>
          <w:tcPr>
            <w:tcW w:w="3021" w:type="dxa"/>
            <w:vAlign w:val="center"/>
          </w:tcPr>
          <w:p w14:paraId="3637632E" w14:textId="77777777" w:rsidR="00B0645D" w:rsidRDefault="00B0645D" w:rsidP="00A671AE">
            <w:pPr>
              <w:jc w:val="both"/>
            </w:pPr>
            <w:r>
              <w:t>150</w:t>
            </w:r>
          </w:p>
        </w:tc>
      </w:tr>
      <w:tr w:rsidR="00B0645D" w14:paraId="3119E40A" w14:textId="77777777" w:rsidTr="00A671AE">
        <w:trPr>
          <w:jc w:val="center"/>
        </w:trPr>
        <w:tc>
          <w:tcPr>
            <w:tcW w:w="2174" w:type="dxa"/>
            <w:vAlign w:val="center"/>
          </w:tcPr>
          <w:p w14:paraId="333AE6B4" w14:textId="77777777" w:rsidR="00B0645D" w:rsidRDefault="00B0645D" w:rsidP="00A671AE">
            <w:pPr>
              <w:jc w:val="both"/>
            </w:pPr>
            <w:r>
              <w:t>4</w:t>
            </w:r>
          </w:p>
        </w:tc>
        <w:tc>
          <w:tcPr>
            <w:tcW w:w="3021" w:type="dxa"/>
            <w:vAlign w:val="center"/>
          </w:tcPr>
          <w:p w14:paraId="75B1626D" w14:textId="77777777" w:rsidR="00B0645D" w:rsidRDefault="00B0645D" w:rsidP="00A671AE">
            <w:pPr>
              <w:jc w:val="both"/>
            </w:pPr>
            <w:r>
              <w:t>140</w:t>
            </w:r>
          </w:p>
        </w:tc>
      </w:tr>
      <w:tr w:rsidR="00B0645D" w14:paraId="27BDB68E" w14:textId="77777777" w:rsidTr="00A671AE">
        <w:trPr>
          <w:jc w:val="center"/>
        </w:trPr>
        <w:tc>
          <w:tcPr>
            <w:tcW w:w="2174" w:type="dxa"/>
            <w:vAlign w:val="center"/>
          </w:tcPr>
          <w:p w14:paraId="494E1199" w14:textId="77777777" w:rsidR="00B0645D" w:rsidRDefault="00B0645D" w:rsidP="00A671AE">
            <w:pPr>
              <w:jc w:val="both"/>
            </w:pPr>
            <w:r>
              <w:t>5</w:t>
            </w:r>
          </w:p>
        </w:tc>
        <w:tc>
          <w:tcPr>
            <w:tcW w:w="3021" w:type="dxa"/>
            <w:vAlign w:val="center"/>
          </w:tcPr>
          <w:p w14:paraId="5305FCBD" w14:textId="77777777" w:rsidR="00B0645D" w:rsidRDefault="00B0645D" w:rsidP="00A671AE">
            <w:pPr>
              <w:jc w:val="both"/>
            </w:pPr>
            <w:r>
              <w:t>80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W w:w="51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0"/>
        <w:gridCol w:w="1843"/>
      </w:tblGrid>
      <w:tr w:rsidR="00B0645D" w14:paraId="0DA688BC" w14:textId="77777777" w:rsidTr="00A671AE">
        <w:trPr>
          <w:jc w:val="center"/>
        </w:trPr>
        <w:tc>
          <w:tcPr>
            <w:tcW w:w="3260" w:type="dxa"/>
            <w:vAlign w:val="center"/>
          </w:tcPr>
          <w:p w14:paraId="0B1D8F9C" w14:textId="77777777" w:rsidR="00B0645D" w:rsidRDefault="00B0645D" w:rsidP="00A671AE">
            <w:pPr>
              <w:jc w:val="both"/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1843" w:type="dxa"/>
            <w:vAlign w:val="center"/>
          </w:tcPr>
          <w:p w14:paraId="081AF7F1" w14:textId="77777777" w:rsidR="00B0645D" w:rsidRDefault="00B0645D" w:rsidP="00A671AE">
            <w:pPr>
              <w:jc w:val="both"/>
            </w:pPr>
            <w:r>
              <w:rPr>
                <w:b/>
                <w:bCs/>
              </w:rPr>
              <w:t>Score (%)</w:t>
            </w:r>
          </w:p>
        </w:tc>
      </w:tr>
      <w:tr w:rsidR="00B0645D" w14:paraId="647AA6D0" w14:textId="77777777" w:rsidTr="00A671AE">
        <w:trPr>
          <w:jc w:val="center"/>
        </w:trPr>
        <w:tc>
          <w:tcPr>
            <w:tcW w:w="3260" w:type="dxa"/>
            <w:vAlign w:val="center"/>
          </w:tcPr>
          <w:p w14:paraId="48D83FE8" w14:textId="77777777" w:rsidR="00B0645D" w:rsidRDefault="00B0645D" w:rsidP="00A671AE">
            <w:pPr>
              <w:jc w:val="both"/>
            </w:pPr>
            <w:r>
              <w:t>HR</w:t>
            </w:r>
          </w:p>
        </w:tc>
        <w:tc>
          <w:tcPr>
            <w:tcW w:w="1843" w:type="dxa"/>
            <w:vAlign w:val="center"/>
          </w:tcPr>
          <w:p w14:paraId="2B18762F" w14:textId="77777777" w:rsidR="00B0645D" w:rsidRDefault="00B0645D" w:rsidP="00A671AE">
            <w:pPr>
              <w:jc w:val="both"/>
            </w:pPr>
            <w:r>
              <w:t>70</w:t>
            </w:r>
          </w:p>
        </w:tc>
      </w:tr>
      <w:tr w:rsidR="00B0645D" w14:paraId="7EEE5E21" w14:textId="77777777" w:rsidTr="00A671AE">
        <w:trPr>
          <w:jc w:val="center"/>
        </w:trPr>
        <w:tc>
          <w:tcPr>
            <w:tcW w:w="3260" w:type="dxa"/>
            <w:vAlign w:val="center"/>
          </w:tcPr>
          <w:p w14:paraId="505E6D2D" w14:textId="77777777" w:rsidR="00B0645D" w:rsidRDefault="00B0645D" w:rsidP="00A671AE">
            <w:pPr>
              <w:jc w:val="both"/>
            </w:pPr>
            <w:r>
              <w:t>Sales</w:t>
            </w:r>
          </w:p>
        </w:tc>
        <w:tc>
          <w:tcPr>
            <w:tcW w:w="1843" w:type="dxa"/>
            <w:vAlign w:val="center"/>
          </w:tcPr>
          <w:p w14:paraId="518F3B9A" w14:textId="77777777" w:rsidR="00B0645D" w:rsidRDefault="00B0645D" w:rsidP="00A671AE">
            <w:pPr>
              <w:jc w:val="both"/>
            </w:pPr>
            <w:r>
              <w:t>75</w:t>
            </w:r>
          </w:p>
        </w:tc>
      </w:tr>
      <w:tr w:rsidR="00B0645D" w14:paraId="2A5AB72D" w14:textId="77777777" w:rsidTr="00A671AE">
        <w:trPr>
          <w:jc w:val="center"/>
        </w:trPr>
        <w:tc>
          <w:tcPr>
            <w:tcW w:w="3260" w:type="dxa"/>
            <w:vAlign w:val="center"/>
          </w:tcPr>
          <w:p w14:paraId="199E1A5E" w14:textId="77777777" w:rsidR="00B0645D" w:rsidRDefault="00B0645D" w:rsidP="00A671AE">
            <w:pPr>
              <w:jc w:val="both"/>
            </w:pPr>
            <w:r>
              <w:t>IT</w:t>
            </w:r>
          </w:p>
        </w:tc>
        <w:tc>
          <w:tcPr>
            <w:tcW w:w="1843" w:type="dxa"/>
            <w:vAlign w:val="center"/>
          </w:tcPr>
          <w:p w14:paraId="61663DB8" w14:textId="77777777" w:rsidR="00B0645D" w:rsidRDefault="00B0645D" w:rsidP="00A671AE">
            <w:pPr>
              <w:jc w:val="both"/>
            </w:pPr>
            <w:r>
              <w:t>78</w:t>
            </w:r>
          </w:p>
        </w:tc>
      </w:tr>
      <w:tr w:rsidR="00B0645D" w14:paraId="445FEAA8" w14:textId="77777777" w:rsidTr="00A671AE">
        <w:trPr>
          <w:jc w:val="center"/>
        </w:trPr>
        <w:tc>
          <w:tcPr>
            <w:tcW w:w="3260" w:type="dxa"/>
            <w:vAlign w:val="center"/>
          </w:tcPr>
          <w:p w14:paraId="7532126F" w14:textId="77777777" w:rsidR="00B0645D" w:rsidRDefault="00B0645D" w:rsidP="00A671AE">
            <w:pPr>
              <w:jc w:val="both"/>
            </w:pPr>
            <w:r>
              <w:t>Finance</w:t>
            </w:r>
          </w:p>
        </w:tc>
        <w:tc>
          <w:tcPr>
            <w:tcW w:w="1843" w:type="dxa"/>
            <w:vAlign w:val="center"/>
          </w:tcPr>
          <w:p w14:paraId="1CFA2B68" w14:textId="77777777" w:rsidR="00B0645D" w:rsidRDefault="00B0645D" w:rsidP="00A671AE">
            <w:pPr>
              <w:jc w:val="both"/>
            </w:pPr>
            <w:r>
              <w:t>80</w:t>
            </w: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Style w:val="a3"/>
        <w:tblW w:w="1078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791"/>
        <w:gridCol w:w="1589"/>
        <w:gridCol w:w="1276"/>
        <w:gridCol w:w="1559"/>
        <w:gridCol w:w="1560"/>
        <w:gridCol w:w="1026"/>
        <w:gridCol w:w="1402"/>
      </w:tblGrid>
      <w:tr w:rsidR="00B7216A" w14:paraId="1C76545A" w14:textId="4DF1A635" w:rsidTr="00782F34">
        <w:trPr>
          <w:trHeight w:val="450"/>
        </w:trPr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4" w14:textId="788B35B6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79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5" w14:textId="69330A78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Weightage (%)</w:t>
            </w:r>
          </w:p>
        </w:tc>
        <w:tc>
          <w:tcPr>
            <w:tcW w:w="15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6" w14:textId="483839EA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4 (Exemplary)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7" w14:textId="584B59D1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3 (Proficient)</w:t>
            </w:r>
          </w:p>
        </w:tc>
        <w:tc>
          <w:tcPr>
            <w:tcW w:w="15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8" w14:textId="674FA484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9" w14:textId="145954FB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1 (Beginning)</w:t>
            </w:r>
          </w:p>
        </w:tc>
        <w:tc>
          <w:tcPr>
            <w:tcW w:w="2428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A2756B9" w14:textId="77777777" w:rsidR="00C4273B" w:rsidRPr="00151523" w:rsidRDefault="00C4273B" w:rsidP="008C6D6C">
            <w:pPr>
              <w:jc w:val="center"/>
              <w:rPr>
                <w:b/>
                <w:bCs/>
                <w:color w:val="FFFFFF" w:themeColor="background1"/>
              </w:rPr>
            </w:pPr>
          </w:p>
          <w:p w14:paraId="4A8212F3" w14:textId="5377E8B5" w:rsidR="00B7216A" w:rsidRPr="00151523" w:rsidRDefault="00B7216A" w:rsidP="008C6D6C">
            <w:pPr>
              <w:jc w:val="center"/>
              <w:rPr>
                <w:b/>
                <w:bCs/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M</w:t>
            </w:r>
            <w:r w:rsidR="00C4273B" w:rsidRPr="00151523">
              <w:rPr>
                <w:b/>
                <w:bCs/>
                <w:color w:val="FFFFFF" w:themeColor="background1"/>
              </w:rPr>
              <w:t>arks</w:t>
            </w:r>
          </w:p>
        </w:tc>
      </w:tr>
      <w:tr w:rsidR="008C6D6C" w14:paraId="1C765461" w14:textId="2EA8C885" w:rsidTr="00B11924">
        <w:trPr>
          <w:trHeight w:val="1362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B" w14:textId="0E4E9F3E" w:rsidR="008C6D6C" w:rsidRDefault="008C6D6C" w:rsidP="008C6D6C">
            <w:r>
              <w:rPr>
                <w:color w:val="000000"/>
              </w:rPr>
              <w:t>Understanding of Scenario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C" w14:textId="1CD93A50" w:rsidR="008C6D6C" w:rsidRDefault="008C6D6C" w:rsidP="008C6D6C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D" w14:textId="6D5FCE59" w:rsidR="008C6D6C" w:rsidRDefault="008C6D6C" w:rsidP="008C6D6C"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E" w14:textId="292A1C80" w:rsidR="008C6D6C" w:rsidRDefault="008C6D6C" w:rsidP="008C6D6C"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F" w14:textId="037DA139" w:rsidR="008C6D6C" w:rsidRDefault="008C6D6C" w:rsidP="008C6D6C"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0" w14:textId="33328642" w:rsidR="008C6D6C" w:rsidRDefault="008C6D6C" w:rsidP="008C6D6C">
            <w:r>
              <w:rPr>
                <w:color w:val="000000"/>
              </w:rPr>
              <w:t>Misinterprets or fails to understand the scenario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20D9C70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C2156E8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1C765468" w14:textId="7BF6180C" w:rsidTr="00B11924">
        <w:trPr>
          <w:trHeight w:val="1138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2" w14:textId="4C2461F3" w:rsidR="008C6D6C" w:rsidRDefault="008C6D6C" w:rsidP="008C6D6C">
            <w:r>
              <w:rPr>
                <w:color w:val="000000"/>
              </w:rPr>
              <w:t>Identification of Key Issues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3" w14:textId="51D42FB2" w:rsidR="008C6D6C" w:rsidRDefault="008C6D6C" w:rsidP="008C6D6C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4" w14:textId="4EAB9006" w:rsidR="008C6D6C" w:rsidRDefault="008C6D6C" w:rsidP="008C6D6C"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5" w14:textId="5A05E52A" w:rsidR="008C6D6C" w:rsidRDefault="008C6D6C" w:rsidP="008C6D6C"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6" w14:textId="2EDE101B" w:rsidR="008C6D6C" w:rsidRDefault="008C6D6C" w:rsidP="008C6D6C"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7" w14:textId="1DBCB225" w:rsidR="008C6D6C" w:rsidRDefault="008C6D6C" w:rsidP="008C6D6C">
            <w:r>
              <w:rPr>
                <w:color w:val="000000"/>
              </w:rPr>
              <w:t>Unable to identify key issues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FB34450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B057401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7B19731D" w14:textId="0334E963" w:rsidTr="00B11924">
        <w:trPr>
          <w:trHeight w:val="1362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21FF2" w14:textId="21A0F6FA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04794" w14:textId="39E7EB1A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6C93D" w14:textId="72E3D3C1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30625" w14:textId="071A5B24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FA33E" w14:textId="0FEE4FB3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64748" w14:textId="447435FB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Unable to apply relevant concepts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3FB928E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FEA2C1F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5578E6AA" w14:textId="1A602DE5" w:rsidTr="00B11924">
        <w:trPr>
          <w:trHeight w:val="1138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122BF" w14:textId="10DB7F4D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EAD9C" w14:textId="17729DAD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72AAA" w14:textId="5D1B2E95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C924D" w14:textId="2F72960E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565F3" w14:textId="6C0EFC75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4C3D1" w14:textId="15F7F816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E21C66D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6CD77D0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65583B89" w14:textId="505ADE93" w:rsidTr="00B11924">
        <w:trPr>
          <w:trHeight w:val="903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47545" w14:textId="2BE24DA0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38D44" w14:textId="689CFAB6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F4233" w14:textId="7F58A5D2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B3F7F" w14:textId="1EE6487C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FC1FB" w14:textId="1D06FE19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181AA" w14:textId="304EC286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Disorganized and difficult to understand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D3812CE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91999F9" w14:textId="77777777" w:rsidR="008C6D6C" w:rsidRDefault="008C6D6C" w:rsidP="008C6D6C">
            <w:pPr>
              <w:rPr>
                <w:color w:val="000000"/>
              </w:rPr>
            </w:pPr>
          </w:p>
        </w:tc>
      </w:tr>
    </w:tbl>
    <w:tbl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CF60D9" w14:paraId="1C76546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A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B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CF60D9" w14:paraId="1C7654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E" w14:textId="77777777" w:rsidR="00CF60D9" w:rsidRDefault="00CF60D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F" w14:textId="77777777" w:rsidR="00CF60D9" w:rsidRDefault="00CF60D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0" w14:textId="77777777" w:rsidR="00CF60D9" w:rsidRDefault="00CF60D9"/>
        </w:tc>
      </w:tr>
      <w:tr w:rsidR="00CF60D9" w14:paraId="1C76547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2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3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4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CF60D9" w14:paraId="1C76547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6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7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8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